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734C5ABC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11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48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00"/>
        <w:gridCol w:w="885"/>
        <w:gridCol w:w="1133"/>
        <w:gridCol w:w="1702"/>
        <w:gridCol w:w="2517"/>
        <w:gridCol w:w="34"/>
        <w:gridCol w:w="851"/>
        <w:gridCol w:w="795"/>
        <w:gridCol w:w="480"/>
        <w:gridCol w:w="229"/>
        <w:gridCol w:w="708"/>
        <w:gridCol w:w="56"/>
        <w:gridCol w:w="652"/>
        <w:gridCol w:w="340"/>
        <w:gridCol w:w="511"/>
        <w:gridCol w:w="198"/>
        <w:gridCol w:w="391"/>
        <w:gridCol w:w="459"/>
        <w:gridCol w:w="992"/>
      </w:tblGrid>
      <w:tr w:rsidR="0083351E" w:rsidRPr="00C94833" w14:paraId="7FF649CB" w14:textId="77777777" w:rsidTr="009B6A5C">
        <w:trPr>
          <w:tblHeader/>
        </w:trPr>
        <w:tc>
          <w:tcPr>
            <w:tcW w:w="851" w:type="dxa"/>
            <w:shd w:val="clear" w:color="auto" w:fill="B4C6E7" w:themeFill="accent1" w:themeFillTint="66"/>
          </w:tcPr>
          <w:p w14:paraId="32CB22C3" w14:textId="77777777" w:rsidR="0083351E" w:rsidRPr="00C9483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lastRenderedPageBreak/>
              <w:t>Pirkimo objekto dalies</w:t>
            </w:r>
          </w:p>
          <w:p w14:paraId="36015DEC" w14:textId="77777777" w:rsidR="0083351E" w:rsidRPr="00C9483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1985" w:type="dxa"/>
            <w:gridSpan w:val="2"/>
            <w:shd w:val="clear" w:color="auto" w:fill="B4C6E7" w:themeFill="accent1" w:themeFillTint="66"/>
          </w:tcPr>
          <w:p w14:paraId="6D7CF15C" w14:textId="77777777" w:rsidR="0083351E" w:rsidRPr="00C94833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6D445353" w14:textId="77777777" w:rsidR="0083351E" w:rsidRPr="00C9483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C9483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1702" w:type="dxa"/>
            <w:shd w:val="clear" w:color="auto" w:fill="B4C6E7" w:themeFill="accent1" w:themeFillTint="66"/>
          </w:tcPr>
          <w:p w14:paraId="61B95D41" w14:textId="77777777" w:rsidR="0083351E" w:rsidRPr="00C9483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2551" w:type="dxa"/>
            <w:gridSpan w:val="2"/>
            <w:shd w:val="clear" w:color="auto" w:fill="B4C6E7" w:themeFill="accent1" w:themeFillTint="66"/>
          </w:tcPr>
          <w:p w14:paraId="1F3B6DA4" w14:textId="77777777" w:rsidR="0083351E" w:rsidRPr="00C9483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45E9FD0D" w14:textId="77777777" w:rsidR="0083351E" w:rsidRPr="00C94833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1275" w:type="dxa"/>
            <w:gridSpan w:val="2"/>
            <w:shd w:val="clear" w:color="auto" w:fill="B4C6E7" w:themeFill="accent1" w:themeFillTint="66"/>
          </w:tcPr>
          <w:p w14:paraId="3C9DB8B6" w14:textId="07904D8E" w:rsidR="0083351E" w:rsidRPr="00C94833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Maksimalus orientacinis vnt. kiekis</w:t>
            </w:r>
          </w:p>
        </w:tc>
        <w:tc>
          <w:tcPr>
            <w:tcW w:w="993" w:type="dxa"/>
            <w:gridSpan w:val="3"/>
            <w:shd w:val="clear" w:color="auto" w:fill="B4C6E7" w:themeFill="accent1" w:themeFillTint="66"/>
          </w:tcPr>
          <w:p w14:paraId="09C3E18E" w14:textId="77777777" w:rsidR="0083351E" w:rsidRPr="00C94833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992" w:type="dxa"/>
            <w:gridSpan w:val="2"/>
            <w:shd w:val="clear" w:color="auto" w:fill="B4C6E7" w:themeFill="accent1" w:themeFillTint="66"/>
          </w:tcPr>
          <w:p w14:paraId="3AB0CA58" w14:textId="77777777" w:rsidR="0083351E" w:rsidRPr="00C94833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709" w:type="dxa"/>
            <w:gridSpan w:val="2"/>
            <w:shd w:val="clear" w:color="auto" w:fill="B4C6E7" w:themeFill="accent1" w:themeFillTint="66"/>
          </w:tcPr>
          <w:p w14:paraId="2B4F6FEE" w14:textId="77777777" w:rsidR="0083351E" w:rsidRPr="00C94833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850" w:type="dxa"/>
            <w:gridSpan w:val="2"/>
            <w:shd w:val="clear" w:color="auto" w:fill="B4C6E7" w:themeFill="accent1" w:themeFillTint="66"/>
          </w:tcPr>
          <w:p w14:paraId="2185CEC3" w14:textId="77777777" w:rsidR="0083351E" w:rsidRPr="00C9483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Suma, Eur be PVM (</w:t>
            </w:r>
            <w:proofErr w:type="spellStart"/>
            <w:r w:rsidRPr="00C94833">
              <w:rPr>
                <w:b/>
                <w:sz w:val="16"/>
                <w:szCs w:val="16"/>
              </w:rPr>
              <w:t>maks</w:t>
            </w:r>
            <w:proofErr w:type="spellEnd"/>
            <w:r w:rsidRPr="00C9483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94833">
              <w:rPr>
                <w:b/>
                <w:sz w:val="16"/>
                <w:szCs w:val="16"/>
              </w:rPr>
              <w:t>orient</w:t>
            </w:r>
            <w:proofErr w:type="spellEnd"/>
            <w:r w:rsidRPr="00C94833">
              <w:rPr>
                <w:b/>
                <w:sz w:val="16"/>
                <w:szCs w:val="16"/>
              </w:rPr>
              <w:t>. kiekiui)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559C564" w14:textId="77777777" w:rsidR="0083351E" w:rsidRPr="00C9483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Suma, Eur su PVM (</w:t>
            </w:r>
            <w:proofErr w:type="spellStart"/>
            <w:r w:rsidRPr="00C94833">
              <w:rPr>
                <w:b/>
                <w:sz w:val="16"/>
                <w:szCs w:val="16"/>
              </w:rPr>
              <w:t>maks</w:t>
            </w:r>
            <w:proofErr w:type="spellEnd"/>
            <w:r w:rsidRPr="00C9483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94833">
              <w:rPr>
                <w:b/>
                <w:sz w:val="16"/>
                <w:szCs w:val="16"/>
              </w:rPr>
              <w:t>orient</w:t>
            </w:r>
            <w:proofErr w:type="spellEnd"/>
            <w:r w:rsidRPr="00C94833">
              <w:rPr>
                <w:b/>
                <w:sz w:val="16"/>
                <w:szCs w:val="16"/>
              </w:rPr>
              <w:t>. kiekiui)</w:t>
            </w:r>
          </w:p>
        </w:tc>
      </w:tr>
      <w:tr w:rsidR="00F55E2C" w:rsidRPr="00C94833" w14:paraId="3C6F3BD8" w14:textId="77777777" w:rsidTr="00267864">
        <w:trPr>
          <w:trHeight w:val="1066"/>
          <w:tblHeader/>
        </w:trPr>
        <w:tc>
          <w:tcPr>
            <w:tcW w:w="851" w:type="dxa"/>
            <w:vAlign w:val="center"/>
          </w:tcPr>
          <w:p w14:paraId="39143F29" w14:textId="42C19FA9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2"/>
            <w:vAlign w:val="center"/>
          </w:tcPr>
          <w:p w14:paraId="58C7CAA8" w14:textId="1916F7CE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Trichineliozė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IgG</w:t>
            </w:r>
            <w:proofErr w:type="spellEnd"/>
          </w:p>
        </w:tc>
        <w:tc>
          <w:tcPr>
            <w:tcW w:w="1133" w:type="dxa"/>
            <w:vAlign w:val="center"/>
          </w:tcPr>
          <w:p w14:paraId="03B662CE" w14:textId="212D5269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33141625-7</w:t>
            </w:r>
          </w:p>
        </w:tc>
        <w:tc>
          <w:tcPr>
            <w:tcW w:w="1702" w:type="dxa"/>
            <w:vAlign w:val="center"/>
          </w:tcPr>
          <w:p w14:paraId="06F92F2A" w14:textId="62BF3EF0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15. </w:t>
            </w:r>
            <w:proofErr w:type="spellStart"/>
            <w:r w:rsidRPr="00C94833">
              <w:rPr>
                <w:sz w:val="16"/>
                <w:szCs w:val="16"/>
              </w:rPr>
              <w:t>Gold</w:t>
            </w:r>
            <w:proofErr w:type="spellEnd"/>
            <w:r w:rsidRPr="00C94833">
              <w:rPr>
                <w:sz w:val="16"/>
                <w:szCs w:val="16"/>
              </w:rPr>
              <w:t xml:space="preserve"> Standard </w:t>
            </w:r>
            <w:proofErr w:type="spellStart"/>
            <w:r w:rsidRPr="00C94833">
              <w:rPr>
                <w:sz w:val="16"/>
                <w:szCs w:val="16"/>
              </w:rPr>
              <w:t>Diagnostics</w:t>
            </w:r>
            <w:proofErr w:type="spellEnd"/>
            <w:r w:rsidRPr="00C94833">
              <w:rPr>
                <w:sz w:val="16"/>
                <w:szCs w:val="16"/>
              </w:rPr>
              <w:t xml:space="preserve"> TRICHINELLA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yra skirti trichineliozės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nustatymui ELISA metodu. Plokštelių juostelės laužomos po 1 šulinėlį. Mėginio skiedimas 1:100, tūris 100 </w:t>
            </w:r>
            <w:proofErr w:type="spellStart"/>
            <w:r w:rsidRPr="00C94833">
              <w:rPr>
                <w:sz w:val="16"/>
                <w:szCs w:val="16"/>
              </w:rPr>
              <w:t>mikrol</w:t>
            </w:r>
            <w:proofErr w:type="spellEnd"/>
            <w:r w:rsidRPr="00C94833">
              <w:rPr>
                <w:sz w:val="16"/>
                <w:szCs w:val="16"/>
              </w:rPr>
              <w:t xml:space="preserve">. Bendra inkubacija 1 val. 45 min. Plovimas 3 kartus po 300. 3 </w:t>
            </w:r>
            <w:proofErr w:type="spellStart"/>
            <w:r w:rsidRPr="00C94833">
              <w:rPr>
                <w:sz w:val="16"/>
                <w:szCs w:val="16"/>
              </w:rPr>
              <w:t>kontrolės:teigiama</w:t>
            </w:r>
            <w:proofErr w:type="spellEnd"/>
            <w:r w:rsidRPr="00C94833">
              <w:rPr>
                <w:sz w:val="16"/>
                <w:szCs w:val="16"/>
              </w:rPr>
              <w:t xml:space="preserve"> , neigiama ir ribinė (</w:t>
            </w:r>
            <w:proofErr w:type="spellStart"/>
            <w:r w:rsidRPr="00C94833">
              <w:rPr>
                <w:sz w:val="16"/>
                <w:szCs w:val="16"/>
              </w:rPr>
              <w:t>cut-off</w:t>
            </w:r>
            <w:proofErr w:type="spellEnd"/>
            <w:r w:rsidRPr="00C94833">
              <w:rPr>
                <w:sz w:val="16"/>
                <w:szCs w:val="16"/>
              </w:rPr>
              <w:t>). Rezultatas išreiškiamas vienetais. CE ir IVD sertifikatai.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>) 15p.d. 1; 3-5 psl.</w:t>
            </w:r>
          </w:p>
        </w:tc>
        <w:tc>
          <w:tcPr>
            <w:tcW w:w="2551" w:type="dxa"/>
            <w:gridSpan w:val="2"/>
            <w:vAlign w:val="center"/>
          </w:tcPr>
          <w:p w14:paraId="209305D2" w14:textId="5DDE7140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Gold</w:t>
            </w:r>
            <w:proofErr w:type="spellEnd"/>
            <w:r w:rsidRPr="00C94833">
              <w:rPr>
                <w:sz w:val="16"/>
                <w:szCs w:val="16"/>
              </w:rPr>
              <w:t xml:space="preserve"> Standard </w:t>
            </w:r>
            <w:proofErr w:type="spellStart"/>
            <w:r w:rsidRPr="00C94833">
              <w:rPr>
                <w:sz w:val="16"/>
                <w:szCs w:val="16"/>
              </w:rPr>
              <w:t>Diagnostics</w:t>
            </w:r>
            <w:proofErr w:type="spellEnd"/>
            <w:r w:rsidRPr="00C94833">
              <w:rPr>
                <w:sz w:val="16"/>
                <w:szCs w:val="16"/>
              </w:rPr>
              <w:t>/</w:t>
            </w:r>
            <w:proofErr w:type="spellStart"/>
            <w:r w:rsidRPr="00C94833">
              <w:rPr>
                <w:sz w:val="16"/>
                <w:szCs w:val="16"/>
              </w:rPr>
              <w:t>Novatec</w:t>
            </w:r>
            <w:proofErr w:type="spellEnd"/>
            <w:r w:rsidRPr="00C94833">
              <w:rPr>
                <w:sz w:val="16"/>
                <w:szCs w:val="16"/>
              </w:rPr>
              <w:t xml:space="preserve">, TRIG0480, fasuotė 1x96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43531F88" w14:textId="39AB8BF4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testas</w:t>
            </w:r>
          </w:p>
        </w:tc>
        <w:tc>
          <w:tcPr>
            <w:tcW w:w="1275" w:type="dxa"/>
            <w:gridSpan w:val="2"/>
            <w:vAlign w:val="center"/>
          </w:tcPr>
          <w:p w14:paraId="66ED80DE" w14:textId="0524D21B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993" w:type="dxa"/>
            <w:gridSpan w:val="3"/>
            <w:vAlign w:val="center"/>
          </w:tcPr>
          <w:p w14:paraId="4075A408" w14:textId="01E13B0B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992" w:type="dxa"/>
            <w:gridSpan w:val="2"/>
            <w:vAlign w:val="center"/>
          </w:tcPr>
          <w:p w14:paraId="7C22A982" w14:textId="54239F8F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58CDE1ED" w14:textId="4519E487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1,8150</w:t>
            </w:r>
          </w:p>
        </w:tc>
        <w:tc>
          <w:tcPr>
            <w:tcW w:w="850" w:type="dxa"/>
            <w:gridSpan w:val="2"/>
            <w:vAlign w:val="center"/>
          </w:tcPr>
          <w:p w14:paraId="6D612B1E" w14:textId="7ABF11EC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432,00</w:t>
            </w:r>
          </w:p>
        </w:tc>
        <w:tc>
          <w:tcPr>
            <w:tcW w:w="992" w:type="dxa"/>
            <w:vAlign w:val="center"/>
          </w:tcPr>
          <w:p w14:paraId="43C01EED" w14:textId="5C2CC6E5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522,72</w:t>
            </w:r>
          </w:p>
        </w:tc>
      </w:tr>
      <w:tr w:rsidR="00F55E2C" w:rsidRPr="00C94833" w14:paraId="77C2EC44" w14:textId="77777777" w:rsidTr="009B6A5C">
        <w:trPr>
          <w:trHeight w:val="1272"/>
          <w:tblHeader/>
        </w:trPr>
        <w:tc>
          <w:tcPr>
            <w:tcW w:w="851" w:type="dxa"/>
            <w:vAlign w:val="center"/>
          </w:tcPr>
          <w:p w14:paraId="1257ADD4" w14:textId="7D0AE544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5" w:type="dxa"/>
            <w:gridSpan w:val="2"/>
            <w:vAlign w:val="center"/>
          </w:tcPr>
          <w:p w14:paraId="48B4681F" w14:textId="260A60DC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Reagentai tymų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nustatymui</w:t>
            </w:r>
          </w:p>
        </w:tc>
        <w:tc>
          <w:tcPr>
            <w:tcW w:w="1133" w:type="dxa"/>
            <w:vAlign w:val="center"/>
          </w:tcPr>
          <w:p w14:paraId="4C0B3963" w14:textId="773294D6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33141625-7</w:t>
            </w:r>
          </w:p>
        </w:tc>
        <w:tc>
          <w:tcPr>
            <w:tcW w:w="1702" w:type="dxa"/>
            <w:vAlign w:val="center"/>
          </w:tcPr>
          <w:p w14:paraId="65A579C8" w14:textId="6A84C96E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21. Reagentai yra skirti tymų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nustatymui IFA metodu 96 šulinėlių plokštelių formatu. Plokštelės laužomos po vieną šulinėlį. Į rinkinius įeina </w:t>
            </w:r>
            <w:proofErr w:type="spellStart"/>
            <w:r w:rsidRPr="00C94833">
              <w:rPr>
                <w:sz w:val="16"/>
                <w:szCs w:val="16"/>
              </w:rPr>
              <w:t>kalibratorius</w:t>
            </w:r>
            <w:proofErr w:type="spellEnd"/>
            <w:r w:rsidRPr="00C94833">
              <w:rPr>
                <w:sz w:val="16"/>
                <w:szCs w:val="16"/>
              </w:rPr>
              <w:t xml:space="preserve">, teigiama ir neigiama kontrolės. Bendra reakcijos trukmė 1 </w:t>
            </w:r>
            <w:proofErr w:type="spellStart"/>
            <w:r w:rsidRPr="00C94833">
              <w:rPr>
                <w:sz w:val="16"/>
                <w:szCs w:val="16"/>
              </w:rPr>
              <w:t>val</w:t>
            </w:r>
            <w:proofErr w:type="spellEnd"/>
            <w:r w:rsidRPr="00C94833">
              <w:rPr>
                <w:sz w:val="16"/>
                <w:szCs w:val="16"/>
              </w:rPr>
              <w:t xml:space="preserve"> 45 min., inkubacijos kambario temperatūroje. Visi reagentai yra paruošti naudoti. CE ir IVD </w:t>
            </w:r>
            <w:proofErr w:type="spellStart"/>
            <w:r w:rsidRPr="00C94833">
              <w:rPr>
                <w:sz w:val="16"/>
                <w:szCs w:val="16"/>
              </w:rPr>
              <w:t>ženklinimas.Gamintojo</w:t>
            </w:r>
            <w:proofErr w:type="spellEnd"/>
            <w:r w:rsidRPr="00C94833">
              <w:rPr>
                <w:sz w:val="16"/>
                <w:szCs w:val="16"/>
              </w:rPr>
              <w:t xml:space="preserve">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21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1;3-4 psl.</w:t>
            </w:r>
          </w:p>
        </w:tc>
        <w:tc>
          <w:tcPr>
            <w:tcW w:w="2551" w:type="dxa"/>
            <w:gridSpan w:val="2"/>
            <w:vAlign w:val="center"/>
          </w:tcPr>
          <w:p w14:paraId="183DE04D" w14:textId="0D60DD7F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Gold</w:t>
            </w:r>
            <w:proofErr w:type="spellEnd"/>
            <w:r w:rsidRPr="00C94833">
              <w:rPr>
                <w:sz w:val="16"/>
                <w:szCs w:val="16"/>
              </w:rPr>
              <w:t xml:space="preserve"> Standard </w:t>
            </w:r>
            <w:proofErr w:type="spellStart"/>
            <w:r w:rsidRPr="00C94833">
              <w:rPr>
                <w:sz w:val="16"/>
                <w:szCs w:val="16"/>
              </w:rPr>
              <w:t>Diagnostics</w:t>
            </w:r>
            <w:proofErr w:type="spellEnd"/>
            <w:r w:rsidRPr="00C94833">
              <w:rPr>
                <w:sz w:val="16"/>
                <w:szCs w:val="16"/>
              </w:rPr>
              <w:t>/</w:t>
            </w:r>
            <w:proofErr w:type="spellStart"/>
            <w:r w:rsidRPr="00C94833">
              <w:rPr>
                <w:sz w:val="16"/>
                <w:szCs w:val="16"/>
              </w:rPr>
              <w:t>Novatec</w:t>
            </w:r>
            <w:proofErr w:type="spellEnd"/>
            <w:r w:rsidRPr="00C94833">
              <w:rPr>
                <w:sz w:val="16"/>
                <w:szCs w:val="16"/>
              </w:rPr>
              <w:t xml:space="preserve">, MEAM0330, fasuotė 1x96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.,</w:t>
            </w:r>
          </w:p>
        </w:tc>
        <w:tc>
          <w:tcPr>
            <w:tcW w:w="851" w:type="dxa"/>
            <w:vAlign w:val="center"/>
          </w:tcPr>
          <w:p w14:paraId="18D29A01" w14:textId="73B31E23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testas</w:t>
            </w:r>
          </w:p>
        </w:tc>
        <w:tc>
          <w:tcPr>
            <w:tcW w:w="1275" w:type="dxa"/>
            <w:gridSpan w:val="2"/>
            <w:vAlign w:val="center"/>
          </w:tcPr>
          <w:p w14:paraId="626ADC65" w14:textId="39982778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993" w:type="dxa"/>
            <w:gridSpan w:val="3"/>
            <w:vAlign w:val="center"/>
          </w:tcPr>
          <w:p w14:paraId="38960C32" w14:textId="13A960F1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992" w:type="dxa"/>
            <w:gridSpan w:val="2"/>
            <w:vAlign w:val="center"/>
          </w:tcPr>
          <w:p w14:paraId="6F5EBD84" w14:textId="2CAC90F7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20996B9D" w14:textId="63F8B931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1,9360</w:t>
            </w:r>
          </w:p>
        </w:tc>
        <w:tc>
          <w:tcPr>
            <w:tcW w:w="850" w:type="dxa"/>
            <w:gridSpan w:val="2"/>
            <w:vAlign w:val="center"/>
          </w:tcPr>
          <w:p w14:paraId="38C226D9" w14:textId="6620EB6D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768,00</w:t>
            </w:r>
          </w:p>
        </w:tc>
        <w:tc>
          <w:tcPr>
            <w:tcW w:w="992" w:type="dxa"/>
            <w:vAlign w:val="center"/>
          </w:tcPr>
          <w:p w14:paraId="0B59313F" w14:textId="5090229C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929,28</w:t>
            </w:r>
          </w:p>
        </w:tc>
      </w:tr>
      <w:tr w:rsidR="00F55E2C" w:rsidRPr="00C94833" w14:paraId="639236CB" w14:textId="77777777" w:rsidTr="009B6A5C">
        <w:trPr>
          <w:trHeight w:val="1272"/>
          <w:tblHeader/>
        </w:trPr>
        <w:tc>
          <w:tcPr>
            <w:tcW w:w="851" w:type="dxa"/>
            <w:vAlign w:val="center"/>
          </w:tcPr>
          <w:p w14:paraId="40E0D81D" w14:textId="072854BA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1985" w:type="dxa"/>
            <w:gridSpan w:val="2"/>
            <w:vAlign w:val="center"/>
          </w:tcPr>
          <w:p w14:paraId="0CCFB34B" w14:textId="3147207D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Reagentai VZV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ir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nustatymui</w:t>
            </w:r>
          </w:p>
        </w:tc>
        <w:tc>
          <w:tcPr>
            <w:tcW w:w="1133" w:type="dxa"/>
            <w:vAlign w:val="center"/>
          </w:tcPr>
          <w:p w14:paraId="171E0729" w14:textId="10B628BD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76056B3C" w14:textId="37459F85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60. SERION ELISA </w:t>
            </w:r>
            <w:proofErr w:type="spellStart"/>
            <w:r w:rsidRPr="00C94833">
              <w:rPr>
                <w:sz w:val="16"/>
                <w:szCs w:val="16"/>
              </w:rPr>
              <w:t>classic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Varicella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Zoster</w:t>
            </w:r>
            <w:proofErr w:type="spellEnd"/>
            <w:r w:rsidRPr="00C94833">
              <w:rPr>
                <w:sz w:val="16"/>
                <w:szCs w:val="16"/>
              </w:rPr>
              <w:t xml:space="preserve"> Virus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/SERION ELISA </w:t>
            </w:r>
            <w:proofErr w:type="spellStart"/>
            <w:r w:rsidRPr="00C94833">
              <w:rPr>
                <w:sz w:val="16"/>
                <w:szCs w:val="16"/>
              </w:rPr>
              <w:t>classic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Varicella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Zoster</w:t>
            </w:r>
            <w:proofErr w:type="spellEnd"/>
            <w:r w:rsidRPr="00C94833">
              <w:rPr>
                <w:sz w:val="16"/>
                <w:szCs w:val="16"/>
              </w:rPr>
              <w:t xml:space="preserve"> Virus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yra reagentai vėjaraupių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ir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antikūnų nustatymui IFA metodu. Plokštelės laužomos yra po 1 šulinėlį. Rinkinius bus galima pirkti atskirai pagal poreikį atskirai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ir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nustatymui. Tie patys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rinkiniai yra tinkami kraujo bei nugaros smegenų skysčio tyrimams. Tyrimo rezultatas išreiškiamas kiekybiškai U/ml. </w:t>
            </w:r>
            <w:proofErr w:type="spellStart"/>
            <w:r w:rsidRPr="00C94833">
              <w:rPr>
                <w:sz w:val="16"/>
                <w:szCs w:val="16"/>
              </w:rPr>
              <w:t>Kalibratoriams</w:t>
            </w:r>
            <w:proofErr w:type="spellEnd"/>
            <w:r w:rsidRPr="00C94833">
              <w:rPr>
                <w:sz w:val="16"/>
                <w:szCs w:val="16"/>
              </w:rPr>
              <w:t xml:space="preserve">, kontrolėms bei blankui yra sunaudojami 4 šulinėliai. Visi reagentai yra paruošti naudoti. Visi rinkiniai vieno gamintojo. Pateikiamas automatinis protokolas tyrimų atlikimui ir jo įdiegimas į analizatorių BEP 2000 arba </w:t>
            </w:r>
            <w:proofErr w:type="spellStart"/>
            <w:r w:rsidRPr="00C94833">
              <w:rPr>
                <w:sz w:val="16"/>
                <w:szCs w:val="16"/>
              </w:rPr>
              <w:t>Immunomat</w:t>
            </w:r>
            <w:proofErr w:type="spellEnd"/>
            <w:r w:rsidRPr="00C94833">
              <w:rPr>
                <w:sz w:val="16"/>
                <w:szCs w:val="16"/>
              </w:rPr>
              <w:t>. CE ir IVD ženklinimas.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60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1-16; 20-21; 28-29 psl.</w:t>
            </w:r>
          </w:p>
        </w:tc>
        <w:tc>
          <w:tcPr>
            <w:tcW w:w="2551" w:type="dxa"/>
            <w:gridSpan w:val="2"/>
            <w:vAlign w:val="center"/>
          </w:tcPr>
          <w:p w14:paraId="48EFD79B" w14:textId="05058863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, ESR104G/ESR104M; fasuotė 1x96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342F240F" w14:textId="404DF3FD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testas</w:t>
            </w:r>
          </w:p>
        </w:tc>
        <w:tc>
          <w:tcPr>
            <w:tcW w:w="1275" w:type="dxa"/>
            <w:gridSpan w:val="2"/>
            <w:vAlign w:val="center"/>
          </w:tcPr>
          <w:p w14:paraId="0F87299F" w14:textId="09960954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960</w:t>
            </w:r>
          </w:p>
        </w:tc>
        <w:tc>
          <w:tcPr>
            <w:tcW w:w="993" w:type="dxa"/>
            <w:gridSpan w:val="3"/>
            <w:vAlign w:val="center"/>
          </w:tcPr>
          <w:p w14:paraId="4F5467E4" w14:textId="57E57D1E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992" w:type="dxa"/>
            <w:gridSpan w:val="2"/>
            <w:vAlign w:val="center"/>
          </w:tcPr>
          <w:p w14:paraId="74227954" w14:textId="3898E1B4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6995941C" w14:textId="12CF0951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2,7225</w:t>
            </w:r>
          </w:p>
        </w:tc>
        <w:tc>
          <w:tcPr>
            <w:tcW w:w="850" w:type="dxa"/>
            <w:gridSpan w:val="2"/>
            <w:vAlign w:val="center"/>
          </w:tcPr>
          <w:p w14:paraId="2A5FD51C" w14:textId="1B7B7D9C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2160,00</w:t>
            </w:r>
          </w:p>
        </w:tc>
        <w:tc>
          <w:tcPr>
            <w:tcW w:w="992" w:type="dxa"/>
            <w:vAlign w:val="center"/>
          </w:tcPr>
          <w:p w14:paraId="397F4BF8" w14:textId="19FDCC74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2613,60</w:t>
            </w:r>
          </w:p>
        </w:tc>
      </w:tr>
      <w:tr w:rsidR="00F55E2C" w:rsidRPr="00C94833" w14:paraId="27238AA0" w14:textId="77777777" w:rsidTr="00CF44B5">
        <w:trPr>
          <w:trHeight w:val="1272"/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4EA6E567" w14:textId="776BD20F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985" w:type="dxa"/>
            <w:gridSpan w:val="2"/>
            <w:shd w:val="clear" w:color="auto" w:fill="D9E2F3" w:themeFill="accent1" w:themeFillTint="33"/>
            <w:vAlign w:val="center"/>
          </w:tcPr>
          <w:p w14:paraId="73BB6D84" w14:textId="7E66799D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Reagentai atrankiniam s ŽIV ir raudonukės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bei tymų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tyrimams antikūnų tyrimams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mikroplokštelių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metodu</w:t>
            </w:r>
          </w:p>
        </w:tc>
        <w:tc>
          <w:tcPr>
            <w:tcW w:w="1133" w:type="dxa"/>
            <w:shd w:val="clear" w:color="auto" w:fill="D9E2F3" w:themeFill="accent1" w:themeFillTint="33"/>
            <w:vAlign w:val="center"/>
          </w:tcPr>
          <w:p w14:paraId="78655DA1" w14:textId="02305E20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shd w:val="clear" w:color="auto" w:fill="D9E2F3" w:themeFill="accent1" w:themeFillTint="33"/>
            <w:vAlign w:val="center"/>
          </w:tcPr>
          <w:p w14:paraId="63C5F348" w14:textId="34678399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D9E2F3" w:themeFill="accent1" w:themeFillTint="33"/>
            <w:vAlign w:val="center"/>
          </w:tcPr>
          <w:p w14:paraId="3C12EC7F" w14:textId="6ADCD1BF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3D0787B9" w14:textId="57080CB8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D9E2F3" w:themeFill="accent1" w:themeFillTint="33"/>
            <w:vAlign w:val="center"/>
          </w:tcPr>
          <w:p w14:paraId="64EE97E6" w14:textId="04C3650B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D9E2F3" w:themeFill="accent1" w:themeFillTint="33"/>
            <w:vAlign w:val="center"/>
          </w:tcPr>
          <w:p w14:paraId="30464EA3" w14:textId="3A771091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14439544" w14:textId="18601E4C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D9E2F3" w:themeFill="accent1" w:themeFillTint="33"/>
            <w:vAlign w:val="center"/>
          </w:tcPr>
          <w:p w14:paraId="7FC20134" w14:textId="4830EF7B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50B52E3D" w14:textId="1946B240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1BBA7DC" w14:textId="03F997F1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F55E2C" w:rsidRPr="00C94833" w14:paraId="4D5DF0A2" w14:textId="77777777" w:rsidTr="009B6A5C">
        <w:trPr>
          <w:trHeight w:val="1272"/>
          <w:tblHeader/>
        </w:trPr>
        <w:tc>
          <w:tcPr>
            <w:tcW w:w="851" w:type="dxa"/>
            <w:vAlign w:val="center"/>
          </w:tcPr>
          <w:p w14:paraId="227A7789" w14:textId="5028A2D6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lastRenderedPageBreak/>
              <w:t>77.1</w:t>
            </w:r>
          </w:p>
        </w:tc>
        <w:tc>
          <w:tcPr>
            <w:tcW w:w="1985" w:type="dxa"/>
            <w:gridSpan w:val="2"/>
            <w:vAlign w:val="center"/>
          </w:tcPr>
          <w:p w14:paraId="4F4879FE" w14:textId="41FBBAF1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Reagentai raudonukės 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nustatymui</w:t>
            </w:r>
          </w:p>
        </w:tc>
        <w:tc>
          <w:tcPr>
            <w:tcW w:w="1133" w:type="dxa"/>
            <w:vAlign w:val="center"/>
          </w:tcPr>
          <w:p w14:paraId="2A7CDA18" w14:textId="713F892A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12C795E0" w14:textId="2D7DF364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77.1 </w:t>
            </w:r>
            <w:proofErr w:type="spellStart"/>
            <w:r w:rsidRPr="00C94833">
              <w:rPr>
                <w:sz w:val="16"/>
                <w:szCs w:val="16"/>
              </w:rPr>
              <w:t>Platelia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Rubella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yra reagentai raudonukės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nustatymui IFA metodu 96 šulinėlių plokštelių formatu. Į rinkinius įeina </w:t>
            </w:r>
            <w:proofErr w:type="spellStart"/>
            <w:r w:rsidRPr="00C94833">
              <w:rPr>
                <w:sz w:val="16"/>
                <w:szCs w:val="16"/>
              </w:rPr>
              <w:t>kalibratorius</w:t>
            </w:r>
            <w:proofErr w:type="spellEnd"/>
            <w:r w:rsidRPr="00C94833">
              <w:rPr>
                <w:sz w:val="16"/>
                <w:szCs w:val="16"/>
              </w:rPr>
              <w:t>, neigiama, teigiama kontrolės bei raudonukės antigenas ir kiti reikalingi tyrimui atlikti reagentai. Plokštelės laužomos po aštuonis šulinėlius. CE ir IVD ženklinimas.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77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3; 5-6; 54-57 psl.</w:t>
            </w:r>
          </w:p>
        </w:tc>
        <w:tc>
          <w:tcPr>
            <w:tcW w:w="2551" w:type="dxa"/>
            <w:gridSpan w:val="2"/>
            <w:vAlign w:val="center"/>
          </w:tcPr>
          <w:p w14:paraId="0DCD6CF9" w14:textId="38994ED7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Bio-rad</w:t>
            </w:r>
            <w:proofErr w:type="spellEnd"/>
            <w:r w:rsidRPr="00C94833">
              <w:rPr>
                <w:sz w:val="16"/>
                <w:szCs w:val="16"/>
              </w:rPr>
              <w:t xml:space="preserve">, 72851, 1x96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1CDA4195" w14:textId="134AF9D2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1 tyrimas</w:t>
            </w:r>
          </w:p>
        </w:tc>
        <w:tc>
          <w:tcPr>
            <w:tcW w:w="1275" w:type="dxa"/>
            <w:gridSpan w:val="2"/>
            <w:vAlign w:val="center"/>
          </w:tcPr>
          <w:p w14:paraId="7C12C2A6" w14:textId="3E5E991F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993" w:type="dxa"/>
            <w:gridSpan w:val="3"/>
            <w:vAlign w:val="center"/>
          </w:tcPr>
          <w:p w14:paraId="76C24C1E" w14:textId="07840941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5,50</w:t>
            </w:r>
          </w:p>
        </w:tc>
        <w:tc>
          <w:tcPr>
            <w:tcW w:w="992" w:type="dxa"/>
            <w:gridSpan w:val="2"/>
            <w:vAlign w:val="center"/>
          </w:tcPr>
          <w:p w14:paraId="16EF17CF" w14:textId="00FF49EC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6D710BE1" w14:textId="37D45E03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6,66</w:t>
            </w:r>
          </w:p>
        </w:tc>
        <w:tc>
          <w:tcPr>
            <w:tcW w:w="850" w:type="dxa"/>
            <w:gridSpan w:val="2"/>
            <w:vAlign w:val="center"/>
          </w:tcPr>
          <w:p w14:paraId="24E1B2F9" w14:textId="4D0E65F7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1056,00</w:t>
            </w:r>
          </w:p>
        </w:tc>
        <w:tc>
          <w:tcPr>
            <w:tcW w:w="992" w:type="dxa"/>
            <w:vAlign w:val="center"/>
          </w:tcPr>
          <w:p w14:paraId="019BB43B" w14:textId="7FCBC074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1277,76</w:t>
            </w:r>
          </w:p>
        </w:tc>
      </w:tr>
      <w:tr w:rsidR="00F55E2C" w:rsidRPr="00C94833" w14:paraId="66D51AF1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7B4CF172" w14:textId="52F737D8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1985" w:type="dxa"/>
            <w:gridSpan w:val="2"/>
            <w:vAlign w:val="center"/>
          </w:tcPr>
          <w:p w14:paraId="51D78B3D" w14:textId="6C7259A1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ŽIV1/2 antikūnų/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Ag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 atrankiniams tyrimams (96x5)</w:t>
            </w:r>
          </w:p>
        </w:tc>
        <w:tc>
          <w:tcPr>
            <w:tcW w:w="1133" w:type="dxa"/>
            <w:vAlign w:val="center"/>
          </w:tcPr>
          <w:p w14:paraId="5505817E" w14:textId="62EF9F55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4F45B2E9" w14:textId="79E57949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77.2 </w:t>
            </w:r>
            <w:proofErr w:type="spellStart"/>
            <w:r w:rsidRPr="00C94833">
              <w:rPr>
                <w:sz w:val="16"/>
                <w:szCs w:val="16"/>
              </w:rPr>
              <w:t>Genscreen</w:t>
            </w:r>
            <w:proofErr w:type="spellEnd"/>
            <w:r w:rsidRPr="00C94833">
              <w:rPr>
                <w:sz w:val="16"/>
                <w:szCs w:val="16"/>
              </w:rPr>
              <w:t xml:space="preserve"> ULTRA HIV </w:t>
            </w:r>
            <w:proofErr w:type="spellStart"/>
            <w:r w:rsidRPr="00C94833">
              <w:rPr>
                <w:sz w:val="16"/>
                <w:szCs w:val="16"/>
              </w:rPr>
              <w:t>Ag-Ab</w:t>
            </w:r>
            <w:proofErr w:type="spellEnd"/>
            <w:r w:rsidRPr="00C94833">
              <w:rPr>
                <w:sz w:val="16"/>
                <w:szCs w:val="16"/>
              </w:rPr>
              <w:t xml:space="preserve"> yra rinkiniai ŽIV 1/2 antikūnų ir antigeno nustatymui IFA metodu 96 šulinėlių plokštelių formatu. Rinkiniai po penkias plokšteles. Plokštelės laužomos po aštuonis šulinėlius. CE ir IVD ženklinimas.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77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22; 24-25; 54-57 psl.</w:t>
            </w:r>
          </w:p>
        </w:tc>
        <w:tc>
          <w:tcPr>
            <w:tcW w:w="2551" w:type="dxa"/>
            <w:gridSpan w:val="2"/>
            <w:vAlign w:val="center"/>
          </w:tcPr>
          <w:p w14:paraId="3FED8350" w14:textId="736AD2D6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Bio-rad</w:t>
            </w:r>
            <w:proofErr w:type="spellEnd"/>
            <w:r w:rsidRPr="00C94833">
              <w:rPr>
                <w:sz w:val="16"/>
                <w:szCs w:val="16"/>
              </w:rPr>
              <w:t xml:space="preserve">, 72388, 5x96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15D378C5" w14:textId="6AFE20BA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1 tyrimas</w:t>
            </w:r>
          </w:p>
        </w:tc>
        <w:tc>
          <w:tcPr>
            <w:tcW w:w="1275" w:type="dxa"/>
            <w:gridSpan w:val="2"/>
            <w:vAlign w:val="center"/>
          </w:tcPr>
          <w:p w14:paraId="6CCCD5D6" w14:textId="323A8206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9600</w:t>
            </w:r>
          </w:p>
        </w:tc>
        <w:tc>
          <w:tcPr>
            <w:tcW w:w="993" w:type="dxa"/>
            <w:gridSpan w:val="3"/>
            <w:vAlign w:val="center"/>
          </w:tcPr>
          <w:p w14:paraId="09345C65" w14:textId="5EAAE05E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992" w:type="dxa"/>
            <w:gridSpan w:val="2"/>
            <w:vAlign w:val="center"/>
          </w:tcPr>
          <w:p w14:paraId="38C946AA" w14:textId="151555EE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1CA8B589" w14:textId="64275C8B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1,82</w:t>
            </w:r>
          </w:p>
        </w:tc>
        <w:tc>
          <w:tcPr>
            <w:tcW w:w="850" w:type="dxa"/>
            <w:gridSpan w:val="2"/>
            <w:vAlign w:val="center"/>
          </w:tcPr>
          <w:p w14:paraId="0F491114" w14:textId="551623A0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14400,00</w:t>
            </w:r>
          </w:p>
        </w:tc>
        <w:tc>
          <w:tcPr>
            <w:tcW w:w="992" w:type="dxa"/>
            <w:vAlign w:val="center"/>
          </w:tcPr>
          <w:p w14:paraId="0120EA9C" w14:textId="73428E45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17424,00</w:t>
            </w:r>
          </w:p>
        </w:tc>
      </w:tr>
      <w:tr w:rsidR="00F55E2C" w:rsidRPr="00C94833" w14:paraId="17E6538F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0543889E" w14:textId="7A12E9DC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1985" w:type="dxa"/>
            <w:gridSpan w:val="2"/>
            <w:vAlign w:val="center"/>
          </w:tcPr>
          <w:p w14:paraId="0ADCBB3E" w14:textId="42A29A6D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Reagentai Tymų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nustatymui</w:t>
            </w:r>
          </w:p>
        </w:tc>
        <w:tc>
          <w:tcPr>
            <w:tcW w:w="1133" w:type="dxa"/>
            <w:vAlign w:val="center"/>
          </w:tcPr>
          <w:p w14:paraId="5107E295" w14:textId="730B2B06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368C5CA6" w14:textId="0E7E86CF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77.3 </w:t>
            </w:r>
            <w:proofErr w:type="spellStart"/>
            <w:r w:rsidRPr="00C94833">
              <w:rPr>
                <w:sz w:val="16"/>
                <w:szCs w:val="16"/>
              </w:rPr>
              <w:t>Platelia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Measles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yra reagentai Tymų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antikūnams nustatyti </w:t>
            </w:r>
            <w:proofErr w:type="spellStart"/>
            <w:r w:rsidRPr="00C94833">
              <w:rPr>
                <w:sz w:val="16"/>
                <w:szCs w:val="16"/>
              </w:rPr>
              <w:t>capture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imunofermentiniu</w:t>
            </w:r>
            <w:proofErr w:type="spellEnd"/>
            <w:r w:rsidRPr="00C94833">
              <w:rPr>
                <w:sz w:val="16"/>
                <w:szCs w:val="16"/>
              </w:rPr>
              <w:t xml:space="preserve"> (IFA) metodu </w:t>
            </w:r>
            <w:proofErr w:type="spellStart"/>
            <w:r w:rsidRPr="00C94833">
              <w:rPr>
                <w:sz w:val="16"/>
                <w:szCs w:val="16"/>
              </w:rPr>
              <w:t>mikroplokštelių</w:t>
            </w:r>
            <w:proofErr w:type="spellEnd"/>
            <w:r w:rsidRPr="00C94833">
              <w:rPr>
                <w:sz w:val="16"/>
                <w:szCs w:val="16"/>
              </w:rPr>
              <w:t xml:space="preserve"> formatu žmogaus serume. Pakuotėje 48 testai. Į rinkinį įeina teigiama, neigiama, ribinė kontrolės bei tymų antigenas ir visi reikalingi tirpalai ir priedai tyrimui atlikti. CE ir IVD ženklinimas.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77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40; 42-43; 54-57 psl.</w:t>
            </w:r>
          </w:p>
        </w:tc>
        <w:tc>
          <w:tcPr>
            <w:tcW w:w="2551" w:type="dxa"/>
            <w:gridSpan w:val="2"/>
            <w:vAlign w:val="center"/>
          </w:tcPr>
          <w:p w14:paraId="41CB2312" w14:textId="27066FF8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Bio-rad</w:t>
            </w:r>
            <w:proofErr w:type="spellEnd"/>
            <w:r w:rsidRPr="00C94833">
              <w:rPr>
                <w:sz w:val="16"/>
                <w:szCs w:val="16"/>
              </w:rPr>
              <w:t xml:space="preserve">, 72687, 1x48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290D506B" w14:textId="3D023C7C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testas</w:t>
            </w:r>
          </w:p>
        </w:tc>
        <w:tc>
          <w:tcPr>
            <w:tcW w:w="1275" w:type="dxa"/>
            <w:gridSpan w:val="2"/>
            <w:vAlign w:val="center"/>
          </w:tcPr>
          <w:p w14:paraId="7ED2DB67" w14:textId="19D72E27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993" w:type="dxa"/>
            <w:gridSpan w:val="3"/>
            <w:vAlign w:val="center"/>
          </w:tcPr>
          <w:p w14:paraId="7A380A02" w14:textId="122A0A1D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92" w:type="dxa"/>
            <w:gridSpan w:val="2"/>
            <w:vAlign w:val="center"/>
          </w:tcPr>
          <w:p w14:paraId="52E4D7DA" w14:textId="29E60EB1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30399A0B" w14:textId="3612DB42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6,05</w:t>
            </w:r>
          </w:p>
        </w:tc>
        <w:tc>
          <w:tcPr>
            <w:tcW w:w="850" w:type="dxa"/>
            <w:gridSpan w:val="2"/>
            <w:vAlign w:val="center"/>
          </w:tcPr>
          <w:p w14:paraId="2CD7554A" w14:textId="0AB4AE13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2400,00</w:t>
            </w:r>
          </w:p>
        </w:tc>
        <w:tc>
          <w:tcPr>
            <w:tcW w:w="992" w:type="dxa"/>
            <w:vAlign w:val="center"/>
          </w:tcPr>
          <w:p w14:paraId="5BEFC1B0" w14:textId="3022C2D6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2904,00</w:t>
            </w:r>
          </w:p>
        </w:tc>
      </w:tr>
      <w:tr w:rsidR="00F55E2C" w:rsidRPr="00C94833" w14:paraId="07426E43" w14:textId="77777777" w:rsidTr="00F62B2F">
        <w:trPr>
          <w:trHeight w:val="699"/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7A204786" w14:textId="5529AE1A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85" w:type="dxa"/>
            <w:gridSpan w:val="2"/>
            <w:shd w:val="clear" w:color="auto" w:fill="D9E2F3" w:themeFill="accent1" w:themeFillTint="33"/>
            <w:vAlign w:val="center"/>
          </w:tcPr>
          <w:p w14:paraId="4364D0D2" w14:textId="3B08F0B7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Reagentai erkių platinamų ligų antikūnų diagnostikai</w:t>
            </w:r>
          </w:p>
        </w:tc>
        <w:tc>
          <w:tcPr>
            <w:tcW w:w="1133" w:type="dxa"/>
            <w:shd w:val="clear" w:color="auto" w:fill="D9E2F3" w:themeFill="accent1" w:themeFillTint="33"/>
            <w:vAlign w:val="center"/>
          </w:tcPr>
          <w:p w14:paraId="0DABECEC" w14:textId="5110C4DD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shd w:val="clear" w:color="auto" w:fill="D9E2F3" w:themeFill="accent1" w:themeFillTint="33"/>
            <w:vAlign w:val="center"/>
          </w:tcPr>
          <w:p w14:paraId="17ACCB0A" w14:textId="5234DD0B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D9E2F3" w:themeFill="accent1" w:themeFillTint="33"/>
            <w:vAlign w:val="center"/>
          </w:tcPr>
          <w:p w14:paraId="5AF6060A" w14:textId="31EFA90B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2B528B72" w14:textId="5C75E56F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D9E2F3" w:themeFill="accent1" w:themeFillTint="33"/>
            <w:vAlign w:val="center"/>
          </w:tcPr>
          <w:p w14:paraId="18BC57C7" w14:textId="2BFB22E1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D9E2F3" w:themeFill="accent1" w:themeFillTint="33"/>
            <w:vAlign w:val="center"/>
          </w:tcPr>
          <w:p w14:paraId="0C802C16" w14:textId="0E4FF1C7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2C2803B6" w14:textId="42032930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D9E2F3" w:themeFill="accent1" w:themeFillTint="33"/>
            <w:vAlign w:val="center"/>
          </w:tcPr>
          <w:p w14:paraId="16232E0B" w14:textId="76414BBB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5EAA1610" w14:textId="25883AB7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E1D5B40" w14:textId="6E96AD6E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F55E2C" w:rsidRPr="00C94833" w14:paraId="06A54376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1A8CA2CF" w14:textId="7557BE94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lastRenderedPageBreak/>
              <w:t>80.1</w:t>
            </w:r>
          </w:p>
        </w:tc>
        <w:tc>
          <w:tcPr>
            <w:tcW w:w="1985" w:type="dxa"/>
            <w:gridSpan w:val="2"/>
            <w:vAlign w:val="center"/>
          </w:tcPr>
          <w:p w14:paraId="204EA7F5" w14:textId="423722BC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Laimo ligos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IgG</w:t>
            </w:r>
            <w:proofErr w:type="spellEnd"/>
          </w:p>
        </w:tc>
        <w:tc>
          <w:tcPr>
            <w:tcW w:w="1133" w:type="dxa"/>
            <w:vAlign w:val="center"/>
          </w:tcPr>
          <w:p w14:paraId="048E23CB" w14:textId="583C6096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5BFFE8A7" w14:textId="1F522F9D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80.1 SERION ELISA </w:t>
            </w:r>
            <w:proofErr w:type="spellStart"/>
            <w:r w:rsidRPr="00C94833">
              <w:rPr>
                <w:sz w:val="16"/>
                <w:szCs w:val="16"/>
              </w:rPr>
              <w:t>classic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Borrelia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burgdorferi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reagentų rinkinys yra skirtas boreliozės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antikūnų nustatymui IFA metodu. Plokštelės laužomos yra po 1 šulinėlį.  Tie patys rinkiniai yra tinkami kraujo bei nugaros smegenų skysčio tyrimams. </w:t>
            </w:r>
            <w:proofErr w:type="spellStart"/>
            <w:r w:rsidRPr="00C94833">
              <w:rPr>
                <w:sz w:val="16"/>
                <w:szCs w:val="16"/>
              </w:rPr>
              <w:t>Kalibratoriams</w:t>
            </w:r>
            <w:proofErr w:type="spellEnd"/>
            <w:r w:rsidRPr="00C94833">
              <w:rPr>
                <w:sz w:val="16"/>
                <w:szCs w:val="16"/>
              </w:rPr>
              <w:t xml:space="preserve">, kontrolėms bei blankui yra reikalingai 4 šulinėliai. Visi reagentai paruošti naudoti. Bus pateikiamos kitos reikalingas priemonės tyrimams atlikti, jei neįeina į rinkinius. Visi rinkiniai vieno gamintojo. Pateikiamas automatinis protokolas tyrimų atlikimui ir bus atliekamas jo įdiegimas į analizatorių BEP 2000 arba </w:t>
            </w:r>
            <w:proofErr w:type="spellStart"/>
            <w:r w:rsidRPr="00C94833">
              <w:rPr>
                <w:sz w:val="16"/>
                <w:szCs w:val="16"/>
              </w:rPr>
              <w:t>Immunomat</w:t>
            </w:r>
            <w:proofErr w:type="spellEnd"/>
            <w:r w:rsidRPr="00C94833">
              <w:rPr>
                <w:sz w:val="16"/>
                <w:szCs w:val="16"/>
              </w:rPr>
              <w:t>. CE ir IVD ženklinimas.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80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1-6; 7-12; 15; 17; 24; 76-83 psl.</w:t>
            </w:r>
          </w:p>
        </w:tc>
        <w:tc>
          <w:tcPr>
            <w:tcW w:w="2551" w:type="dxa"/>
            <w:gridSpan w:val="2"/>
            <w:vAlign w:val="center"/>
          </w:tcPr>
          <w:p w14:paraId="038D3A92" w14:textId="2EF95AB3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, ESR121G, fasuotė 1x96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5C0C95BB" w14:textId="2F195580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testas</w:t>
            </w:r>
          </w:p>
        </w:tc>
        <w:tc>
          <w:tcPr>
            <w:tcW w:w="1275" w:type="dxa"/>
            <w:gridSpan w:val="2"/>
            <w:vAlign w:val="center"/>
          </w:tcPr>
          <w:p w14:paraId="69D90497" w14:textId="79F1EC7C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1920</w:t>
            </w:r>
          </w:p>
        </w:tc>
        <w:tc>
          <w:tcPr>
            <w:tcW w:w="993" w:type="dxa"/>
            <w:gridSpan w:val="3"/>
            <w:vAlign w:val="center"/>
          </w:tcPr>
          <w:p w14:paraId="45921702" w14:textId="051B4E24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992" w:type="dxa"/>
            <w:gridSpan w:val="2"/>
            <w:vAlign w:val="center"/>
          </w:tcPr>
          <w:p w14:paraId="10896EC3" w14:textId="10805C98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036AE9D0" w14:textId="7DC3C9D3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2,7225</w:t>
            </w:r>
          </w:p>
        </w:tc>
        <w:tc>
          <w:tcPr>
            <w:tcW w:w="850" w:type="dxa"/>
            <w:gridSpan w:val="2"/>
            <w:vAlign w:val="center"/>
          </w:tcPr>
          <w:p w14:paraId="3798822A" w14:textId="6B86CC00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4320,00</w:t>
            </w:r>
          </w:p>
        </w:tc>
        <w:tc>
          <w:tcPr>
            <w:tcW w:w="992" w:type="dxa"/>
            <w:vAlign w:val="center"/>
          </w:tcPr>
          <w:p w14:paraId="70C66889" w14:textId="1727B6BC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5227,20</w:t>
            </w:r>
          </w:p>
        </w:tc>
      </w:tr>
      <w:tr w:rsidR="00F55E2C" w:rsidRPr="00C94833" w14:paraId="29BC03CA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0D19CABB" w14:textId="61A4083A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lastRenderedPageBreak/>
              <w:t>80.2</w:t>
            </w:r>
          </w:p>
        </w:tc>
        <w:tc>
          <w:tcPr>
            <w:tcW w:w="1985" w:type="dxa"/>
            <w:gridSpan w:val="2"/>
            <w:vAlign w:val="center"/>
          </w:tcPr>
          <w:p w14:paraId="318318A3" w14:textId="6CDC8963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Laimo  ligos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IgM</w:t>
            </w:r>
            <w:proofErr w:type="spellEnd"/>
          </w:p>
        </w:tc>
        <w:tc>
          <w:tcPr>
            <w:tcW w:w="1133" w:type="dxa"/>
            <w:vAlign w:val="center"/>
          </w:tcPr>
          <w:p w14:paraId="0D55019B" w14:textId="638F7F84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112B495D" w14:textId="4D6196E1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80.2 SERION ELISA </w:t>
            </w:r>
            <w:proofErr w:type="spellStart"/>
            <w:r w:rsidRPr="00C94833">
              <w:rPr>
                <w:sz w:val="16"/>
                <w:szCs w:val="16"/>
              </w:rPr>
              <w:t>classic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Borrelia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burgdorferi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reagentų rinkinys yra skirtas boreliozės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antikūnų nustatymui IFA metodu. Plokštelės laužomos yra po 1 šulinėlį.  Tie patys rinkiniai yra tinkami kraujo bei nugaros smegenų skysčio tyrimams. </w:t>
            </w:r>
            <w:proofErr w:type="spellStart"/>
            <w:r w:rsidRPr="00C94833">
              <w:rPr>
                <w:sz w:val="16"/>
                <w:szCs w:val="16"/>
              </w:rPr>
              <w:t>Kalibratoriams</w:t>
            </w:r>
            <w:proofErr w:type="spellEnd"/>
            <w:r w:rsidRPr="00C94833">
              <w:rPr>
                <w:sz w:val="16"/>
                <w:szCs w:val="16"/>
              </w:rPr>
              <w:t xml:space="preserve">, kontrolėms bei blankui yra reikalingai 4 šulinėliai. Visi reagentai paruošti naudoti. Bus pateikiamos kitos reikalingas priemonės tyrimams atlikti, jei neįeina į rinkinius. Visi rinkiniai vieno gamintojo. Pateikiamas automatinis protokolas tyrimų atlikimui ir bus atliekamas jo įdiegimas į analizatorių BEP 2000 arba </w:t>
            </w:r>
            <w:proofErr w:type="spellStart"/>
            <w:r w:rsidRPr="00C94833">
              <w:rPr>
                <w:sz w:val="16"/>
                <w:szCs w:val="16"/>
              </w:rPr>
              <w:t>Immunomat</w:t>
            </w:r>
            <w:proofErr w:type="spellEnd"/>
            <w:r w:rsidRPr="00C94833">
              <w:rPr>
                <w:sz w:val="16"/>
                <w:szCs w:val="16"/>
              </w:rPr>
              <w:t>. CE ir IVD ženklinimas.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80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7-12; 15; 17; 24; 76-83 psl.</w:t>
            </w:r>
          </w:p>
        </w:tc>
        <w:tc>
          <w:tcPr>
            <w:tcW w:w="2551" w:type="dxa"/>
            <w:gridSpan w:val="2"/>
            <w:vAlign w:val="center"/>
          </w:tcPr>
          <w:p w14:paraId="44AA3526" w14:textId="2FC03EB9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, ESR121M, fasuotė 1x96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50C5CDC4" w14:textId="7D331466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testas</w:t>
            </w:r>
          </w:p>
        </w:tc>
        <w:tc>
          <w:tcPr>
            <w:tcW w:w="1275" w:type="dxa"/>
            <w:gridSpan w:val="2"/>
            <w:vAlign w:val="center"/>
          </w:tcPr>
          <w:p w14:paraId="4F73C5AC" w14:textId="2BA27B0D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1920</w:t>
            </w:r>
          </w:p>
        </w:tc>
        <w:tc>
          <w:tcPr>
            <w:tcW w:w="993" w:type="dxa"/>
            <w:gridSpan w:val="3"/>
            <w:vAlign w:val="center"/>
          </w:tcPr>
          <w:p w14:paraId="27733FC9" w14:textId="64A8D93B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992" w:type="dxa"/>
            <w:gridSpan w:val="2"/>
            <w:vAlign w:val="center"/>
          </w:tcPr>
          <w:p w14:paraId="0B62D5DE" w14:textId="1C26AC44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69B362F0" w14:textId="4333CF86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2,7225</w:t>
            </w:r>
          </w:p>
        </w:tc>
        <w:tc>
          <w:tcPr>
            <w:tcW w:w="850" w:type="dxa"/>
            <w:gridSpan w:val="2"/>
            <w:vAlign w:val="center"/>
          </w:tcPr>
          <w:p w14:paraId="21E7815B" w14:textId="57FC8738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4320,00</w:t>
            </w:r>
          </w:p>
        </w:tc>
        <w:tc>
          <w:tcPr>
            <w:tcW w:w="992" w:type="dxa"/>
            <w:vAlign w:val="center"/>
          </w:tcPr>
          <w:p w14:paraId="495A56AD" w14:textId="0217A7C9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5227,20</w:t>
            </w:r>
          </w:p>
        </w:tc>
      </w:tr>
      <w:tr w:rsidR="00F55E2C" w:rsidRPr="00C94833" w14:paraId="3C5D2D00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2CEA272A" w14:textId="28100E29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lastRenderedPageBreak/>
              <w:t>80.3</w:t>
            </w:r>
          </w:p>
        </w:tc>
        <w:tc>
          <w:tcPr>
            <w:tcW w:w="1985" w:type="dxa"/>
            <w:gridSpan w:val="2"/>
            <w:vAlign w:val="center"/>
          </w:tcPr>
          <w:p w14:paraId="2DED3460" w14:textId="0AFBFD82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Erkinio encefalito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IgG</w:t>
            </w:r>
            <w:proofErr w:type="spellEnd"/>
          </w:p>
        </w:tc>
        <w:tc>
          <w:tcPr>
            <w:tcW w:w="1133" w:type="dxa"/>
            <w:vAlign w:val="center"/>
          </w:tcPr>
          <w:p w14:paraId="7FFF109A" w14:textId="00392A10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772CD9F4" w14:textId="2C0F6661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80.3 SERION ELISA </w:t>
            </w:r>
            <w:proofErr w:type="spellStart"/>
            <w:r w:rsidRPr="00C94833">
              <w:rPr>
                <w:sz w:val="16"/>
                <w:szCs w:val="16"/>
              </w:rPr>
              <w:t>classic</w:t>
            </w:r>
            <w:proofErr w:type="spellEnd"/>
            <w:r w:rsidRPr="00C94833">
              <w:rPr>
                <w:sz w:val="16"/>
                <w:szCs w:val="16"/>
              </w:rPr>
              <w:t xml:space="preserve"> TBE Virus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reagentų rinkinys yra skirtas encefalito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antikūnų nustatymui IFA metodu. Plokštelės laužomos yra po 1 šulinėlį.  Tie patys rinkiniai yra tinkami kraujo bei nugaros smegenų skysčio tyrimams. </w:t>
            </w:r>
            <w:proofErr w:type="spellStart"/>
            <w:r w:rsidRPr="00C94833">
              <w:rPr>
                <w:sz w:val="16"/>
                <w:szCs w:val="16"/>
              </w:rPr>
              <w:t>Kalibratoriams</w:t>
            </w:r>
            <w:proofErr w:type="spellEnd"/>
            <w:r w:rsidRPr="00C94833">
              <w:rPr>
                <w:sz w:val="16"/>
                <w:szCs w:val="16"/>
              </w:rPr>
              <w:t xml:space="preserve">, kontrolėms bei blankui yra reikalingai 4 šulinėliai. Visi reagentai paruošti naudoti. Bus pateikiamos kitos reikalingas priemonės tyrimams atlikti, jei neįeina į rinkinius. Visi rinkiniai vieno gamintojo. Pateikiamas automatinis protokolas tyrimų atlikimui ir bus atliekamas jo įdiegimas į analizatorių BEP 2000 arba </w:t>
            </w:r>
            <w:proofErr w:type="spellStart"/>
            <w:r w:rsidRPr="00C94833">
              <w:rPr>
                <w:sz w:val="16"/>
                <w:szCs w:val="16"/>
              </w:rPr>
              <w:t>Immunomat</w:t>
            </w:r>
            <w:proofErr w:type="spellEnd"/>
            <w:r w:rsidRPr="00C94833">
              <w:rPr>
                <w:sz w:val="16"/>
                <w:szCs w:val="16"/>
              </w:rPr>
              <w:t>. CE ir IVD ženklinimas.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80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42; 44; 50; 64-69; 76-83 psl.</w:t>
            </w:r>
          </w:p>
        </w:tc>
        <w:tc>
          <w:tcPr>
            <w:tcW w:w="2551" w:type="dxa"/>
            <w:gridSpan w:val="2"/>
            <w:vAlign w:val="center"/>
          </w:tcPr>
          <w:p w14:paraId="0EB26925" w14:textId="65D7646A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, ESR112G, fasuotė 1x96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6D785B86" w14:textId="1334222F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testas</w:t>
            </w:r>
          </w:p>
        </w:tc>
        <w:tc>
          <w:tcPr>
            <w:tcW w:w="1275" w:type="dxa"/>
            <w:gridSpan w:val="2"/>
            <w:vAlign w:val="center"/>
          </w:tcPr>
          <w:p w14:paraId="3D5C0E87" w14:textId="52101939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1440</w:t>
            </w:r>
          </w:p>
        </w:tc>
        <w:tc>
          <w:tcPr>
            <w:tcW w:w="993" w:type="dxa"/>
            <w:gridSpan w:val="3"/>
            <w:vAlign w:val="center"/>
          </w:tcPr>
          <w:p w14:paraId="0FA62BC9" w14:textId="3A860C2C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92" w:type="dxa"/>
            <w:gridSpan w:val="2"/>
            <w:vAlign w:val="center"/>
          </w:tcPr>
          <w:p w14:paraId="74EA7038" w14:textId="1944A599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60E00901" w14:textId="32C781B2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2,4200</w:t>
            </w:r>
          </w:p>
        </w:tc>
        <w:tc>
          <w:tcPr>
            <w:tcW w:w="850" w:type="dxa"/>
            <w:gridSpan w:val="2"/>
            <w:vAlign w:val="center"/>
          </w:tcPr>
          <w:p w14:paraId="0DC66487" w14:textId="48A73445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2880,00</w:t>
            </w:r>
          </w:p>
        </w:tc>
        <w:tc>
          <w:tcPr>
            <w:tcW w:w="992" w:type="dxa"/>
            <w:vAlign w:val="center"/>
          </w:tcPr>
          <w:p w14:paraId="0F0B3782" w14:textId="0575D9C6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3484,80</w:t>
            </w:r>
          </w:p>
        </w:tc>
      </w:tr>
      <w:tr w:rsidR="00F55E2C" w:rsidRPr="00C94833" w14:paraId="795010B7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5D942A5F" w14:textId="3453BF68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lastRenderedPageBreak/>
              <w:t>80.4</w:t>
            </w:r>
          </w:p>
        </w:tc>
        <w:tc>
          <w:tcPr>
            <w:tcW w:w="1985" w:type="dxa"/>
            <w:gridSpan w:val="2"/>
            <w:vAlign w:val="center"/>
          </w:tcPr>
          <w:p w14:paraId="182A6265" w14:textId="0BE2C849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Erkinio encefalito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IgM</w:t>
            </w:r>
            <w:proofErr w:type="spellEnd"/>
          </w:p>
        </w:tc>
        <w:tc>
          <w:tcPr>
            <w:tcW w:w="1133" w:type="dxa"/>
            <w:vAlign w:val="center"/>
          </w:tcPr>
          <w:p w14:paraId="2D0D750A" w14:textId="162A4149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784FCAE2" w14:textId="6E1739CD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80.4 SERION ELISA </w:t>
            </w:r>
            <w:proofErr w:type="spellStart"/>
            <w:r w:rsidRPr="00C94833">
              <w:rPr>
                <w:sz w:val="16"/>
                <w:szCs w:val="16"/>
              </w:rPr>
              <w:t>classic</w:t>
            </w:r>
            <w:proofErr w:type="spellEnd"/>
            <w:r w:rsidRPr="00C94833">
              <w:rPr>
                <w:sz w:val="16"/>
                <w:szCs w:val="16"/>
              </w:rPr>
              <w:t xml:space="preserve"> TBE Virus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reagentų rinkinys yra skirtas encefalito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antikūnų nustatymui IFA metodu. Plokštelės laužomos yra po 1 šulinėlį. Tie patys rinkiniai yra tinkami kraujo bei nugaros smegenų skysčio tyrimams. </w:t>
            </w:r>
            <w:proofErr w:type="spellStart"/>
            <w:r w:rsidRPr="00C94833">
              <w:rPr>
                <w:sz w:val="16"/>
                <w:szCs w:val="16"/>
              </w:rPr>
              <w:t>Kalibratoriams</w:t>
            </w:r>
            <w:proofErr w:type="spellEnd"/>
            <w:r w:rsidRPr="00C94833">
              <w:rPr>
                <w:sz w:val="16"/>
                <w:szCs w:val="16"/>
              </w:rPr>
              <w:t xml:space="preserve">, kontrolėms bei blankui yra reikalingai 4 šulinėliai. Visi reagentai paruošti naudoti. Bus pateikiamos kitos reikalingas priemonės tyrimams atlikti, jei neįeina į rinkinius. Visi rinkiniai vieno gamintojo. Pateikiamas automatinis protokolas tyrimų atlikimui ir bus atliekamas jo įdiegimas į analizatorių BEP 2000 arba </w:t>
            </w:r>
            <w:proofErr w:type="spellStart"/>
            <w:r w:rsidRPr="00C94833">
              <w:rPr>
                <w:sz w:val="16"/>
                <w:szCs w:val="16"/>
              </w:rPr>
              <w:t>Immunomat</w:t>
            </w:r>
            <w:proofErr w:type="spellEnd"/>
            <w:r w:rsidRPr="00C94833">
              <w:rPr>
                <w:sz w:val="16"/>
                <w:szCs w:val="16"/>
              </w:rPr>
              <w:t>. CE ir IVD ženklinimas.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80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 42; 44; 50; 70-75; 76-83 psl.</w:t>
            </w:r>
          </w:p>
        </w:tc>
        <w:tc>
          <w:tcPr>
            <w:tcW w:w="2551" w:type="dxa"/>
            <w:gridSpan w:val="2"/>
            <w:vAlign w:val="center"/>
          </w:tcPr>
          <w:p w14:paraId="28274088" w14:textId="0C1154BA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, ESR112M, fasuotė 1x96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04E361C6" w14:textId="0FEC22BD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testas</w:t>
            </w:r>
          </w:p>
        </w:tc>
        <w:tc>
          <w:tcPr>
            <w:tcW w:w="1275" w:type="dxa"/>
            <w:gridSpan w:val="2"/>
            <w:vAlign w:val="center"/>
          </w:tcPr>
          <w:p w14:paraId="222A9D88" w14:textId="70FD64DB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1440</w:t>
            </w:r>
          </w:p>
        </w:tc>
        <w:tc>
          <w:tcPr>
            <w:tcW w:w="993" w:type="dxa"/>
            <w:gridSpan w:val="3"/>
            <w:vAlign w:val="center"/>
          </w:tcPr>
          <w:p w14:paraId="57EA3183" w14:textId="5A75E937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92" w:type="dxa"/>
            <w:gridSpan w:val="2"/>
            <w:vAlign w:val="center"/>
          </w:tcPr>
          <w:p w14:paraId="4E7A56E4" w14:textId="292FEE8B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46643CAC" w14:textId="007937B4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2,4200</w:t>
            </w:r>
          </w:p>
        </w:tc>
        <w:tc>
          <w:tcPr>
            <w:tcW w:w="850" w:type="dxa"/>
            <w:gridSpan w:val="2"/>
            <w:vAlign w:val="center"/>
          </w:tcPr>
          <w:p w14:paraId="0E787624" w14:textId="33E602D7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2880,00</w:t>
            </w:r>
          </w:p>
        </w:tc>
        <w:tc>
          <w:tcPr>
            <w:tcW w:w="992" w:type="dxa"/>
            <w:vAlign w:val="center"/>
          </w:tcPr>
          <w:p w14:paraId="3E590CE2" w14:textId="1A07C86D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3484,80</w:t>
            </w:r>
          </w:p>
        </w:tc>
      </w:tr>
      <w:tr w:rsidR="00F55E2C" w:rsidRPr="00C94833" w14:paraId="2462FF79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4E38313B" w14:textId="3998FCC4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1985" w:type="dxa"/>
            <w:gridSpan w:val="2"/>
            <w:vAlign w:val="center"/>
          </w:tcPr>
          <w:p w14:paraId="5CC571D5" w14:textId="3D25AE57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Tymų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G kontrolinis serumas</w:t>
            </w:r>
          </w:p>
        </w:tc>
        <w:tc>
          <w:tcPr>
            <w:tcW w:w="1133" w:type="dxa"/>
            <w:vAlign w:val="center"/>
          </w:tcPr>
          <w:p w14:paraId="1DACEA92" w14:textId="699E0FDA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0DAFB5FD" w14:textId="6FD30CA3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83. Žinomas teigiamas tymų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antikūnų </w:t>
            </w:r>
            <w:proofErr w:type="spellStart"/>
            <w:r w:rsidRPr="00C94833">
              <w:rPr>
                <w:sz w:val="16"/>
                <w:szCs w:val="16"/>
              </w:rPr>
              <w:t>antikūnų</w:t>
            </w:r>
            <w:proofErr w:type="spellEnd"/>
            <w:r w:rsidRPr="00C94833">
              <w:rPr>
                <w:sz w:val="16"/>
                <w:szCs w:val="16"/>
              </w:rPr>
              <w:t xml:space="preserve"> kontrolinis serumas yra tinkamas IFA tyrimams automatiniu analizatoriumi </w:t>
            </w:r>
            <w:proofErr w:type="spellStart"/>
            <w:r w:rsidRPr="00C94833">
              <w:rPr>
                <w:sz w:val="16"/>
                <w:szCs w:val="16"/>
              </w:rPr>
              <w:t>Immunomat</w:t>
            </w:r>
            <w:proofErr w:type="spellEnd"/>
            <w:r w:rsidRPr="00C94833">
              <w:rPr>
                <w:sz w:val="16"/>
                <w:szCs w:val="16"/>
              </w:rPr>
              <w:t xml:space="preserve"> (Prietaiso gamintojas </w:t>
            </w: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). Visi </w:t>
            </w: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 ELISA </w:t>
            </w:r>
            <w:proofErr w:type="spellStart"/>
            <w:r w:rsidRPr="00C94833">
              <w:rPr>
                <w:sz w:val="16"/>
                <w:szCs w:val="16"/>
              </w:rPr>
              <w:t>classic</w:t>
            </w:r>
            <w:proofErr w:type="spellEnd"/>
            <w:r w:rsidRPr="00C94833">
              <w:rPr>
                <w:sz w:val="16"/>
                <w:szCs w:val="16"/>
              </w:rPr>
              <w:t xml:space="preserve"> tyrimai yra </w:t>
            </w:r>
            <w:proofErr w:type="spellStart"/>
            <w:r w:rsidRPr="00C94833">
              <w:rPr>
                <w:sz w:val="16"/>
                <w:szCs w:val="16"/>
              </w:rPr>
              <w:t>validuoti</w:t>
            </w:r>
            <w:proofErr w:type="spellEnd"/>
            <w:r w:rsidRPr="00C94833">
              <w:rPr>
                <w:sz w:val="16"/>
                <w:szCs w:val="16"/>
              </w:rPr>
              <w:t xml:space="preserve"> ant šios </w:t>
            </w:r>
            <w:r w:rsidRPr="00C94833">
              <w:rPr>
                <w:sz w:val="16"/>
                <w:szCs w:val="16"/>
              </w:rPr>
              <w:br/>
            </w:r>
            <w:proofErr w:type="spellStart"/>
            <w:r w:rsidRPr="00C94833">
              <w:rPr>
                <w:sz w:val="16"/>
                <w:szCs w:val="16"/>
              </w:rPr>
              <w:t>autoamtinės</w:t>
            </w:r>
            <w:proofErr w:type="spellEnd"/>
            <w:r w:rsidRPr="00C94833">
              <w:rPr>
                <w:sz w:val="16"/>
                <w:szCs w:val="16"/>
              </w:rPr>
              <w:t xml:space="preserve"> sistemos (rinkiniai ir automatinė sistema yra to paties gamintojo).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83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1-10 psl.</w:t>
            </w:r>
          </w:p>
        </w:tc>
        <w:tc>
          <w:tcPr>
            <w:tcW w:w="2551" w:type="dxa"/>
            <w:gridSpan w:val="2"/>
            <w:vAlign w:val="center"/>
          </w:tcPr>
          <w:p w14:paraId="28E5614F" w14:textId="0E98BF61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>, BC102M, 1vnt.</w:t>
            </w:r>
          </w:p>
        </w:tc>
        <w:tc>
          <w:tcPr>
            <w:tcW w:w="851" w:type="dxa"/>
            <w:vAlign w:val="center"/>
          </w:tcPr>
          <w:p w14:paraId="02D2E899" w14:textId="14F2B0F3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vnt.</w:t>
            </w:r>
          </w:p>
        </w:tc>
        <w:tc>
          <w:tcPr>
            <w:tcW w:w="1275" w:type="dxa"/>
            <w:gridSpan w:val="2"/>
            <w:vAlign w:val="center"/>
          </w:tcPr>
          <w:p w14:paraId="7031E156" w14:textId="3D7B2368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3"/>
            <w:vAlign w:val="center"/>
          </w:tcPr>
          <w:p w14:paraId="449EA372" w14:textId="0089712B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gridSpan w:val="2"/>
            <w:vAlign w:val="center"/>
          </w:tcPr>
          <w:p w14:paraId="14F118EB" w14:textId="7A1660CF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0055B44F" w14:textId="5ABE4A62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96,80</w:t>
            </w:r>
          </w:p>
        </w:tc>
        <w:tc>
          <w:tcPr>
            <w:tcW w:w="850" w:type="dxa"/>
            <w:gridSpan w:val="2"/>
            <w:vAlign w:val="center"/>
          </w:tcPr>
          <w:p w14:paraId="72F2F25E" w14:textId="7291984C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640,00</w:t>
            </w:r>
          </w:p>
        </w:tc>
        <w:tc>
          <w:tcPr>
            <w:tcW w:w="992" w:type="dxa"/>
            <w:vAlign w:val="center"/>
          </w:tcPr>
          <w:p w14:paraId="6D48FEC7" w14:textId="126ACF32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774,40</w:t>
            </w:r>
          </w:p>
        </w:tc>
      </w:tr>
      <w:tr w:rsidR="00F55E2C" w:rsidRPr="00C94833" w14:paraId="5965AFA9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04EF7D15" w14:textId="79FC869F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1985" w:type="dxa"/>
            <w:gridSpan w:val="2"/>
            <w:vAlign w:val="center"/>
          </w:tcPr>
          <w:p w14:paraId="729E43FA" w14:textId="67C56FAE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Raudonukės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G kontrolinis serumas</w:t>
            </w:r>
          </w:p>
        </w:tc>
        <w:tc>
          <w:tcPr>
            <w:tcW w:w="1133" w:type="dxa"/>
            <w:vAlign w:val="center"/>
          </w:tcPr>
          <w:p w14:paraId="3CA2B43F" w14:textId="1C5A5209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33696500-0</w:t>
            </w:r>
          </w:p>
        </w:tc>
        <w:tc>
          <w:tcPr>
            <w:tcW w:w="1702" w:type="dxa"/>
            <w:vAlign w:val="center"/>
          </w:tcPr>
          <w:p w14:paraId="48E9BA6A" w14:textId="5009E55B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84. Žinomas teigiamas raudonukė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antikūnų </w:t>
            </w:r>
            <w:proofErr w:type="spellStart"/>
            <w:r w:rsidRPr="00C94833">
              <w:rPr>
                <w:sz w:val="16"/>
                <w:szCs w:val="16"/>
              </w:rPr>
              <w:t>antikūnų</w:t>
            </w:r>
            <w:proofErr w:type="spellEnd"/>
            <w:r w:rsidRPr="00C94833">
              <w:rPr>
                <w:sz w:val="16"/>
                <w:szCs w:val="16"/>
              </w:rPr>
              <w:t xml:space="preserve"> kontrolinis serumas yra tinkamas IFA tyrimams automatiniu analizatoriumi </w:t>
            </w:r>
            <w:proofErr w:type="spellStart"/>
            <w:r w:rsidRPr="00C94833">
              <w:rPr>
                <w:sz w:val="16"/>
                <w:szCs w:val="16"/>
              </w:rPr>
              <w:t>Immunomat</w:t>
            </w:r>
            <w:proofErr w:type="spellEnd"/>
            <w:r w:rsidRPr="00C94833">
              <w:rPr>
                <w:sz w:val="16"/>
                <w:szCs w:val="16"/>
              </w:rPr>
              <w:t xml:space="preserve"> (Prietaiso gamintojas </w:t>
            </w: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). Visi </w:t>
            </w: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 ELISA </w:t>
            </w:r>
            <w:proofErr w:type="spellStart"/>
            <w:r w:rsidRPr="00C94833">
              <w:rPr>
                <w:sz w:val="16"/>
                <w:szCs w:val="16"/>
              </w:rPr>
              <w:t>classic</w:t>
            </w:r>
            <w:proofErr w:type="spellEnd"/>
            <w:r w:rsidRPr="00C94833">
              <w:rPr>
                <w:sz w:val="16"/>
                <w:szCs w:val="16"/>
              </w:rPr>
              <w:t xml:space="preserve"> tyrimai yra </w:t>
            </w:r>
            <w:proofErr w:type="spellStart"/>
            <w:r w:rsidRPr="00C94833">
              <w:rPr>
                <w:sz w:val="16"/>
                <w:szCs w:val="16"/>
              </w:rPr>
              <w:t>validuoti</w:t>
            </w:r>
            <w:proofErr w:type="spellEnd"/>
            <w:r w:rsidRPr="00C94833">
              <w:rPr>
                <w:sz w:val="16"/>
                <w:szCs w:val="16"/>
              </w:rPr>
              <w:t xml:space="preserve"> ant šios </w:t>
            </w:r>
            <w:r w:rsidRPr="00C94833">
              <w:rPr>
                <w:sz w:val="16"/>
                <w:szCs w:val="16"/>
              </w:rPr>
              <w:br/>
            </w:r>
            <w:proofErr w:type="spellStart"/>
            <w:r w:rsidRPr="00C94833">
              <w:rPr>
                <w:sz w:val="16"/>
                <w:szCs w:val="16"/>
              </w:rPr>
              <w:t>autoamtinės</w:t>
            </w:r>
            <w:proofErr w:type="spellEnd"/>
            <w:r w:rsidRPr="00C94833">
              <w:rPr>
                <w:sz w:val="16"/>
                <w:szCs w:val="16"/>
              </w:rPr>
              <w:t xml:space="preserve"> sistemos (rinkiniai ir automatinė sistema yra to paties gamintojo).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84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1-6 psl.</w:t>
            </w:r>
          </w:p>
        </w:tc>
        <w:tc>
          <w:tcPr>
            <w:tcW w:w="2551" w:type="dxa"/>
            <w:gridSpan w:val="2"/>
            <w:vAlign w:val="center"/>
          </w:tcPr>
          <w:p w14:paraId="49A15311" w14:textId="26B0B5D8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>, BC129M, 1 vnt.</w:t>
            </w:r>
          </w:p>
        </w:tc>
        <w:tc>
          <w:tcPr>
            <w:tcW w:w="851" w:type="dxa"/>
            <w:vAlign w:val="center"/>
          </w:tcPr>
          <w:p w14:paraId="4CFC95DB" w14:textId="643CD484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vnt.</w:t>
            </w:r>
          </w:p>
        </w:tc>
        <w:tc>
          <w:tcPr>
            <w:tcW w:w="1275" w:type="dxa"/>
            <w:gridSpan w:val="2"/>
            <w:vAlign w:val="center"/>
          </w:tcPr>
          <w:p w14:paraId="110DD4DE" w14:textId="0CB1BCE0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3"/>
            <w:vAlign w:val="center"/>
          </w:tcPr>
          <w:p w14:paraId="5AAC081D" w14:textId="37A0BAAA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gridSpan w:val="2"/>
            <w:vAlign w:val="center"/>
          </w:tcPr>
          <w:p w14:paraId="14C0149C" w14:textId="4AE2FE96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27E35082" w14:textId="2C25E706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96,80</w:t>
            </w:r>
          </w:p>
        </w:tc>
        <w:tc>
          <w:tcPr>
            <w:tcW w:w="850" w:type="dxa"/>
            <w:gridSpan w:val="2"/>
            <w:vAlign w:val="center"/>
          </w:tcPr>
          <w:p w14:paraId="569448AB" w14:textId="7AD89E16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640,00</w:t>
            </w:r>
          </w:p>
        </w:tc>
        <w:tc>
          <w:tcPr>
            <w:tcW w:w="992" w:type="dxa"/>
            <w:vAlign w:val="center"/>
          </w:tcPr>
          <w:p w14:paraId="11B49FDE" w14:textId="4D59B46E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774,40</w:t>
            </w:r>
          </w:p>
        </w:tc>
      </w:tr>
      <w:tr w:rsidR="00F55E2C" w:rsidRPr="00C94833" w14:paraId="6A6AB962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2D10C016" w14:textId="3B4F6425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985" w:type="dxa"/>
            <w:gridSpan w:val="2"/>
            <w:vAlign w:val="center"/>
          </w:tcPr>
          <w:p w14:paraId="76A5CFB9" w14:textId="451C8DCC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Validacijos rinkiniai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autimatiniams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analizatoriams</w:t>
            </w:r>
          </w:p>
        </w:tc>
        <w:tc>
          <w:tcPr>
            <w:tcW w:w="1133" w:type="dxa"/>
            <w:vAlign w:val="center"/>
          </w:tcPr>
          <w:p w14:paraId="521EF433" w14:textId="7538B8F9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33924000-3</w:t>
            </w:r>
          </w:p>
        </w:tc>
        <w:tc>
          <w:tcPr>
            <w:tcW w:w="1702" w:type="dxa"/>
            <w:vAlign w:val="center"/>
          </w:tcPr>
          <w:p w14:paraId="088B3C72" w14:textId="1C1D1F5F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107. </w:t>
            </w:r>
            <w:proofErr w:type="spellStart"/>
            <w:r w:rsidRPr="00C94833">
              <w:rPr>
                <w:sz w:val="16"/>
                <w:szCs w:val="16"/>
              </w:rPr>
              <w:t>Performance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Evaluation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kit</w:t>
            </w:r>
            <w:proofErr w:type="spellEnd"/>
            <w:r w:rsidRPr="00C94833">
              <w:rPr>
                <w:sz w:val="16"/>
                <w:szCs w:val="16"/>
              </w:rPr>
              <w:t xml:space="preserve">, </w:t>
            </w:r>
            <w:proofErr w:type="spellStart"/>
            <w:r w:rsidRPr="00C94833">
              <w:rPr>
                <w:sz w:val="16"/>
                <w:szCs w:val="16"/>
              </w:rPr>
              <w:t>Pipettor-Wsher</w:t>
            </w:r>
            <w:proofErr w:type="spellEnd"/>
            <w:r w:rsidRPr="00C94833">
              <w:rPr>
                <w:sz w:val="16"/>
                <w:szCs w:val="16"/>
              </w:rPr>
              <w:t xml:space="preserve"> yra validacijos rinkiniai automatiniams </w:t>
            </w:r>
            <w:proofErr w:type="spellStart"/>
            <w:r w:rsidRPr="00C94833">
              <w:rPr>
                <w:sz w:val="16"/>
                <w:szCs w:val="16"/>
              </w:rPr>
              <w:t>imunofermentiniams</w:t>
            </w:r>
            <w:proofErr w:type="spellEnd"/>
            <w:r w:rsidRPr="00C94833">
              <w:rPr>
                <w:sz w:val="16"/>
                <w:szCs w:val="16"/>
              </w:rPr>
              <w:t xml:space="preserve"> analizatoriams.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107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11; 15 psl.</w:t>
            </w:r>
          </w:p>
        </w:tc>
        <w:tc>
          <w:tcPr>
            <w:tcW w:w="2551" w:type="dxa"/>
            <w:gridSpan w:val="2"/>
            <w:vAlign w:val="center"/>
          </w:tcPr>
          <w:p w14:paraId="609A94D0" w14:textId="24493D2E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Bio-rad</w:t>
            </w:r>
            <w:proofErr w:type="spellEnd"/>
            <w:r w:rsidRPr="00C94833">
              <w:rPr>
                <w:sz w:val="16"/>
                <w:szCs w:val="16"/>
              </w:rPr>
              <w:t>, 89894, 1 rink. (10 plokštelių)</w:t>
            </w:r>
          </w:p>
        </w:tc>
        <w:tc>
          <w:tcPr>
            <w:tcW w:w="851" w:type="dxa"/>
            <w:vAlign w:val="center"/>
          </w:tcPr>
          <w:p w14:paraId="254BE0A2" w14:textId="28BCD3FF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vnt.</w:t>
            </w:r>
          </w:p>
        </w:tc>
        <w:tc>
          <w:tcPr>
            <w:tcW w:w="1275" w:type="dxa"/>
            <w:gridSpan w:val="2"/>
            <w:vAlign w:val="center"/>
          </w:tcPr>
          <w:p w14:paraId="6AF55DFF" w14:textId="6F1D9FA5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3"/>
            <w:vAlign w:val="center"/>
          </w:tcPr>
          <w:p w14:paraId="6223F3D9" w14:textId="610A27CD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gridSpan w:val="2"/>
            <w:vAlign w:val="center"/>
          </w:tcPr>
          <w:p w14:paraId="184EC18C" w14:textId="4F2D246E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2063D90D" w14:textId="7378A2EC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363,00</w:t>
            </w:r>
          </w:p>
        </w:tc>
        <w:tc>
          <w:tcPr>
            <w:tcW w:w="850" w:type="dxa"/>
            <w:gridSpan w:val="2"/>
            <w:vAlign w:val="center"/>
          </w:tcPr>
          <w:p w14:paraId="318A7C40" w14:textId="760F3370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1500,00</w:t>
            </w:r>
          </w:p>
        </w:tc>
        <w:tc>
          <w:tcPr>
            <w:tcW w:w="992" w:type="dxa"/>
            <w:vAlign w:val="center"/>
          </w:tcPr>
          <w:p w14:paraId="28CD6364" w14:textId="302729E1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1815,00</w:t>
            </w:r>
          </w:p>
        </w:tc>
      </w:tr>
      <w:tr w:rsidR="00F55E2C" w:rsidRPr="00C94833" w14:paraId="6C494BE4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1B56DE70" w14:textId="5168620B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985" w:type="dxa"/>
            <w:gridSpan w:val="2"/>
            <w:vAlign w:val="center"/>
          </w:tcPr>
          <w:p w14:paraId="6EA02F7F" w14:textId="2C8612DE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 xml:space="preserve">Reagentai a-S/RBD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 Sars CoV-2 antikūnų nustatymui </w:t>
            </w:r>
            <w:proofErr w:type="spellStart"/>
            <w:r w:rsidRPr="00C94833">
              <w:rPr>
                <w:b/>
                <w:bCs/>
                <w:sz w:val="16"/>
                <w:szCs w:val="16"/>
              </w:rPr>
              <w:t>mikroplokštelių</w:t>
            </w:r>
            <w:proofErr w:type="spellEnd"/>
            <w:r w:rsidRPr="00C94833">
              <w:rPr>
                <w:b/>
                <w:bCs/>
                <w:sz w:val="16"/>
                <w:szCs w:val="16"/>
              </w:rPr>
              <w:t xml:space="preserve"> formatu</w:t>
            </w:r>
          </w:p>
        </w:tc>
        <w:tc>
          <w:tcPr>
            <w:tcW w:w="1133" w:type="dxa"/>
            <w:vAlign w:val="center"/>
          </w:tcPr>
          <w:p w14:paraId="124B1FEA" w14:textId="2E8EA471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33924000-3</w:t>
            </w:r>
          </w:p>
        </w:tc>
        <w:tc>
          <w:tcPr>
            <w:tcW w:w="1702" w:type="dxa"/>
            <w:vAlign w:val="center"/>
          </w:tcPr>
          <w:p w14:paraId="67140263" w14:textId="31475C11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109. SERION ELISA </w:t>
            </w:r>
            <w:proofErr w:type="spellStart"/>
            <w:r w:rsidRPr="00C94833">
              <w:rPr>
                <w:sz w:val="16"/>
                <w:szCs w:val="16"/>
              </w:rPr>
              <w:t>agile</w:t>
            </w:r>
            <w:proofErr w:type="spellEnd"/>
            <w:r w:rsidRPr="00C94833">
              <w:rPr>
                <w:sz w:val="16"/>
                <w:szCs w:val="16"/>
              </w:rPr>
              <w:t xml:space="preserve"> SARS-CoV-2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yra reagentų rinkinys a-S/RBD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 SARS CoV-2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antikūnų nustatymui </w:t>
            </w:r>
            <w:proofErr w:type="spellStart"/>
            <w:r w:rsidRPr="00C94833">
              <w:rPr>
                <w:sz w:val="16"/>
                <w:szCs w:val="16"/>
              </w:rPr>
              <w:t>mikroplokštelių</w:t>
            </w:r>
            <w:proofErr w:type="spellEnd"/>
            <w:r w:rsidRPr="00C94833">
              <w:rPr>
                <w:sz w:val="16"/>
                <w:szCs w:val="16"/>
              </w:rPr>
              <w:t xml:space="preserve"> formatu IFA metodu. Rezultatas išreiškiamas BAU/ml. Rinkinys turi CE ir IVD ženklinimą. Gamintojo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109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1-2; 5; 22 psl.</w:t>
            </w:r>
          </w:p>
        </w:tc>
        <w:tc>
          <w:tcPr>
            <w:tcW w:w="2551" w:type="dxa"/>
            <w:gridSpan w:val="2"/>
            <w:vAlign w:val="center"/>
          </w:tcPr>
          <w:p w14:paraId="05AC7A84" w14:textId="19A3C9ED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, ESR400G, 1 </w:t>
            </w:r>
            <w:proofErr w:type="spellStart"/>
            <w:r w:rsidRPr="00C94833">
              <w:rPr>
                <w:sz w:val="16"/>
                <w:szCs w:val="16"/>
              </w:rPr>
              <w:t>pak</w:t>
            </w:r>
            <w:proofErr w:type="spellEnd"/>
            <w:r w:rsidRPr="00C94833">
              <w:rPr>
                <w:sz w:val="16"/>
                <w:szCs w:val="16"/>
              </w:rPr>
              <w:t xml:space="preserve">. (96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14:paraId="44E4D8AB" w14:textId="3B864318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1 tyrimas</w:t>
            </w:r>
          </w:p>
        </w:tc>
        <w:tc>
          <w:tcPr>
            <w:tcW w:w="1275" w:type="dxa"/>
            <w:gridSpan w:val="2"/>
            <w:vAlign w:val="center"/>
          </w:tcPr>
          <w:p w14:paraId="1A58F33D" w14:textId="28C8B9D3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993" w:type="dxa"/>
            <w:gridSpan w:val="3"/>
            <w:vAlign w:val="center"/>
          </w:tcPr>
          <w:p w14:paraId="617819D7" w14:textId="78CEB2E7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8,2000</w:t>
            </w:r>
          </w:p>
        </w:tc>
        <w:tc>
          <w:tcPr>
            <w:tcW w:w="992" w:type="dxa"/>
            <w:gridSpan w:val="2"/>
            <w:vAlign w:val="center"/>
          </w:tcPr>
          <w:p w14:paraId="57842D2A" w14:textId="4F37841C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04C578DB" w14:textId="6229CD37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9,9220</w:t>
            </w:r>
          </w:p>
        </w:tc>
        <w:tc>
          <w:tcPr>
            <w:tcW w:w="850" w:type="dxa"/>
            <w:gridSpan w:val="2"/>
            <w:vAlign w:val="center"/>
          </w:tcPr>
          <w:p w14:paraId="26BA1FCF" w14:textId="3E52F0AB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3936,00</w:t>
            </w:r>
          </w:p>
        </w:tc>
        <w:tc>
          <w:tcPr>
            <w:tcW w:w="992" w:type="dxa"/>
            <w:vAlign w:val="center"/>
          </w:tcPr>
          <w:p w14:paraId="4D630F28" w14:textId="2CB236BD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4762,56</w:t>
            </w:r>
          </w:p>
        </w:tc>
      </w:tr>
      <w:tr w:rsidR="00F55E2C" w:rsidRPr="00C94833" w14:paraId="137CCE8D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52F16C47" w14:textId="7F7846C5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b/>
                <w:bCs/>
                <w:color w:val="00000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1985" w:type="dxa"/>
            <w:gridSpan w:val="2"/>
            <w:vAlign w:val="center"/>
          </w:tcPr>
          <w:p w14:paraId="12D3C2C7" w14:textId="443FFD5C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Reagentai Vakarų Nilo viruso antikūnų nustatymui</w:t>
            </w:r>
          </w:p>
        </w:tc>
        <w:tc>
          <w:tcPr>
            <w:tcW w:w="1133" w:type="dxa"/>
            <w:vAlign w:val="center"/>
          </w:tcPr>
          <w:p w14:paraId="60E3FDBE" w14:textId="65E78DC2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33924000-3</w:t>
            </w:r>
          </w:p>
        </w:tc>
        <w:tc>
          <w:tcPr>
            <w:tcW w:w="1702" w:type="dxa"/>
            <w:vAlign w:val="center"/>
          </w:tcPr>
          <w:p w14:paraId="258A5DBB" w14:textId="75C42E7A" w:rsidR="00F55E2C" w:rsidRPr="00C94833" w:rsidRDefault="00F55E2C" w:rsidP="00B40D5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112. SERION ELISA </w:t>
            </w:r>
            <w:proofErr w:type="spellStart"/>
            <w:r w:rsidRPr="00C94833">
              <w:rPr>
                <w:sz w:val="16"/>
                <w:szCs w:val="16"/>
              </w:rPr>
              <w:t>classic</w:t>
            </w:r>
            <w:proofErr w:type="spellEnd"/>
            <w:r w:rsidRPr="00C94833">
              <w:rPr>
                <w:sz w:val="16"/>
                <w:szCs w:val="16"/>
              </w:rPr>
              <w:t xml:space="preserve"> </w:t>
            </w:r>
            <w:proofErr w:type="spellStart"/>
            <w:r w:rsidRPr="00C94833">
              <w:rPr>
                <w:sz w:val="16"/>
                <w:szCs w:val="16"/>
              </w:rPr>
              <w:t>West</w:t>
            </w:r>
            <w:proofErr w:type="spellEnd"/>
            <w:r w:rsidRPr="00C94833">
              <w:rPr>
                <w:sz w:val="16"/>
                <w:szCs w:val="16"/>
              </w:rPr>
              <w:t xml:space="preserve"> Nile Virus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>/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yra reagentai skirti Vakarų Nilo viruso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ir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antikūnų nustatymui IFA metodu </w:t>
            </w:r>
            <w:proofErr w:type="spellStart"/>
            <w:r w:rsidRPr="00C94833">
              <w:rPr>
                <w:sz w:val="16"/>
                <w:szCs w:val="16"/>
              </w:rPr>
              <w:t>mikroplokštelių</w:t>
            </w:r>
            <w:proofErr w:type="spellEnd"/>
            <w:r w:rsidRPr="00C94833">
              <w:rPr>
                <w:sz w:val="16"/>
                <w:szCs w:val="16"/>
              </w:rPr>
              <w:t xml:space="preserve"> formatu žmogaus serume. Tiekėjas įsipareigoja parduoti  atskirai </w:t>
            </w:r>
            <w:proofErr w:type="spellStart"/>
            <w:r w:rsidRPr="00C94833">
              <w:rPr>
                <w:sz w:val="16"/>
                <w:szCs w:val="16"/>
              </w:rPr>
              <w:t>IgG</w:t>
            </w:r>
            <w:proofErr w:type="spellEnd"/>
            <w:r w:rsidRPr="00C94833">
              <w:rPr>
                <w:sz w:val="16"/>
                <w:szCs w:val="16"/>
              </w:rPr>
              <w:t xml:space="preserve"> ir </w:t>
            </w:r>
            <w:proofErr w:type="spellStart"/>
            <w:r w:rsidRPr="00C94833">
              <w:rPr>
                <w:sz w:val="16"/>
                <w:szCs w:val="16"/>
              </w:rPr>
              <w:t>IgM</w:t>
            </w:r>
            <w:proofErr w:type="spellEnd"/>
            <w:r w:rsidRPr="00C94833">
              <w:rPr>
                <w:sz w:val="16"/>
                <w:szCs w:val="16"/>
              </w:rPr>
              <w:t xml:space="preserve"> pagal poreikį. Rinkiniai turi CE ir IVD </w:t>
            </w:r>
            <w:proofErr w:type="spellStart"/>
            <w:r w:rsidRPr="00C94833">
              <w:rPr>
                <w:sz w:val="16"/>
                <w:szCs w:val="16"/>
              </w:rPr>
              <w:t>ženklinimą.Gamintojo</w:t>
            </w:r>
            <w:proofErr w:type="spellEnd"/>
            <w:r w:rsidRPr="00C94833">
              <w:rPr>
                <w:sz w:val="16"/>
                <w:szCs w:val="16"/>
              </w:rPr>
              <w:t xml:space="preserve"> dokumentacija (</w:t>
            </w:r>
            <w:proofErr w:type="spellStart"/>
            <w:r w:rsidRPr="00C94833">
              <w:rPr>
                <w:sz w:val="16"/>
                <w:szCs w:val="16"/>
              </w:rPr>
              <w:t>konfidncialu</w:t>
            </w:r>
            <w:proofErr w:type="spellEnd"/>
            <w:r w:rsidRPr="00C94833">
              <w:rPr>
                <w:sz w:val="16"/>
                <w:szCs w:val="16"/>
              </w:rPr>
              <w:t xml:space="preserve">) 112 </w:t>
            </w:r>
            <w:proofErr w:type="spellStart"/>
            <w:r w:rsidRPr="00C94833">
              <w:rPr>
                <w:sz w:val="16"/>
                <w:szCs w:val="16"/>
              </w:rPr>
              <w:t>p.d</w:t>
            </w:r>
            <w:proofErr w:type="spellEnd"/>
            <w:r w:rsidRPr="00C94833">
              <w:rPr>
                <w:sz w:val="16"/>
                <w:szCs w:val="16"/>
              </w:rPr>
              <w:t>. 3; 29 psl.</w:t>
            </w:r>
          </w:p>
        </w:tc>
        <w:tc>
          <w:tcPr>
            <w:tcW w:w="2551" w:type="dxa"/>
            <w:gridSpan w:val="2"/>
            <w:vAlign w:val="center"/>
          </w:tcPr>
          <w:p w14:paraId="483AA480" w14:textId="40354BB2" w:rsidR="00F55E2C" w:rsidRPr="00C94833" w:rsidRDefault="00F55E2C" w:rsidP="00B40D59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C94833">
              <w:rPr>
                <w:sz w:val="16"/>
                <w:szCs w:val="16"/>
              </w:rPr>
              <w:t>Virion-Serion</w:t>
            </w:r>
            <w:proofErr w:type="spellEnd"/>
            <w:r w:rsidRPr="00C94833">
              <w:rPr>
                <w:sz w:val="16"/>
                <w:szCs w:val="16"/>
              </w:rPr>
              <w:t xml:space="preserve">, ESR141G/ ESR141M, 1 </w:t>
            </w:r>
            <w:proofErr w:type="spellStart"/>
            <w:r w:rsidRPr="00C94833">
              <w:rPr>
                <w:sz w:val="16"/>
                <w:szCs w:val="16"/>
              </w:rPr>
              <w:t>pak</w:t>
            </w:r>
            <w:proofErr w:type="spellEnd"/>
            <w:r w:rsidRPr="00C94833">
              <w:rPr>
                <w:sz w:val="16"/>
                <w:szCs w:val="16"/>
              </w:rPr>
              <w:t xml:space="preserve">. (96 </w:t>
            </w:r>
            <w:proofErr w:type="spellStart"/>
            <w:r w:rsidRPr="00C94833">
              <w:rPr>
                <w:sz w:val="16"/>
                <w:szCs w:val="16"/>
              </w:rPr>
              <w:t>test</w:t>
            </w:r>
            <w:proofErr w:type="spellEnd"/>
            <w:r w:rsidRPr="00C94833">
              <w:rPr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14:paraId="0CC5ACFA" w14:textId="3A76950A" w:rsidR="00F55E2C" w:rsidRPr="00C94833" w:rsidRDefault="00F55E2C" w:rsidP="00B40D59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testas</w:t>
            </w:r>
          </w:p>
        </w:tc>
        <w:tc>
          <w:tcPr>
            <w:tcW w:w="1275" w:type="dxa"/>
            <w:gridSpan w:val="2"/>
            <w:vAlign w:val="center"/>
          </w:tcPr>
          <w:p w14:paraId="1689AA92" w14:textId="724079A5" w:rsidR="00F55E2C" w:rsidRPr="00C94833" w:rsidRDefault="00F55E2C" w:rsidP="00B40D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993" w:type="dxa"/>
            <w:gridSpan w:val="3"/>
            <w:vAlign w:val="center"/>
          </w:tcPr>
          <w:p w14:paraId="3A615BE9" w14:textId="694B5F18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color w:val="000000"/>
                <w:sz w:val="16"/>
                <w:szCs w:val="16"/>
              </w:rPr>
              <w:t>2,4000</w:t>
            </w:r>
          </w:p>
        </w:tc>
        <w:tc>
          <w:tcPr>
            <w:tcW w:w="992" w:type="dxa"/>
            <w:gridSpan w:val="2"/>
            <w:vAlign w:val="center"/>
          </w:tcPr>
          <w:p w14:paraId="440FCE50" w14:textId="25207E28" w:rsidR="00F55E2C" w:rsidRPr="00C94833" w:rsidRDefault="00F55E2C" w:rsidP="00B40D5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2D6AB6A5" w14:textId="174F09FA" w:rsidR="00F55E2C" w:rsidRPr="00C94833" w:rsidRDefault="00F55E2C" w:rsidP="00B40D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2,9040</w:t>
            </w:r>
          </w:p>
        </w:tc>
        <w:tc>
          <w:tcPr>
            <w:tcW w:w="850" w:type="dxa"/>
            <w:gridSpan w:val="2"/>
            <w:vAlign w:val="center"/>
          </w:tcPr>
          <w:p w14:paraId="71ED9AC6" w14:textId="13DD1963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1152,00</w:t>
            </w:r>
          </w:p>
        </w:tc>
        <w:tc>
          <w:tcPr>
            <w:tcW w:w="992" w:type="dxa"/>
            <w:vAlign w:val="center"/>
          </w:tcPr>
          <w:p w14:paraId="43579F08" w14:textId="161D1BE7" w:rsidR="00F55E2C" w:rsidRPr="00C94833" w:rsidRDefault="00F55E2C" w:rsidP="00B40D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94833">
              <w:rPr>
                <w:sz w:val="16"/>
                <w:szCs w:val="16"/>
              </w:rPr>
              <w:t>1393,92</w:t>
            </w:r>
          </w:p>
        </w:tc>
      </w:tr>
      <w:tr w:rsidR="00DD4CD7" w:rsidRPr="00C94833" w14:paraId="3249EC64" w14:textId="77777777" w:rsidTr="00F36B3A">
        <w:trPr>
          <w:trHeight w:val="420"/>
          <w:tblHeader/>
        </w:trPr>
        <w:tc>
          <w:tcPr>
            <w:tcW w:w="9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DD4CD7" w:rsidRPr="00C94833" w:rsidRDefault="00DD4CD7" w:rsidP="00DD4CD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DD4CD7" w:rsidRPr="00C94833" w:rsidRDefault="00DD4CD7" w:rsidP="00DD4CD7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DD4CD7" w:rsidRPr="00C94833" w:rsidRDefault="00DD4CD7" w:rsidP="00DD4CD7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DD4CD7" w:rsidRPr="00C94833" w:rsidRDefault="00DD4CD7" w:rsidP="00DD4CD7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DD4CD7" w:rsidRPr="00C94833" w:rsidRDefault="00DD4CD7" w:rsidP="00DD4CD7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DD4CD7" w:rsidRPr="00C94833" w:rsidRDefault="00DD4CD7" w:rsidP="00DD4CD7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9C1121" w14:textId="303775D3" w:rsidR="00DD4CD7" w:rsidRPr="00C94833" w:rsidRDefault="00922569" w:rsidP="00DD4CD7">
            <w:pPr>
              <w:spacing w:after="0" w:line="240" w:lineRule="auto"/>
              <w:ind w:left="-114" w:right="-100"/>
              <w:jc w:val="center"/>
              <w:rPr>
                <w:b/>
                <w:bCs/>
                <w:sz w:val="16"/>
                <w:szCs w:val="16"/>
              </w:rPr>
            </w:pPr>
            <w:r w:rsidRPr="00C94833">
              <w:rPr>
                <w:b/>
                <w:bCs/>
                <w:sz w:val="16"/>
                <w:szCs w:val="16"/>
              </w:rPr>
              <w:t>52615,64</w:t>
            </w:r>
          </w:p>
        </w:tc>
      </w:tr>
      <w:tr w:rsidR="0083351E" w:rsidRPr="00C94833" w14:paraId="0A0A1887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</w:tcPr>
          <w:p w14:paraId="3720C57A" w14:textId="5D422AB7" w:rsidR="0083351E" w:rsidRPr="00C94833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Pardavėjas</w:t>
            </w:r>
          </w:p>
        </w:tc>
        <w:tc>
          <w:tcPr>
            <w:tcW w:w="5245" w:type="dxa"/>
            <w:gridSpan w:val="12"/>
          </w:tcPr>
          <w:p w14:paraId="7F44B614" w14:textId="4E6D9C8D" w:rsidR="0083351E" w:rsidRPr="00C94833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4833">
              <w:rPr>
                <w:b/>
                <w:sz w:val="16"/>
                <w:szCs w:val="16"/>
              </w:rPr>
              <w:t>Pirkėjas</w:t>
            </w:r>
          </w:p>
        </w:tc>
      </w:tr>
      <w:tr w:rsidR="0083351E" w:rsidRPr="00C94833" w14:paraId="5D466F84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405B9EE0" w14:textId="4C29334C" w:rsidR="0083351E" w:rsidRPr="00C94833" w:rsidRDefault="002A6CB4" w:rsidP="00B24189">
            <w:pPr>
              <w:spacing w:after="0" w:line="240" w:lineRule="auto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UAB „</w:t>
            </w:r>
            <w:proofErr w:type="spellStart"/>
            <w:r w:rsidR="00830BB5" w:rsidRPr="00C94833">
              <w:rPr>
                <w:sz w:val="16"/>
                <w:szCs w:val="16"/>
              </w:rPr>
              <w:t>M</w:t>
            </w:r>
            <w:r w:rsidR="00910857" w:rsidRPr="00C94833">
              <w:rPr>
                <w:sz w:val="16"/>
                <w:szCs w:val="16"/>
              </w:rPr>
              <w:t>ultilabo</w:t>
            </w:r>
            <w:proofErr w:type="spellEnd"/>
            <w:r w:rsidRPr="00C94833">
              <w:rPr>
                <w:sz w:val="16"/>
                <w:szCs w:val="16"/>
              </w:rPr>
              <w:t>“</w:t>
            </w:r>
          </w:p>
        </w:tc>
        <w:tc>
          <w:tcPr>
            <w:tcW w:w="5245" w:type="dxa"/>
            <w:gridSpan w:val="12"/>
            <w:shd w:val="clear" w:color="auto" w:fill="auto"/>
          </w:tcPr>
          <w:p w14:paraId="15EADB2F" w14:textId="77777777" w:rsidR="0083351E" w:rsidRPr="00C94833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DE74B73" w14:textId="77777777" w:rsidR="0083351E" w:rsidRPr="00C94833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Nacionalinė visuomenės sveikatos priežiūros laboratorija</w:t>
            </w:r>
          </w:p>
        </w:tc>
      </w:tr>
      <w:tr w:rsidR="0083351E" w:rsidRPr="00C94833" w14:paraId="3D739F69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7230F4CA" w14:textId="77777777" w:rsidR="0083351E" w:rsidRPr="00C94833" w:rsidRDefault="0083351E" w:rsidP="00B2418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5B2BE16B" w14:textId="77777777" w:rsidR="0083351E" w:rsidRPr="00C94833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3351E" w:rsidRPr="00C94833" w14:paraId="4CCB6CF2" w14:textId="77777777" w:rsidTr="00F41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  <w:trHeight w:val="1007"/>
        </w:trPr>
        <w:tc>
          <w:tcPr>
            <w:tcW w:w="6237" w:type="dxa"/>
            <w:gridSpan w:val="4"/>
            <w:vAlign w:val="bottom"/>
          </w:tcPr>
          <w:p w14:paraId="73445132" w14:textId="25F9DC1E" w:rsidR="0083351E" w:rsidRPr="00C94833" w:rsidRDefault="002A6CB4" w:rsidP="00B24189">
            <w:pPr>
              <w:spacing w:after="0" w:line="240" w:lineRule="auto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Direktor</w:t>
            </w:r>
            <w:r w:rsidR="00910857" w:rsidRPr="00C94833">
              <w:rPr>
                <w:sz w:val="16"/>
                <w:szCs w:val="16"/>
              </w:rPr>
              <w:t>ė</w:t>
            </w:r>
          </w:p>
          <w:p w14:paraId="7036A935" w14:textId="1956F2D7" w:rsidR="00A072A6" w:rsidRPr="00C94833" w:rsidRDefault="00910857" w:rsidP="00B24189">
            <w:pPr>
              <w:spacing w:after="0" w:line="240" w:lineRule="auto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 xml:space="preserve">Miglė </w:t>
            </w:r>
            <w:proofErr w:type="spellStart"/>
            <w:r w:rsidRPr="00C94833">
              <w:rPr>
                <w:sz w:val="16"/>
                <w:szCs w:val="16"/>
              </w:rPr>
              <w:t>Natkaitė</w:t>
            </w:r>
            <w:proofErr w:type="spellEnd"/>
          </w:p>
        </w:tc>
        <w:tc>
          <w:tcPr>
            <w:tcW w:w="5245" w:type="dxa"/>
            <w:gridSpan w:val="12"/>
            <w:shd w:val="clear" w:color="auto" w:fill="auto"/>
          </w:tcPr>
          <w:p w14:paraId="1B1D205B" w14:textId="77777777" w:rsidR="00C76E01" w:rsidRPr="00C94833" w:rsidRDefault="00C76E01" w:rsidP="00FC01A8">
            <w:pPr>
              <w:spacing w:after="0" w:line="240" w:lineRule="auto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Direktoriaus pavaduotoja,</w:t>
            </w:r>
          </w:p>
          <w:p w14:paraId="35AF917A" w14:textId="4A2AAF48" w:rsidR="00C76E01" w:rsidRPr="00C94833" w:rsidRDefault="00783B52" w:rsidP="00FC01A8">
            <w:pPr>
              <w:spacing w:after="0" w:line="240" w:lineRule="auto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l</w:t>
            </w:r>
            <w:r w:rsidR="00C76E01" w:rsidRPr="00C94833">
              <w:rPr>
                <w:sz w:val="16"/>
                <w:szCs w:val="16"/>
              </w:rPr>
              <w:t>aikinai vykdanti direktoriaus funkcijas</w:t>
            </w:r>
          </w:p>
          <w:p w14:paraId="18388ECF" w14:textId="05253B7D" w:rsidR="0083351E" w:rsidRPr="00C94833" w:rsidRDefault="00C76E01" w:rsidP="00FC01A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Rosita Marija Balčienė</w:t>
            </w:r>
            <w:r w:rsidR="007E09BD" w:rsidRPr="00C9483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3351E" w:rsidRPr="00C94833" w14:paraId="6427A958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trHeight w:val="255"/>
        </w:trPr>
        <w:tc>
          <w:tcPr>
            <w:tcW w:w="6237" w:type="dxa"/>
            <w:gridSpan w:val="4"/>
          </w:tcPr>
          <w:p w14:paraId="331F6046" w14:textId="77777777" w:rsidR="0083351E" w:rsidRPr="00C94833" w:rsidRDefault="0083351E" w:rsidP="00B24189">
            <w:pPr>
              <w:spacing w:after="0" w:line="240" w:lineRule="auto"/>
              <w:rPr>
                <w:sz w:val="16"/>
                <w:szCs w:val="16"/>
              </w:rPr>
            </w:pPr>
          </w:p>
          <w:p w14:paraId="55BD2788" w14:textId="77777777" w:rsidR="0083351E" w:rsidRPr="00C94833" w:rsidRDefault="0083351E" w:rsidP="00B24189">
            <w:pPr>
              <w:spacing w:after="0" w:line="240" w:lineRule="auto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Parašas</w:t>
            </w:r>
            <w:r w:rsidRPr="00C94833">
              <w:rPr>
                <w:sz w:val="16"/>
                <w:szCs w:val="16"/>
              </w:rPr>
              <w:tab/>
              <w:t>______________________</w:t>
            </w:r>
          </w:p>
          <w:p w14:paraId="54A27EE5" w14:textId="625E2181" w:rsidR="0083351E" w:rsidRPr="00C94833" w:rsidRDefault="00FC01A8" w:rsidP="00FC01A8">
            <w:pPr>
              <w:spacing w:after="0" w:line="240" w:lineRule="auto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A.V.</w:t>
            </w: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78EB0602" w14:textId="77777777" w:rsidR="0083351E" w:rsidRPr="00C94833" w:rsidRDefault="0083351E" w:rsidP="00B24189">
            <w:pPr>
              <w:spacing w:after="0" w:line="240" w:lineRule="auto"/>
              <w:rPr>
                <w:sz w:val="16"/>
                <w:szCs w:val="16"/>
              </w:rPr>
            </w:pPr>
          </w:p>
          <w:p w14:paraId="6B526D5D" w14:textId="77777777" w:rsidR="0083351E" w:rsidRPr="00C94833" w:rsidRDefault="0083351E" w:rsidP="00B24189">
            <w:pPr>
              <w:spacing w:after="0" w:line="240" w:lineRule="auto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Parašas</w:t>
            </w:r>
            <w:r w:rsidRPr="00C94833">
              <w:rPr>
                <w:sz w:val="16"/>
                <w:szCs w:val="16"/>
              </w:rPr>
              <w:tab/>
              <w:t>______________________</w:t>
            </w:r>
          </w:p>
          <w:p w14:paraId="543A85B1" w14:textId="49B31F1F" w:rsidR="0083351E" w:rsidRPr="00C94833" w:rsidRDefault="00FC01A8" w:rsidP="00B24189">
            <w:pPr>
              <w:spacing w:after="0" w:line="240" w:lineRule="auto"/>
              <w:rPr>
                <w:sz w:val="16"/>
                <w:szCs w:val="16"/>
              </w:rPr>
            </w:pPr>
            <w:r w:rsidRPr="00C94833">
              <w:rPr>
                <w:sz w:val="16"/>
                <w:szCs w:val="16"/>
              </w:rPr>
              <w:t>A.V.</w:t>
            </w:r>
          </w:p>
        </w:tc>
      </w:tr>
    </w:tbl>
    <w:p w14:paraId="7E548316" w14:textId="77777777" w:rsidR="00804EA6" w:rsidRDefault="00804EA6" w:rsidP="00F030E7"/>
    <w:sectPr w:rsidR="00804EA6" w:rsidSect="0037199C"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70B1"/>
    <w:multiLevelType w:val="hybridMultilevel"/>
    <w:tmpl w:val="01021C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26EF7"/>
    <w:rsid w:val="00050724"/>
    <w:rsid w:val="0005617F"/>
    <w:rsid w:val="00056913"/>
    <w:rsid w:val="00061C7D"/>
    <w:rsid w:val="000A1211"/>
    <w:rsid w:val="000C5E78"/>
    <w:rsid w:val="000C63DF"/>
    <w:rsid w:val="000D047F"/>
    <w:rsid w:val="000D0BDB"/>
    <w:rsid w:val="000E3B91"/>
    <w:rsid w:val="000F6126"/>
    <w:rsid w:val="000F68AB"/>
    <w:rsid w:val="00102B81"/>
    <w:rsid w:val="0010368E"/>
    <w:rsid w:val="00132A02"/>
    <w:rsid w:val="00164C43"/>
    <w:rsid w:val="001956E7"/>
    <w:rsid w:val="001A057A"/>
    <w:rsid w:val="00205A00"/>
    <w:rsid w:val="002164E9"/>
    <w:rsid w:val="00216D07"/>
    <w:rsid w:val="0023710E"/>
    <w:rsid w:val="00251CA6"/>
    <w:rsid w:val="00267864"/>
    <w:rsid w:val="00284CE5"/>
    <w:rsid w:val="00291AF8"/>
    <w:rsid w:val="00293F4A"/>
    <w:rsid w:val="00295748"/>
    <w:rsid w:val="002A6CB4"/>
    <w:rsid w:val="002B6FBB"/>
    <w:rsid w:val="002B755C"/>
    <w:rsid w:val="002C38A0"/>
    <w:rsid w:val="002E0A9A"/>
    <w:rsid w:val="00341301"/>
    <w:rsid w:val="0036346A"/>
    <w:rsid w:val="00365B34"/>
    <w:rsid w:val="0037199C"/>
    <w:rsid w:val="00377F2D"/>
    <w:rsid w:val="00383241"/>
    <w:rsid w:val="003F06F7"/>
    <w:rsid w:val="0042000E"/>
    <w:rsid w:val="00420DC6"/>
    <w:rsid w:val="00431C78"/>
    <w:rsid w:val="004343DB"/>
    <w:rsid w:val="00486AE2"/>
    <w:rsid w:val="005055CD"/>
    <w:rsid w:val="00506177"/>
    <w:rsid w:val="00533615"/>
    <w:rsid w:val="005457E0"/>
    <w:rsid w:val="00573A64"/>
    <w:rsid w:val="00580414"/>
    <w:rsid w:val="00594B83"/>
    <w:rsid w:val="006328E3"/>
    <w:rsid w:val="00663A90"/>
    <w:rsid w:val="006B7DD2"/>
    <w:rsid w:val="006C4E76"/>
    <w:rsid w:val="006D5B65"/>
    <w:rsid w:val="006D6605"/>
    <w:rsid w:val="006E5819"/>
    <w:rsid w:val="006F236F"/>
    <w:rsid w:val="00705498"/>
    <w:rsid w:val="00706AF9"/>
    <w:rsid w:val="007077EB"/>
    <w:rsid w:val="00734873"/>
    <w:rsid w:val="007505A9"/>
    <w:rsid w:val="00774D81"/>
    <w:rsid w:val="00783B52"/>
    <w:rsid w:val="00791242"/>
    <w:rsid w:val="007A6EB7"/>
    <w:rsid w:val="007C139C"/>
    <w:rsid w:val="007D1E09"/>
    <w:rsid w:val="007D65F8"/>
    <w:rsid w:val="007D730A"/>
    <w:rsid w:val="007E09BD"/>
    <w:rsid w:val="007E27E1"/>
    <w:rsid w:val="00804EA6"/>
    <w:rsid w:val="008100AF"/>
    <w:rsid w:val="00830BB5"/>
    <w:rsid w:val="0083351E"/>
    <w:rsid w:val="008353F5"/>
    <w:rsid w:val="008470DC"/>
    <w:rsid w:val="00863F44"/>
    <w:rsid w:val="00865656"/>
    <w:rsid w:val="00870431"/>
    <w:rsid w:val="00884456"/>
    <w:rsid w:val="008A3B44"/>
    <w:rsid w:val="008C069C"/>
    <w:rsid w:val="008C1EC7"/>
    <w:rsid w:val="008F0D04"/>
    <w:rsid w:val="00910857"/>
    <w:rsid w:val="00922569"/>
    <w:rsid w:val="00945275"/>
    <w:rsid w:val="00946E85"/>
    <w:rsid w:val="00997E76"/>
    <w:rsid w:val="009A16B4"/>
    <w:rsid w:val="009A289A"/>
    <w:rsid w:val="009B6A5C"/>
    <w:rsid w:val="00A072A6"/>
    <w:rsid w:val="00A11BD1"/>
    <w:rsid w:val="00A11E2F"/>
    <w:rsid w:val="00A23EB9"/>
    <w:rsid w:val="00A35324"/>
    <w:rsid w:val="00A403AC"/>
    <w:rsid w:val="00A44F02"/>
    <w:rsid w:val="00A53CF8"/>
    <w:rsid w:val="00A650A1"/>
    <w:rsid w:val="00A94BFF"/>
    <w:rsid w:val="00A9726C"/>
    <w:rsid w:val="00AB0179"/>
    <w:rsid w:val="00AF11F2"/>
    <w:rsid w:val="00B167E8"/>
    <w:rsid w:val="00B40D59"/>
    <w:rsid w:val="00B626E5"/>
    <w:rsid w:val="00B65101"/>
    <w:rsid w:val="00B6711D"/>
    <w:rsid w:val="00B82109"/>
    <w:rsid w:val="00B84D3C"/>
    <w:rsid w:val="00BA7912"/>
    <w:rsid w:val="00BB1CAE"/>
    <w:rsid w:val="00BF5CCD"/>
    <w:rsid w:val="00BF6C1D"/>
    <w:rsid w:val="00C031EC"/>
    <w:rsid w:val="00C04C16"/>
    <w:rsid w:val="00C17B72"/>
    <w:rsid w:val="00C21319"/>
    <w:rsid w:val="00C258EC"/>
    <w:rsid w:val="00C3326E"/>
    <w:rsid w:val="00C33D9E"/>
    <w:rsid w:val="00C34BBC"/>
    <w:rsid w:val="00C433BE"/>
    <w:rsid w:val="00C454B4"/>
    <w:rsid w:val="00C76E01"/>
    <w:rsid w:val="00C90FCD"/>
    <w:rsid w:val="00C94833"/>
    <w:rsid w:val="00CA10AA"/>
    <w:rsid w:val="00CA32A0"/>
    <w:rsid w:val="00CD3B5C"/>
    <w:rsid w:val="00CF44B5"/>
    <w:rsid w:val="00D36E12"/>
    <w:rsid w:val="00D525AE"/>
    <w:rsid w:val="00D75C68"/>
    <w:rsid w:val="00D970EB"/>
    <w:rsid w:val="00DB2EC0"/>
    <w:rsid w:val="00DD0B66"/>
    <w:rsid w:val="00DD2F5D"/>
    <w:rsid w:val="00DD4CD7"/>
    <w:rsid w:val="00DE44A0"/>
    <w:rsid w:val="00DE65E4"/>
    <w:rsid w:val="00DF3E55"/>
    <w:rsid w:val="00E20B92"/>
    <w:rsid w:val="00E47819"/>
    <w:rsid w:val="00E77A20"/>
    <w:rsid w:val="00E871D4"/>
    <w:rsid w:val="00EA25FF"/>
    <w:rsid w:val="00EB0900"/>
    <w:rsid w:val="00ED18C1"/>
    <w:rsid w:val="00ED2AA2"/>
    <w:rsid w:val="00ED553C"/>
    <w:rsid w:val="00EE1BD2"/>
    <w:rsid w:val="00EF291B"/>
    <w:rsid w:val="00F030E7"/>
    <w:rsid w:val="00F102AC"/>
    <w:rsid w:val="00F178AE"/>
    <w:rsid w:val="00F30F74"/>
    <w:rsid w:val="00F36B3A"/>
    <w:rsid w:val="00F41AED"/>
    <w:rsid w:val="00F55E2C"/>
    <w:rsid w:val="00F60266"/>
    <w:rsid w:val="00F62B2F"/>
    <w:rsid w:val="00FC01A8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FC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194</cp:revision>
  <dcterms:created xsi:type="dcterms:W3CDTF">2024-04-11T04:27:00Z</dcterms:created>
  <dcterms:modified xsi:type="dcterms:W3CDTF">2024-10-01T10:56:00Z</dcterms:modified>
</cp:coreProperties>
</file>