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0B46769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734C5ABC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454B4">
        <w:rPr>
          <w:b/>
          <w:szCs w:val="24"/>
        </w:rPr>
        <w:t>11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48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00"/>
        <w:gridCol w:w="1027"/>
        <w:gridCol w:w="991"/>
        <w:gridCol w:w="2125"/>
        <w:gridCol w:w="2094"/>
        <w:gridCol w:w="883"/>
        <w:gridCol w:w="797"/>
        <w:gridCol w:w="54"/>
        <w:gridCol w:w="655"/>
        <w:gridCol w:w="195"/>
        <w:gridCol w:w="513"/>
        <w:gridCol w:w="338"/>
        <w:gridCol w:w="370"/>
        <w:gridCol w:w="338"/>
        <w:gridCol w:w="513"/>
        <w:gridCol w:w="338"/>
        <w:gridCol w:w="251"/>
        <w:gridCol w:w="601"/>
        <w:gridCol w:w="850"/>
      </w:tblGrid>
      <w:tr w:rsidR="0083351E" w:rsidRPr="007719CD" w14:paraId="7FF649CB" w14:textId="77777777" w:rsidTr="009A58D1">
        <w:trPr>
          <w:tblHeader/>
        </w:trPr>
        <w:tc>
          <w:tcPr>
            <w:tcW w:w="851" w:type="dxa"/>
            <w:shd w:val="clear" w:color="auto" w:fill="D9E2F3" w:themeFill="accent1" w:themeFillTint="33"/>
          </w:tcPr>
          <w:p w14:paraId="32CB22C3" w14:textId="77777777" w:rsidR="0083351E" w:rsidRPr="007719C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Pirkimo objekto dalies</w:t>
            </w:r>
          </w:p>
          <w:p w14:paraId="36015DEC" w14:textId="77777777" w:rsidR="0083351E" w:rsidRPr="007719C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2127" w:type="dxa"/>
            <w:gridSpan w:val="2"/>
            <w:shd w:val="clear" w:color="auto" w:fill="D9E2F3" w:themeFill="accent1" w:themeFillTint="33"/>
          </w:tcPr>
          <w:p w14:paraId="6D7CF15C" w14:textId="77777777" w:rsidR="0083351E" w:rsidRPr="007719CD" w:rsidRDefault="0083351E" w:rsidP="00B241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Pirkimo objekto dalies pavadinimas</w:t>
            </w:r>
          </w:p>
        </w:tc>
        <w:tc>
          <w:tcPr>
            <w:tcW w:w="991" w:type="dxa"/>
            <w:shd w:val="clear" w:color="auto" w:fill="D9E2F3" w:themeFill="accent1" w:themeFillTint="33"/>
          </w:tcPr>
          <w:p w14:paraId="6D445353" w14:textId="77777777" w:rsidR="0083351E" w:rsidRPr="007719C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BVPŽ</w:t>
            </w:r>
          </w:p>
          <w:p w14:paraId="713D8F8F" w14:textId="77777777" w:rsidR="0083351E" w:rsidRPr="007719C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kodas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1B95D41" w14:textId="77777777" w:rsidR="0083351E" w:rsidRPr="007719C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Specifikacija</w:t>
            </w:r>
          </w:p>
        </w:tc>
        <w:tc>
          <w:tcPr>
            <w:tcW w:w="2977" w:type="dxa"/>
            <w:gridSpan w:val="2"/>
            <w:shd w:val="clear" w:color="auto" w:fill="D9E2F3" w:themeFill="accent1" w:themeFillTint="33"/>
          </w:tcPr>
          <w:p w14:paraId="1F3B6DA4" w14:textId="77777777" w:rsidR="0083351E" w:rsidRPr="007719C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Gamintojas ir gamintojo katalogo Nr., gamintojo fasuotė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</w:tcPr>
          <w:p w14:paraId="45E9FD0D" w14:textId="77777777" w:rsidR="0083351E" w:rsidRPr="007719CD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D9E2F3" w:themeFill="accent1" w:themeFillTint="33"/>
          </w:tcPr>
          <w:p w14:paraId="3C9DB8B6" w14:textId="77777777" w:rsidR="0083351E" w:rsidRPr="007719CD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7719CD">
              <w:rPr>
                <w:b/>
                <w:sz w:val="16"/>
                <w:szCs w:val="16"/>
              </w:rPr>
              <w:t>Maksi</w:t>
            </w:r>
            <w:proofErr w:type="spellEnd"/>
            <w:r w:rsidRPr="007719CD">
              <w:rPr>
                <w:b/>
                <w:sz w:val="16"/>
                <w:szCs w:val="16"/>
              </w:rPr>
              <w:t xml:space="preserve">-malus </w:t>
            </w:r>
            <w:proofErr w:type="spellStart"/>
            <w:r w:rsidRPr="007719CD">
              <w:rPr>
                <w:b/>
                <w:sz w:val="16"/>
                <w:szCs w:val="16"/>
              </w:rPr>
              <w:t>orienta-cinis</w:t>
            </w:r>
            <w:proofErr w:type="spellEnd"/>
            <w:r w:rsidRPr="007719CD">
              <w:rPr>
                <w:b/>
                <w:sz w:val="16"/>
                <w:szCs w:val="16"/>
              </w:rPr>
              <w:t xml:space="preserve"> vnt. kiekis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</w:tcPr>
          <w:p w14:paraId="09C3E18E" w14:textId="77777777" w:rsidR="0083351E" w:rsidRPr="007719CD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D9E2F3" w:themeFill="accent1" w:themeFillTint="33"/>
          </w:tcPr>
          <w:p w14:paraId="3AB0CA58" w14:textId="77777777" w:rsidR="0083351E" w:rsidRPr="007719CD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</w:tcPr>
          <w:p w14:paraId="2B4F6FEE" w14:textId="77777777" w:rsidR="0083351E" w:rsidRPr="007719CD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Vnt. kaina, Eur su PVM</w:t>
            </w:r>
          </w:p>
        </w:tc>
        <w:tc>
          <w:tcPr>
            <w:tcW w:w="852" w:type="dxa"/>
            <w:gridSpan w:val="2"/>
            <w:shd w:val="clear" w:color="auto" w:fill="D9E2F3" w:themeFill="accent1" w:themeFillTint="33"/>
          </w:tcPr>
          <w:p w14:paraId="2185CEC3" w14:textId="77777777" w:rsidR="0083351E" w:rsidRPr="007719C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Suma, Eur be PVM (</w:t>
            </w:r>
            <w:proofErr w:type="spellStart"/>
            <w:r w:rsidRPr="007719CD">
              <w:rPr>
                <w:b/>
                <w:sz w:val="16"/>
                <w:szCs w:val="16"/>
              </w:rPr>
              <w:t>maks</w:t>
            </w:r>
            <w:proofErr w:type="spellEnd"/>
            <w:r w:rsidRPr="007719CD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7719CD">
              <w:rPr>
                <w:b/>
                <w:sz w:val="16"/>
                <w:szCs w:val="16"/>
              </w:rPr>
              <w:t>orient</w:t>
            </w:r>
            <w:proofErr w:type="spellEnd"/>
            <w:r w:rsidRPr="007719CD">
              <w:rPr>
                <w:b/>
                <w:sz w:val="16"/>
                <w:szCs w:val="16"/>
              </w:rPr>
              <w:t>. kiekiui)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2559C564" w14:textId="77777777" w:rsidR="0083351E" w:rsidRPr="007719C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Suma, Eur su PVM (</w:t>
            </w:r>
            <w:proofErr w:type="spellStart"/>
            <w:r w:rsidRPr="007719CD">
              <w:rPr>
                <w:b/>
                <w:sz w:val="16"/>
                <w:szCs w:val="16"/>
              </w:rPr>
              <w:t>maks</w:t>
            </w:r>
            <w:proofErr w:type="spellEnd"/>
            <w:r w:rsidRPr="007719CD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7719CD">
              <w:rPr>
                <w:b/>
                <w:sz w:val="16"/>
                <w:szCs w:val="16"/>
              </w:rPr>
              <w:t>orient</w:t>
            </w:r>
            <w:proofErr w:type="spellEnd"/>
            <w:r w:rsidRPr="007719CD">
              <w:rPr>
                <w:b/>
                <w:sz w:val="16"/>
                <w:szCs w:val="16"/>
              </w:rPr>
              <w:t>. kiekiui)</w:t>
            </w:r>
          </w:p>
        </w:tc>
      </w:tr>
      <w:tr w:rsidR="007719CD" w:rsidRPr="007719CD" w14:paraId="305E0195" w14:textId="77777777" w:rsidTr="00EB2AF6">
        <w:trPr>
          <w:trHeight w:val="365"/>
          <w:tblHeader/>
        </w:trPr>
        <w:tc>
          <w:tcPr>
            <w:tcW w:w="851" w:type="dxa"/>
            <w:vAlign w:val="center"/>
          </w:tcPr>
          <w:p w14:paraId="6CD4C697" w14:textId="3221CBE8" w:rsidR="007719CD" w:rsidRPr="007719CD" w:rsidRDefault="007719CD" w:rsidP="00771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19CD">
              <w:rPr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2127" w:type="dxa"/>
            <w:gridSpan w:val="2"/>
            <w:vAlign w:val="center"/>
          </w:tcPr>
          <w:p w14:paraId="39D37BA7" w14:textId="50FA02C7" w:rsidR="007719CD" w:rsidRPr="007719CD" w:rsidRDefault="007719CD" w:rsidP="007719CD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7719CD">
              <w:rPr>
                <w:b/>
                <w:bCs/>
                <w:sz w:val="16"/>
                <w:szCs w:val="16"/>
              </w:rPr>
              <w:t>Validaciojos</w:t>
            </w:r>
            <w:proofErr w:type="spellEnd"/>
            <w:r w:rsidRPr="007719CD">
              <w:rPr>
                <w:b/>
                <w:bCs/>
                <w:sz w:val="16"/>
                <w:szCs w:val="16"/>
              </w:rPr>
              <w:t xml:space="preserve"> tirpalų rinkinys BEP 2000 automatinio </w:t>
            </w:r>
            <w:proofErr w:type="spellStart"/>
            <w:r w:rsidRPr="007719CD">
              <w:rPr>
                <w:b/>
                <w:bCs/>
                <w:sz w:val="16"/>
                <w:szCs w:val="16"/>
              </w:rPr>
              <w:t>mikroplokštelių</w:t>
            </w:r>
            <w:proofErr w:type="spellEnd"/>
            <w:r w:rsidRPr="007719CD">
              <w:rPr>
                <w:b/>
                <w:bCs/>
                <w:sz w:val="16"/>
                <w:szCs w:val="16"/>
              </w:rPr>
              <w:t xml:space="preserve"> analizatoriaus priežiūrai</w:t>
            </w:r>
          </w:p>
        </w:tc>
        <w:tc>
          <w:tcPr>
            <w:tcW w:w="991" w:type="dxa"/>
            <w:vAlign w:val="center"/>
          </w:tcPr>
          <w:p w14:paraId="013B859F" w14:textId="76E560BE" w:rsidR="007719CD" w:rsidRPr="007719CD" w:rsidRDefault="007719CD" w:rsidP="007719C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33696500-0</w:t>
            </w:r>
          </w:p>
        </w:tc>
        <w:tc>
          <w:tcPr>
            <w:tcW w:w="2125" w:type="dxa"/>
            <w:vAlign w:val="center"/>
          </w:tcPr>
          <w:p w14:paraId="6381D0F8" w14:textId="71152ED6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7719CD">
              <w:rPr>
                <w:sz w:val="16"/>
                <w:szCs w:val="16"/>
              </w:rPr>
              <w:t xml:space="preserve">98. </w:t>
            </w:r>
            <w:proofErr w:type="spellStart"/>
            <w:r w:rsidRPr="007719CD">
              <w:rPr>
                <w:sz w:val="16"/>
                <w:szCs w:val="16"/>
              </w:rPr>
              <w:t>Performance</w:t>
            </w:r>
            <w:proofErr w:type="spellEnd"/>
            <w:r w:rsidRPr="007719CD">
              <w:rPr>
                <w:sz w:val="16"/>
                <w:szCs w:val="16"/>
              </w:rPr>
              <w:t xml:space="preserve"> </w:t>
            </w:r>
            <w:proofErr w:type="spellStart"/>
            <w:r w:rsidRPr="007719CD">
              <w:rPr>
                <w:sz w:val="16"/>
                <w:szCs w:val="16"/>
              </w:rPr>
              <w:t>Evaluation</w:t>
            </w:r>
            <w:proofErr w:type="spellEnd"/>
            <w:r w:rsidRPr="007719CD">
              <w:rPr>
                <w:sz w:val="16"/>
                <w:szCs w:val="16"/>
              </w:rPr>
              <w:t xml:space="preserve"> </w:t>
            </w:r>
            <w:proofErr w:type="spellStart"/>
            <w:r w:rsidRPr="007719CD">
              <w:rPr>
                <w:sz w:val="16"/>
                <w:szCs w:val="16"/>
              </w:rPr>
              <w:t>kit</w:t>
            </w:r>
            <w:proofErr w:type="spellEnd"/>
            <w:r w:rsidRPr="007719CD">
              <w:rPr>
                <w:sz w:val="16"/>
                <w:szCs w:val="16"/>
              </w:rPr>
              <w:t xml:space="preserve">, </w:t>
            </w:r>
            <w:proofErr w:type="spellStart"/>
            <w:r w:rsidRPr="007719CD">
              <w:rPr>
                <w:sz w:val="16"/>
                <w:szCs w:val="16"/>
              </w:rPr>
              <w:t>Pipettor-Wsher</w:t>
            </w:r>
            <w:proofErr w:type="spellEnd"/>
            <w:r w:rsidRPr="007719CD">
              <w:rPr>
                <w:sz w:val="16"/>
                <w:szCs w:val="16"/>
              </w:rPr>
              <w:t xml:space="preserve"> yra rinkinys </w:t>
            </w:r>
            <w:proofErr w:type="spellStart"/>
            <w:r w:rsidRPr="007719CD">
              <w:rPr>
                <w:sz w:val="16"/>
                <w:szCs w:val="16"/>
              </w:rPr>
              <w:t>pipetavimo</w:t>
            </w:r>
            <w:proofErr w:type="spellEnd"/>
            <w:r w:rsidRPr="007719CD">
              <w:rPr>
                <w:sz w:val="16"/>
                <w:szCs w:val="16"/>
              </w:rPr>
              <w:t xml:space="preserve"> ir plovimo procesų teisingumo ir tikslumo įvertinimui dirbant su automatiniu </w:t>
            </w:r>
            <w:proofErr w:type="spellStart"/>
            <w:r w:rsidRPr="007719CD">
              <w:rPr>
                <w:sz w:val="16"/>
                <w:szCs w:val="16"/>
              </w:rPr>
              <w:t>mikroplokštelių</w:t>
            </w:r>
            <w:proofErr w:type="spellEnd"/>
            <w:r w:rsidRPr="007719CD">
              <w:rPr>
                <w:sz w:val="16"/>
                <w:szCs w:val="16"/>
              </w:rPr>
              <w:t xml:space="preserve"> analizatoriumi BEP 2000 bei </w:t>
            </w:r>
            <w:proofErr w:type="spellStart"/>
            <w:r w:rsidRPr="007719CD">
              <w:rPr>
                <w:sz w:val="16"/>
                <w:szCs w:val="16"/>
              </w:rPr>
              <w:t>Immunomat</w:t>
            </w:r>
            <w:proofErr w:type="spellEnd"/>
            <w:r w:rsidRPr="007719CD">
              <w:rPr>
                <w:sz w:val="16"/>
                <w:szCs w:val="16"/>
              </w:rPr>
              <w:t>. Rinkinio sudėtyje  yra 10 plokštelių. Gamintojo dokumentacija (</w:t>
            </w:r>
            <w:proofErr w:type="spellStart"/>
            <w:r w:rsidRPr="007719CD">
              <w:rPr>
                <w:sz w:val="16"/>
                <w:szCs w:val="16"/>
              </w:rPr>
              <w:t>konfidncialu</w:t>
            </w:r>
            <w:proofErr w:type="spellEnd"/>
            <w:r w:rsidRPr="007719CD">
              <w:rPr>
                <w:sz w:val="16"/>
                <w:szCs w:val="16"/>
              </w:rPr>
              <w:t xml:space="preserve">) 98 </w:t>
            </w:r>
            <w:proofErr w:type="spellStart"/>
            <w:r w:rsidRPr="007719CD">
              <w:rPr>
                <w:sz w:val="16"/>
                <w:szCs w:val="16"/>
              </w:rPr>
              <w:t>p.d</w:t>
            </w:r>
            <w:proofErr w:type="spellEnd"/>
            <w:r w:rsidRPr="007719CD">
              <w:rPr>
                <w:sz w:val="16"/>
                <w:szCs w:val="16"/>
              </w:rPr>
              <w:t>. 11; 15 psl.</w:t>
            </w:r>
          </w:p>
        </w:tc>
        <w:tc>
          <w:tcPr>
            <w:tcW w:w="2977" w:type="dxa"/>
            <w:gridSpan w:val="2"/>
            <w:vAlign w:val="center"/>
          </w:tcPr>
          <w:p w14:paraId="063A9A62" w14:textId="6599EF87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 w:rsidRPr="007719CD">
              <w:rPr>
                <w:sz w:val="16"/>
                <w:szCs w:val="16"/>
              </w:rPr>
              <w:t>Bio-rad</w:t>
            </w:r>
            <w:proofErr w:type="spellEnd"/>
            <w:r w:rsidRPr="007719CD">
              <w:rPr>
                <w:sz w:val="16"/>
                <w:szCs w:val="16"/>
              </w:rPr>
              <w:t>, 89894, 1 rink. (10 plokštelių)</w:t>
            </w:r>
          </w:p>
        </w:tc>
        <w:tc>
          <w:tcPr>
            <w:tcW w:w="851" w:type="dxa"/>
            <w:gridSpan w:val="2"/>
            <w:vAlign w:val="center"/>
          </w:tcPr>
          <w:p w14:paraId="114149D7" w14:textId="212079BA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7719CD">
              <w:rPr>
                <w:sz w:val="16"/>
                <w:szCs w:val="16"/>
              </w:rPr>
              <w:t>1 rinkinys</w:t>
            </w:r>
          </w:p>
        </w:tc>
        <w:tc>
          <w:tcPr>
            <w:tcW w:w="850" w:type="dxa"/>
            <w:gridSpan w:val="2"/>
            <w:vAlign w:val="center"/>
          </w:tcPr>
          <w:p w14:paraId="10BA8557" w14:textId="412FE902" w:rsidR="007719CD" w:rsidRPr="007719CD" w:rsidRDefault="007719CD" w:rsidP="007719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5E9A11FA" w14:textId="4416EF0B" w:rsidR="007719CD" w:rsidRPr="007719CD" w:rsidRDefault="007719CD" w:rsidP="00771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19CD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08" w:type="dxa"/>
            <w:gridSpan w:val="2"/>
            <w:vAlign w:val="center"/>
          </w:tcPr>
          <w:p w14:paraId="57B08693" w14:textId="49A90578" w:rsidR="007719CD" w:rsidRPr="007719CD" w:rsidRDefault="007719CD" w:rsidP="007719CD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21,00</w:t>
            </w:r>
          </w:p>
        </w:tc>
        <w:tc>
          <w:tcPr>
            <w:tcW w:w="851" w:type="dxa"/>
            <w:gridSpan w:val="2"/>
            <w:vAlign w:val="center"/>
          </w:tcPr>
          <w:p w14:paraId="2A279EAE" w14:textId="6226C410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7719CD">
              <w:rPr>
                <w:sz w:val="16"/>
                <w:szCs w:val="16"/>
              </w:rPr>
              <w:t>363,00</w:t>
            </w:r>
          </w:p>
        </w:tc>
        <w:tc>
          <w:tcPr>
            <w:tcW w:w="852" w:type="dxa"/>
            <w:gridSpan w:val="2"/>
            <w:vAlign w:val="center"/>
          </w:tcPr>
          <w:p w14:paraId="4CFF348E" w14:textId="2E0F788B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7719CD">
              <w:rPr>
                <w:sz w:val="16"/>
                <w:szCs w:val="16"/>
              </w:rPr>
              <w:t>3000,00</w:t>
            </w:r>
          </w:p>
        </w:tc>
        <w:tc>
          <w:tcPr>
            <w:tcW w:w="850" w:type="dxa"/>
            <w:vAlign w:val="center"/>
          </w:tcPr>
          <w:p w14:paraId="75900007" w14:textId="744FA23A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7719CD">
              <w:rPr>
                <w:sz w:val="16"/>
                <w:szCs w:val="16"/>
              </w:rPr>
              <w:t>3630,00</w:t>
            </w:r>
          </w:p>
        </w:tc>
      </w:tr>
      <w:tr w:rsidR="007719CD" w:rsidRPr="007719CD" w14:paraId="3F0D0546" w14:textId="77777777" w:rsidTr="00EB2AF6">
        <w:trPr>
          <w:trHeight w:val="365"/>
          <w:tblHeader/>
        </w:trPr>
        <w:tc>
          <w:tcPr>
            <w:tcW w:w="851" w:type="dxa"/>
            <w:vAlign w:val="center"/>
          </w:tcPr>
          <w:p w14:paraId="2679E0FE" w14:textId="04F201B7" w:rsidR="007719CD" w:rsidRPr="007719CD" w:rsidRDefault="007719CD" w:rsidP="00771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19CD"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127" w:type="dxa"/>
            <w:gridSpan w:val="2"/>
            <w:vAlign w:val="center"/>
          </w:tcPr>
          <w:p w14:paraId="2CB927A6" w14:textId="3A2708C7" w:rsidR="007719CD" w:rsidRPr="007719CD" w:rsidRDefault="007719CD" w:rsidP="007719C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19CD">
              <w:rPr>
                <w:b/>
                <w:bCs/>
                <w:sz w:val="16"/>
                <w:szCs w:val="16"/>
              </w:rPr>
              <w:t>Reagentai a-HDV antikūnų nustatymui</w:t>
            </w:r>
          </w:p>
        </w:tc>
        <w:tc>
          <w:tcPr>
            <w:tcW w:w="991" w:type="dxa"/>
            <w:vAlign w:val="center"/>
          </w:tcPr>
          <w:p w14:paraId="5632C7B2" w14:textId="4142E70A" w:rsidR="007719CD" w:rsidRPr="007719CD" w:rsidRDefault="007719CD" w:rsidP="007719C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33924000-3</w:t>
            </w:r>
          </w:p>
        </w:tc>
        <w:tc>
          <w:tcPr>
            <w:tcW w:w="2125" w:type="dxa"/>
            <w:vAlign w:val="center"/>
          </w:tcPr>
          <w:p w14:paraId="7523E0EF" w14:textId="0CB19B38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7719CD">
              <w:rPr>
                <w:sz w:val="16"/>
                <w:szCs w:val="16"/>
              </w:rPr>
              <w:t xml:space="preserve">110. Dia.PRO HDV </w:t>
            </w:r>
            <w:proofErr w:type="spellStart"/>
            <w:r w:rsidRPr="007719CD">
              <w:rPr>
                <w:sz w:val="16"/>
                <w:szCs w:val="16"/>
              </w:rPr>
              <w:t>Ab</w:t>
            </w:r>
            <w:proofErr w:type="spellEnd"/>
            <w:r w:rsidRPr="007719CD">
              <w:rPr>
                <w:sz w:val="16"/>
                <w:szCs w:val="16"/>
              </w:rPr>
              <w:t xml:space="preserve"> yra reagentų rinkinys, skirtas hepatito D antikūnų nustatymui IFA metodu. Plokštelės laužomos bent po 8 šulinėlius. Rinkinys turi CE ir IVD </w:t>
            </w:r>
            <w:proofErr w:type="spellStart"/>
            <w:r w:rsidRPr="007719CD">
              <w:rPr>
                <w:sz w:val="16"/>
                <w:szCs w:val="16"/>
              </w:rPr>
              <w:t>ženklinimą.Gamintojo</w:t>
            </w:r>
            <w:proofErr w:type="spellEnd"/>
            <w:r w:rsidRPr="007719CD">
              <w:rPr>
                <w:sz w:val="16"/>
                <w:szCs w:val="16"/>
              </w:rPr>
              <w:t xml:space="preserve"> dokumentacija (</w:t>
            </w:r>
            <w:proofErr w:type="spellStart"/>
            <w:r w:rsidRPr="007719CD">
              <w:rPr>
                <w:sz w:val="16"/>
                <w:szCs w:val="16"/>
              </w:rPr>
              <w:t>konfidncialu</w:t>
            </w:r>
            <w:proofErr w:type="spellEnd"/>
            <w:r w:rsidRPr="007719CD">
              <w:rPr>
                <w:sz w:val="16"/>
                <w:szCs w:val="16"/>
              </w:rPr>
              <w:t xml:space="preserve">) 110 </w:t>
            </w:r>
            <w:proofErr w:type="spellStart"/>
            <w:r w:rsidRPr="007719CD">
              <w:rPr>
                <w:sz w:val="16"/>
                <w:szCs w:val="16"/>
              </w:rPr>
              <w:t>p.d</w:t>
            </w:r>
            <w:proofErr w:type="spellEnd"/>
            <w:r w:rsidRPr="007719CD">
              <w:rPr>
                <w:sz w:val="16"/>
                <w:szCs w:val="16"/>
              </w:rPr>
              <w:t>. 2; 17-18 psl.</w:t>
            </w:r>
          </w:p>
        </w:tc>
        <w:tc>
          <w:tcPr>
            <w:tcW w:w="2977" w:type="dxa"/>
            <w:gridSpan w:val="2"/>
            <w:vAlign w:val="center"/>
          </w:tcPr>
          <w:p w14:paraId="7C7938E4" w14:textId="4D442D6E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 w:rsidRPr="007719CD">
              <w:rPr>
                <w:sz w:val="16"/>
                <w:szCs w:val="16"/>
              </w:rPr>
              <w:t>Dia.Pro</w:t>
            </w:r>
            <w:proofErr w:type="spellEnd"/>
            <w:r w:rsidRPr="007719CD">
              <w:rPr>
                <w:sz w:val="16"/>
                <w:szCs w:val="16"/>
              </w:rPr>
              <w:t xml:space="preserve">, DB.CE, 1 </w:t>
            </w:r>
            <w:proofErr w:type="spellStart"/>
            <w:r w:rsidRPr="007719CD">
              <w:rPr>
                <w:sz w:val="16"/>
                <w:szCs w:val="16"/>
              </w:rPr>
              <w:t>pak</w:t>
            </w:r>
            <w:proofErr w:type="spellEnd"/>
            <w:r w:rsidRPr="007719CD">
              <w:rPr>
                <w:sz w:val="16"/>
                <w:szCs w:val="16"/>
              </w:rPr>
              <w:t xml:space="preserve">. (96 </w:t>
            </w:r>
            <w:proofErr w:type="spellStart"/>
            <w:r w:rsidRPr="007719CD">
              <w:rPr>
                <w:sz w:val="16"/>
                <w:szCs w:val="16"/>
              </w:rPr>
              <w:t>test</w:t>
            </w:r>
            <w:proofErr w:type="spellEnd"/>
            <w:r w:rsidRPr="007719CD">
              <w:rPr>
                <w:sz w:val="16"/>
                <w:szCs w:val="16"/>
              </w:rPr>
              <w:t>.)</w:t>
            </w:r>
          </w:p>
        </w:tc>
        <w:tc>
          <w:tcPr>
            <w:tcW w:w="851" w:type="dxa"/>
            <w:gridSpan w:val="2"/>
            <w:vAlign w:val="center"/>
          </w:tcPr>
          <w:p w14:paraId="51887DA3" w14:textId="61294C0A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7719CD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vAlign w:val="center"/>
          </w:tcPr>
          <w:p w14:paraId="7C48A4F6" w14:textId="1015FAF4" w:rsidR="007719CD" w:rsidRPr="007719CD" w:rsidRDefault="007719CD" w:rsidP="007719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851" w:type="dxa"/>
            <w:gridSpan w:val="2"/>
            <w:vAlign w:val="center"/>
          </w:tcPr>
          <w:p w14:paraId="09ED6DE7" w14:textId="2D554966" w:rsidR="007719CD" w:rsidRPr="007719CD" w:rsidRDefault="007719CD" w:rsidP="00771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19CD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08" w:type="dxa"/>
            <w:gridSpan w:val="2"/>
            <w:vAlign w:val="center"/>
          </w:tcPr>
          <w:p w14:paraId="749DE632" w14:textId="2588A24C" w:rsidR="007719CD" w:rsidRPr="007719CD" w:rsidRDefault="007719CD" w:rsidP="007719CD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21,00</w:t>
            </w:r>
          </w:p>
        </w:tc>
        <w:tc>
          <w:tcPr>
            <w:tcW w:w="851" w:type="dxa"/>
            <w:gridSpan w:val="2"/>
            <w:vAlign w:val="center"/>
          </w:tcPr>
          <w:p w14:paraId="6894FD9A" w14:textId="41A1EB09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7719CD">
              <w:rPr>
                <w:sz w:val="16"/>
                <w:szCs w:val="16"/>
              </w:rPr>
              <w:t>2,42</w:t>
            </w:r>
          </w:p>
        </w:tc>
        <w:tc>
          <w:tcPr>
            <w:tcW w:w="852" w:type="dxa"/>
            <w:gridSpan w:val="2"/>
            <w:vAlign w:val="center"/>
          </w:tcPr>
          <w:p w14:paraId="36D1FD73" w14:textId="733544CA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7719CD">
              <w:rPr>
                <w:sz w:val="16"/>
                <w:szCs w:val="16"/>
              </w:rPr>
              <w:t>384,00</w:t>
            </w:r>
          </w:p>
        </w:tc>
        <w:tc>
          <w:tcPr>
            <w:tcW w:w="850" w:type="dxa"/>
            <w:vAlign w:val="center"/>
          </w:tcPr>
          <w:p w14:paraId="30F4EBF6" w14:textId="6711E46A" w:rsidR="007719CD" w:rsidRPr="007719CD" w:rsidRDefault="007719CD" w:rsidP="007719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7719CD">
              <w:rPr>
                <w:sz w:val="16"/>
                <w:szCs w:val="16"/>
              </w:rPr>
              <w:t>464,64</w:t>
            </w:r>
          </w:p>
        </w:tc>
      </w:tr>
      <w:tr w:rsidR="0083351E" w:rsidRPr="007719CD" w14:paraId="3249EC64" w14:textId="77777777" w:rsidTr="00FC01A8">
        <w:trPr>
          <w:trHeight w:val="420"/>
          <w:tblHeader/>
        </w:trPr>
        <w:tc>
          <w:tcPr>
            <w:tcW w:w="9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7719CD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7719CD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7719C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7719CD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7719C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7719C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>Iš viso: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9C1121" w14:textId="60A9310B" w:rsidR="0083351E" w:rsidRPr="007719CD" w:rsidRDefault="000173F6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4094,64</w:t>
            </w:r>
          </w:p>
        </w:tc>
      </w:tr>
      <w:tr w:rsidR="0083351E" w:rsidRPr="007719CD" w14:paraId="0A0A1887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</w:tcPr>
          <w:p w14:paraId="3720C57A" w14:textId="77777777" w:rsidR="0083351E" w:rsidRPr="007719CD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 xml:space="preserve">Pardavėjas </w:t>
            </w:r>
          </w:p>
        </w:tc>
        <w:tc>
          <w:tcPr>
            <w:tcW w:w="5245" w:type="dxa"/>
            <w:gridSpan w:val="12"/>
          </w:tcPr>
          <w:p w14:paraId="7F44B614" w14:textId="77777777" w:rsidR="0083351E" w:rsidRPr="007719CD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19CD">
              <w:rPr>
                <w:b/>
                <w:sz w:val="16"/>
                <w:szCs w:val="16"/>
              </w:rPr>
              <w:t xml:space="preserve">Pirkėjas </w:t>
            </w:r>
          </w:p>
        </w:tc>
      </w:tr>
      <w:tr w:rsidR="0083351E" w:rsidRPr="007719CD" w14:paraId="5D466F84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  <w:vAlign w:val="bottom"/>
          </w:tcPr>
          <w:p w14:paraId="405B9EE0" w14:textId="1403FCA8" w:rsidR="0083351E" w:rsidRPr="007719CD" w:rsidRDefault="002A6CB4" w:rsidP="00B24189">
            <w:pPr>
              <w:spacing w:after="0" w:line="240" w:lineRule="auto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UAB „</w:t>
            </w:r>
            <w:proofErr w:type="spellStart"/>
            <w:r w:rsidRPr="007719CD">
              <w:rPr>
                <w:sz w:val="16"/>
                <w:szCs w:val="16"/>
              </w:rPr>
              <w:t>Multilabo</w:t>
            </w:r>
            <w:proofErr w:type="spellEnd"/>
            <w:r w:rsidRPr="007719CD">
              <w:rPr>
                <w:sz w:val="16"/>
                <w:szCs w:val="16"/>
              </w:rPr>
              <w:t>“</w:t>
            </w:r>
          </w:p>
        </w:tc>
        <w:tc>
          <w:tcPr>
            <w:tcW w:w="5245" w:type="dxa"/>
            <w:gridSpan w:val="12"/>
            <w:shd w:val="clear" w:color="auto" w:fill="auto"/>
          </w:tcPr>
          <w:p w14:paraId="15EADB2F" w14:textId="77777777" w:rsidR="0083351E" w:rsidRPr="007719CD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DE74B73" w14:textId="77777777" w:rsidR="0083351E" w:rsidRPr="007719CD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Nacionalinė visuomenės sveikatos priežiūros laboratorija</w:t>
            </w:r>
          </w:p>
        </w:tc>
      </w:tr>
      <w:tr w:rsidR="0083351E" w:rsidRPr="007719CD" w14:paraId="3D739F69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  <w:vAlign w:val="bottom"/>
          </w:tcPr>
          <w:p w14:paraId="7230F4CA" w14:textId="77777777" w:rsidR="0083351E" w:rsidRPr="007719CD" w:rsidRDefault="0083351E" w:rsidP="00B2418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12"/>
            <w:shd w:val="clear" w:color="auto" w:fill="auto"/>
          </w:tcPr>
          <w:p w14:paraId="5B2BE16B" w14:textId="77777777" w:rsidR="0083351E" w:rsidRPr="007719CD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E11781" w:rsidRPr="007719CD" w14:paraId="4CCB6CF2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  <w:vAlign w:val="bottom"/>
          </w:tcPr>
          <w:p w14:paraId="17B75B4F" w14:textId="6E5AC6D4" w:rsidR="00E11781" w:rsidRPr="007719CD" w:rsidRDefault="00E11781" w:rsidP="00E11781">
            <w:pPr>
              <w:spacing w:after="0" w:line="240" w:lineRule="auto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Direktorė</w:t>
            </w:r>
          </w:p>
          <w:p w14:paraId="7036A935" w14:textId="2AD10718" w:rsidR="00E11781" w:rsidRPr="007719CD" w:rsidRDefault="00E11781" w:rsidP="00E11781">
            <w:pPr>
              <w:spacing w:after="0" w:line="240" w:lineRule="auto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 xml:space="preserve">Miglė </w:t>
            </w:r>
            <w:proofErr w:type="spellStart"/>
            <w:r w:rsidRPr="007719CD">
              <w:rPr>
                <w:sz w:val="16"/>
                <w:szCs w:val="16"/>
              </w:rPr>
              <w:t>Natkaitė</w:t>
            </w:r>
            <w:proofErr w:type="spellEnd"/>
          </w:p>
        </w:tc>
        <w:tc>
          <w:tcPr>
            <w:tcW w:w="5245" w:type="dxa"/>
            <w:gridSpan w:val="12"/>
            <w:shd w:val="clear" w:color="auto" w:fill="auto"/>
          </w:tcPr>
          <w:p w14:paraId="4B6CF93B" w14:textId="77777777" w:rsidR="00E11781" w:rsidRPr="007719CD" w:rsidRDefault="00E11781" w:rsidP="00E11781">
            <w:pPr>
              <w:spacing w:after="0" w:line="240" w:lineRule="auto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Direktoriaus pavaduotoja,</w:t>
            </w:r>
          </w:p>
          <w:p w14:paraId="2EA22A52" w14:textId="77777777" w:rsidR="00E11781" w:rsidRPr="007719CD" w:rsidRDefault="00E11781" w:rsidP="00E11781">
            <w:pPr>
              <w:spacing w:after="0" w:line="240" w:lineRule="auto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laikinai vykdanti direktoriaus funkcijas</w:t>
            </w:r>
          </w:p>
          <w:p w14:paraId="18388ECF" w14:textId="1E3E561F" w:rsidR="00E11781" w:rsidRPr="007719CD" w:rsidRDefault="00E11781" w:rsidP="00E1178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Rosita Marija Balčienė</w:t>
            </w:r>
            <w:r w:rsidRPr="007719CD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11781" w:rsidRPr="007719CD" w14:paraId="6427A958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trHeight w:val="255"/>
        </w:trPr>
        <w:tc>
          <w:tcPr>
            <w:tcW w:w="6237" w:type="dxa"/>
            <w:gridSpan w:val="4"/>
          </w:tcPr>
          <w:p w14:paraId="331F6046" w14:textId="77777777" w:rsidR="00E11781" w:rsidRPr="007719CD" w:rsidRDefault="00E11781" w:rsidP="00E11781">
            <w:pPr>
              <w:spacing w:after="0" w:line="240" w:lineRule="auto"/>
              <w:rPr>
                <w:sz w:val="16"/>
                <w:szCs w:val="16"/>
              </w:rPr>
            </w:pPr>
          </w:p>
          <w:p w14:paraId="55BD2788" w14:textId="77777777" w:rsidR="00E11781" w:rsidRPr="007719CD" w:rsidRDefault="00E11781" w:rsidP="00E11781">
            <w:pPr>
              <w:spacing w:after="0" w:line="240" w:lineRule="auto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Parašas</w:t>
            </w:r>
            <w:r w:rsidRPr="007719CD">
              <w:rPr>
                <w:sz w:val="16"/>
                <w:szCs w:val="16"/>
              </w:rPr>
              <w:tab/>
              <w:t>______________________</w:t>
            </w:r>
          </w:p>
          <w:p w14:paraId="54A27EE5" w14:textId="625E2181" w:rsidR="00E11781" w:rsidRPr="007719CD" w:rsidRDefault="00E11781" w:rsidP="00E11781">
            <w:pPr>
              <w:spacing w:after="0" w:line="240" w:lineRule="auto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A.V.</w:t>
            </w: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78EB0602" w14:textId="77777777" w:rsidR="00E11781" w:rsidRPr="007719CD" w:rsidRDefault="00E11781" w:rsidP="00E11781">
            <w:pPr>
              <w:spacing w:after="0" w:line="240" w:lineRule="auto"/>
              <w:rPr>
                <w:sz w:val="16"/>
                <w:szCs w:val="16"/>
              </w:rPr>
            </w:pPr>
          </w:p>
          <w:p w14:paraId="6B526D5D" w14:textId="77777777" w:rsidR="00E11781" w:rsidRPr="007719CD" w:rsidRDefault="00E11781" w:rsidP="00E11781">
            <w:pPr>
              <w:spacing w:after="0" w:line="240" w:lineRule="auto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Parašas</w:t>
            </w:r>
            <w:r w:rsidRPr="007719CD">
              <w:rPr>
                <w:sz w:val="16"/>
                <w:szCs w:val="16"/>
              </w:rPr>
              <w:tab/>
              <w:t>______________________</w:t>
            </w:r>
          </w:p>
          <w:p w14:paraId="543A85B1" w14:textId="49B31F1F" w:rsidR="00E11781" w:rsidRPr="007719CD" w:rsidRDefault="00E11781" w:rsidP="00E11781">
            <w:pPr>
              <w:spacing w:after="0" w:line="240" w:lineRule="auto"/>
              <w:rPr>
                <w:sz w:val="16"/>
                <w:szCs w:val="16"/>
              </w:rPr>
            </w:pPr>
            <w:r w:rsidRPr="007719CD">
              <w:rPr>
                <w:sz w:val="16"/>
                <w:szCs w:val="16"/>
              </w:rPr>
              <w:t>A.V.</w:t>
            </w:r>
          </w:p>
        </w:tc>
      </w:tr>
    </w:tbl>
    <w:p w14:paraId="7E548316" w14:textId="77777777" w:rsidR="00804EA6" w:rsidRDefault="00804EA6" w:rsidP="00A52DEF"/>
    <w:sectPr w:rsidR="00804EA6" w:rsidSect="0037199C">
      <w:pgSz w:w="15840" w:h="12240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270B1"/>
    <w:multiLevelType w:val="hybridMultilevel"/>
    <w:tmpl w:val="01021C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173F6"/>
    <w:rsid w:val="000B3E0F"/>
    <w:rsid w:val="000C5E78"/>
    <w:rsid w:val="000F6126"/>
    <w:rsid w:val="000F7E42"/>
    <w:rsid w:val="00102B81"/>
    <w:rsid w:val="0010368E"/>
    <w:rsid w:val="00164C43"/>
    <w:rsid w:val="002164E9"/>
    <w:rsid w:val="0023710E"/>
    <w:rsid w:val="002941B1"/>
    <w:rsid w:val="002A6CB4"/>
    <w:rsid w:val="002C38A0"/>
    <w:rsid w:val="00341301"/>
    <w:rsid w:val="0037199C"/>
    <w:rsid w:val="0049717D"/>
    <w:rsid w:val="005070B4"/>
    <w:rsid w:val="00623652"/>
    <w:rsid w:val="006328E3"/>
    <w:rsid w:val="006B7DD2"/>
    <w:rsid w:val="006F236F"/>
    <w:rsid w:val="00706AF9"/>
    <w:rsid w:val="007719CD"/>
    <w:rsid w:val="00774D81"/>
    <w:rsid w:val="007E09BD"/>
    <w:rsid w:val="007E1AAC"/>
    <w:rsid w:val="00804EA6"/>
    <w:rsid w:val="008100AF"/>
    <w:rsid w:val="0083351E"/>
    <w:rsid w:val="00836370"/>
    <w:rsid w:val="009A58D1"/>
    <w:rsid w:val="00A11097"/>
    <w:rsid w:val="00A11BD1"/>
    <w:rsid w:val="00A35324"/>
    <w:rsid w:val="00A52DEF"/>
    <w:rsid w:val="00B4032B"/>
    <w:rsid w:val="00C031EC"/>
    <w:rsid w:val="00C04C16"/>
    <w:rsid w:val="00C07171"/>
    <w:rsid w:val="00C17B72"/>
    <w:rsid w:val="00C433BE"/>
    <w:rsid w:val="00C454B4"/>
    <w:rsid w:val="00C627AB"/>
    <w:rsid w:val="00D525AE"/>
    <w:rsid w:val="00DD0B66"/>
    <w:rsid w:val="00E11781"/>
    <w:rsid w:val="00EB0900"/>
    <w:rsid w:val="00EB2AF6"/>
    <w:rsid w:val="00ED2AA2"/>
    <w:rsid w:val="00ED410B"/>
    <w:rsid w:val="00ED553C"/>
    <w:rsid w:val="00F716E6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FC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52</cp:revision>
  <dcterms:created xsi:type="dcterms:W3CDTF">2024-04-11T04:27:00Z</dcterms:created>
  <dcterms:modified xsi:type="dcterms:W3CDTF">2024-10-08T06:52:00Z</dcterms:modified>
</cp:coreProperties>
</file>