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0BDE59C0"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r w:rsidR="00FF6BC9">
        <w:rPr>
          <w:rFonts w:ascii="Times New Roman" w:hAnsi="Times New Roman"/>
          <w:b/>
          <w:sz w:val="24"/>
          <w:szCs w:val="24"/>
        </w:rPr>
        <w:t>89</w:t>
      </w:r>
    </w:p>
    <w:p w14:paraId="7DA74791" w14:textId="25CAD246"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FF6BC9">
        <w:rPr>
          <w:rFonts w:ascii="Times New Roman" w:hAnsi="Times New Roman"/>
          <w:sz w:val="24"/>
          <w:szCs w:val="24"/>
        </w:rPr>
        <w:t xml:space="preserve"> rugsėjo 23</w:t>
      </w:r>
      <w:r w:rsidR="001D5EC2"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16917999"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9027E6">
        <w:rPr>
          <w:rFonts w:ascii="Times New Roman" w:hAnsi="Times New Roman"/>
          <w:sz w:val="24"/>
          <w:szCs w:val="24"/>
        </w:rPr>
        <w:t>direktorė Gerda Kuzmarskienė</w:t>
      </w:r>
      <w:r w:rsidR="001A4D1A" w:rsidRPr="001A4D1A">
        <w:rPr>
          <w:rFonts w:ascii="Times New Roman" w:hAnsi="Times New Roman"/>
          <w:sz w:val="24"/>
          <w:szCs w:val="24"/>
        </w:rPr>
        <w:t>, veikiančio pagal Kauno miesto savivaldybės visuomenės sveikatos biuro nuostatus</w:t>
      </w:r>
      <w:r w:rsidRPr="00C6372C">
        <w:rPr>
          <w:rFonts w:ascii="Times New Roman" w:hAnsi="Times New Roman"/>
          <w:sz w:val="24"/>
          <w:szCs w:val="24"/>
        </w:rPr>
        <w:t xml:space="preserve"> (toliau –</w:t>
      </w:r>
      <w:r w:rsidR="00ED741C" w:rsidRPr="00C6372C">
        <w:rPr>
          <w:rFonts w:ascii="Times New Roman" w:hAnsi="Times New Roman"/>
          <w:sz w:val="24"/>
          <w:szCs w:val="24"/>
        </w:rPr>
        <w:t xml:space="preserve"> Perkančioji organiza</w:t>
      </w:r>
      <w:r w:rsidR="00450C53" w:rsidRPr="00C6372C">
        <w:rPr>
          <w:rFonts w:ascii="Times New Roman" w:hAnsi="Times New Roman"/>
          <w:sz w:val="24"/>
          <w:szCs w:val="24"/>
        </w:rPr>
        <w:t>cija</w:t>
      </w:r>
      <w:r w:rsidRPr="00C6372C">
        <w:rPr>
          <w:rFonts w:ascii="Times New Roman" w:hAnsi="Times New Roman"/>
          <w:sz w:val="24"/>
          <w:szCs w:val="24"/>
        </w:rPr>
        <w:t>) ir</w:t>
      </w:r>
      <w:r w:rsidR="0001741F" w:rsidRPr="00E478DA">
        <w:rPr>
          <w:rFonts w:ascii="Times New Roman" w:hAnsi="Times New Roman"/>
          <w:b/>
          <w:bCs/>
          <w:sz w:val="24"/>
          <w:szCs w:val="24"/>
        </w:rPr>
        <w:t xml:space="preserve"> </w:t>
      </w:r>
      <w:r w:rsidR="00E478DA" w:rsidRPr="00E478DA">
        <w:rPr>
          <w:rFonts w:ascii="Times New Roman" w:hAnsi="Times New Roman"/>
          <w:b/>
          <w:bCs/>
          <w:sz w:val="24"/>
          <w:szCs w:val="24"/>
          <w:lang w:val="en-US"/>
        </w:rPr>
        <w:t>Lijana Agadžanjan</w:t>
      </w:r>
      <w:r w:rsidR="005F5C51" w:rsidRPr="00E478DA">
        <w:rPr>
          <w:rFonts w:ascii="Times New Roman" w:hAnsi="Times New Roman"/>
          <w:b/>
          <w:bCs/>
          <w:sz w:val="24"/>
          <w:szCs w:val="24"/>
        </w:rPr>
        <w:t>,</w:t>
      </w:r>
      <w:r w:rsidR="005F5C51">
        <w:rPr>
          <w:rFonts w:ascii="Times New Roman" w:hAnsi="Times New Roman"/>
          <w:b/>
          <w:bCs/>
          <w:sz w:val="24"/>
          <w:szCs w:val="24"/>
        </w:rPr>
        <w:t xml:space="preserve"> </w:t>
      </w:r>
      <w:r w:rsidR="00436C17">
        <w:rPr>
          <w:rFonts w:ascii="Times New Roman" w:hAnsi="Times New Roman"/>
          <w:sz w:val="24"/>
          <w:szCs w:val="24"/>
        </w:rPr>
        <w:t>asmens</w:t>
      </w:r>
      <w:r w:rsidR="007D6507" w:rsidRPr="005F5C51">
        <w:rPr>
          <w:rFonts w:ascii="Times New Roman" w:hAnsi="Times New Roman"/>
          <w:sz w:val="24"/>
          <w:szCs w:val="24"/>
        </w:rPr>
        <w:t xml:space="preserve"> </w:t>
      </w:r>
      <w:r w:rsidR="00C60545" w:rsidRPr="005F5C51">
        <w:rPr>
          <w:rFonts w:ascii="Times New Roman" w:hAnsi="Times New Roman"/>
          <w:sz w:val="24"/>
          <w:szCs w:val="24"/>
        </w:rPr>
        <w:t>k</w:t>
      </w:r>
      <w:r w:rsidR="00C60545" w:rsidRPr="00C6372C">
        <w:rPr>
          <w:rFonts w:ascii="Times New Roman" w:hAnsi="Times New Roman"/>
          <w:sz w:val="24"/>
          <w:szCs w:val="24"/>
        </w:rPr>
        <w:t xml:space="preserve">odas </w:t>
      </w:r>
      <w:r w:rsidR="00606EDB">
        <w:rPr>
          <w:rFonts w:ascii="Times New Roman" w:hAnsi="Times New Roman"/>
          <w:sz w:val="24"/>
          <w:szCs w:val="24"/>
        </w:rPr>
        <w:t>48812100663</w:t>
      </w:r>
      <w:r w:rsidR="00E677C3" w:rsidRPr="00C6372C">
        <w:rPr>
          <w:rFonts w:ascii="Times New Roman" w:hAnsi="Times New Roman"/>
          <w:sz w:val="24"/>
          <w:szCs w:val="24"/>
        </w:rPr>
        <w:t>,</w:t>
      </w:r>
      <w:r w:rsidR="00EF33C8">
        <w:rPr>
          <w:rFonts w:ascii="Times New Roman" w:hAnsi="Times New Roman"/>
          <w:sz w:val="24"/>
          <w:szCs w:val="24"/>
        </w:rPr>
        <w:t xml:space="preserve"> </w:t>
      </w:r>
      <w:r w:rsidR="00E677C3" w:rsidRPr="00C6372C">
        <w:rPr>
          <w:rFonts w:ascii="Times New Roman" w:hAnsi="Times New Roman"/>
          <w:sz w:val="24"/>
          <w:szCs w:val="24"/>
        </w:rPr>
        <w:t>veikian</w:t>
      </w:r>
      <w:r w:rsidR="009A0E60" w:rsidRPr="00C6372C">
        <w:rPr>
          <w:rFonts w:ascii="Times New Roman" w:hAnsi="Times New Roman"/>
          <w:sz w:val="24"/>
          <w:szCs w:val="24"/>
        </w:rPr>
        <w:t>čio</w:t>
      </w:r>
      <w:r w:rsidR="00436C17">
        <w:rPr>
          <w:rFonts w:ascii="Times New Roman" w:hAnsi="Times New Roman"/>
          <w:sz w:val="24"/>
          <w:szCs w:val="24"/>
        </w:rPr>
        <w:t>s</w:t>
      </w:r>
      <w:r w:rsidR="00E677C3" w:rsidRPr="00C6372C">
        <w:rPr>
          <w:rFonts w:ascii="Times New Roman" w:hAnsi="Times New Roman"/>
          <w:sz w:val="24"/>
          <w:szCs w:val="24"/>
        </w:rPr>
        <w:t xml:space="preserve"> pagal</w:t>
      </w:r>
      <w:r w:rsidR="00606EDB">
        <w:rPr>
          <w:rFonts w:ascii="Times New Roman" w:hAnsi="Times New Roman"/>
          <w:sz w:val="24"/>
          <w:szCs w:val="24"/>
        </w:rPr>
        <w:t xml:space="preserve"> individualios veiklos pažymą Nr. 1338</w:t>
      </w:r>
      <w:r w:rsidR="00EC6116">
        <w:rPr>
          <w:rFonts w:ascii="Times New Roman" w:hAnsi="Times New Roman"/>
          <w:sz w:val="24"/>
          <w:szCs w:val="24"/>
        </w:rPr>
        <w:t>134</w:t>
      </w:r>
      <w:r w:rsidR="00606EDB" w:rsidRPr="00C6372C">
        <w:rPr>
          <w:rFonts w:ascii="Times New Roman" w:hAnsi="Times New Roman"/>
          <w:sz w:val="24"/>
          <w:szCs w:val="24"/>
        </w:rPr>
        <w:t xml:space="preserve"> </w:t>
      </w:r>
      <w:r w:rsidRPr="00C6372C">
        <w:rPr>
          <w:rFonts w:ascii="Times New Roman" w:hAnsi="Times New Roman"/>
          <w:sz w:val="24"/>
          <w:szCs w:val="24"/>
        </w:rPr>
        <w:t>(toliau – Paslaugos teikėjas), kartu vadinamos Šalimis, o 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1753F016"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5F5C51">
        <w:rPr>
          <w:b/>
          <w:bCs/>
          <w:szCs w:val="24"/>
        </w:rPr>
        <w:t xml:space="preserve"> </w:t>
      </w:r>
      <w:r w:rsidR="00541C9C" w:rsidRPr="00541C9C">
        <w:rPr>
          <w:b/>
          <w:bCs/>
        </w:rPr>
        <w:t>Priklausomybės konsultanto paslaug</w:t>
      </w:r>
      <w:r w:rsidR="00541C9C">
        <w:rPr>
          <w:b/>
          <w:bCs/>
        </w:rPr>
        <w:t>a</w:t>
      </w:r>
      <w:r w:rsidR="00541C9C" w:rsidRPr="00541C9C">
        <w:rPr>
          <w:b/>
          <w:bCs/>
        </w:rPr>
        <w:t>s</w:t>
      </w:r>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76EE3599"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541C9C">
        <w:rPr>
          <w:b/>
          <w:bCs/>
          <w:i/>
          <w:iCs/>
          <w:szCs w:val="24"/>
        </w:rPr>
        <w:t>1</w:t>
      </w:r>
      <w:r w:rsidR="00277D09">
        <w:rPr>
          <w:b/>
          <w:bCs/>
          <w:i/>
          <w:iCs/>
          <w:szCs w:val="24"/>
        </w:rPr>
        <w:t>5 000</w:t>
      </w:r>
      <w:r w:rsidR="00776294" w:rsidRPr="00ED1BEF">
        <w:rPr>
          <w:b/>
          <w:bCs/>
          <w:i/>
          <w:iCs/>
          <w:szCs w:val="24"/>
        </w:rPr>
        <w:t>,</w:t>
      </w:r>
      <w:r w:rsidRPr="00ED1BEF">
        <w:rPr>
          <w:b/>
          <w:bCs/>
          <w:i/>
          <w:iCs/>
          <w:szCs w:val="24"/>
        </w:rPr>
        <w:t>0</w:t>
      </w:r>
      <w:r w:rsidRPr="00BF49DE">
        <w:rPr>
          <w:b/>
          <w:bCs/>
          <w:i/>
          <w:iCs/>
          <w:szCs w:val="24"/>
        </w:rPr>
        <w:t xml:space="preserve">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4614987E" w:rsidR="00164C79" w:rsidRPr="00492096" w:rsidRDefault="00164C79" w:rsidP="00164C79">
      <w:pPr>
        <w:pStyle w:val="ListParagraph"/>
        <w:numPr>
          <w:ilvl w:val="1"/>
          <w:numId w:val="2"/>
        </w:numPr>
        <w:spacing w:line="240" w:lineRule="auto"/>
        <w:ind w:left="0" w:firstLine="0"/>
        <w:rPr>
          <w:szCs w:val="24"/>
        </w:rPr>
      </w:pPr>
      <w:r w:rsidRPr="00492096">
        <w:rPr>
          <w:szCs w:val="24"/>
        </w:rPr>
        <w:t xml:space="preserve">Paslaugos teikėjas, už praėjusį mėnesį suteiktas Paslaugas, pateikia sąskaitą faktūrą sistemoje </w:t>
      </w:r>
      <w:r w:rsidR="00FB0047">
        <w:rPr>
          <w:szCs w:val="24"/>
        </w:rPr>
        <w:t>SABIS</w:t>
      </w:r>
      <w:r w:rsidRPr="00492096">
        <w:rPr>
          <w:szCs w:val="24"/>
        </w:rPr>
        <w:t xml:space="preserve">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D36A15"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naujausias</w:t>
      </w:r>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pradžia</w:t>
      </w:r>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69281655" w:rsidR="00AD5EE8" w:rsidRPr="00AD5EE8" w:rsidRDefault="00AD5EE8" w:rsidP="00AD5EE8">
      <w:pPr>
        <w:pStyle w:val="ListParagraph"/>
        <w:numPr>
          <w:ilvl w:val="2"/>
          <w:numId w:val="1"/>
        </w:numPr>
        <w:spacing w:line="240" w:lineRule="auto"/>
        <w:ind w:left="0" w:firstLine="0"/>
        <w:rPr>
          <w:szCs w:val="24"/>
        </w:rPr>
      </w:pPr>
      <w:r w:rsidRPr="00AD5EE8">
        <w:rPr>
          <w:szCs w:val="24"/>
        </w:rPr>
        <w:t>Susidarius aplinkybėms, kai specialistas (toliau</w:t>
      </w:r>
      <w:r w:rsidR="00CF16B5">
        <w:rPr>
          <w:szCs w:val="24"/>
        </w:rPr>
        <w:t xml:space="preserve"> </w:t>
      </w:r>
      <w:r w:rsidR="00BE33B7">
        <w:rPr>
          <w:szCs w:val="24"/>
        </w:rPr>
        <w:t>-</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1B05F3C5"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B00837">
        <w:t>Priklausomybės konsultanto paslaugos</w:t>
      </w:r>
      <w:r w:rsidR="00277D09">
        <w:t>“</w:t>
      </w:r>
      <w:r w:rsidR="00550462" w:rsidRPr="00A9091C">
        <w:rPr>
          <w:szCs w:val="24"/>
        </w:rPr>
        <w:t xml:space="preserve"> </w:t>
      </w:r>
      <w:r w:rsidRPr="00A9091C">
        <w:rPr>
          <w:szCs w:val="24"/>
        </w:rPr>
        <w:t xml:space="preserve">pirkimo sąlygos. </w:t>
      </w:r>
    </w:p>
    <w:p w14:paraId="7DA747B6" w14:textId="363E4EFB"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w:t>
      </w:r>
      <w:r w:rsidR="00C42DFC">
        <w:rPr>
          <w:szCs w:val="24"/>
        </w:rPr>
        <w:t>2024 m. spalio 1 d.</w:t>
      </w:r>
      <w:r w:rsidR="00544B0A">
        <w:rPr>
          <w:szCs w:val="24"/>
        </w:rPr>
        <w:t xml:space="preserve"> ir galioja </w:t>
      </w:r>
      <w:r w:rsidR="00B00837">
        <w:rPr>
          <w:szCs w:val="24"/>
        </w:rPr>
        <w:t>25</w:t>
      </w:r>
      <w:r w:rsidR="00A97C80">
        <w:rPr>
          <w:szCs w:val="24"/>
        </w:rPr>
        <w:t xml:space="preserve"> mėnesius</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4140AACD" w:rsidR="00D24F32" w:rsidRPr="00492096" w:rsidRDefault="00B00837" w:rsidP="00D24F32">
            <w:pPr>
              <w:jc w:val="center"/>
              <w:rPr>
                <w:sz w:val="24"/>
                <w:szCs w:val="24"/>
              </w:rPr>
            </w:pPr>
            <w:r>
              <w:rPr>
                <w:sz w:val="24"/>
                <w:szCs w:val="24"/>
              </w:rPr>
              <w:t>Giedrė Macaitienė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41FC6627" w:rsidR="00D24F32" w:rsidRPr="00492096" w:rsidRDefault="00EC6116" w:rsidP="00D24F32">
            <w:pPr>
              <w:jc w:val="center"/>
              <w:rPr>
                <w:sz w:val="24"/>
                <w:szCs w:val="24"/>
              </w:rPr>
            </w:pPr>
            <w:r w:rsidRPr="00EC6116">
              <w:rPr>
                <w:sz w:val="24"/>
                <w:szCs w:val="24"/>
              </w:rPr>
              <w:t>Lijana Agadžanjan</w:t>
            </w: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Tel. nr.</w:t>
            </w:r>
          </w:p>
        </w:tc>
        <w:tc>
          <w:tcPr>
            <w:tcW w:w="2714" w:type="dxa"/>
            <w:vAlign w:val="center"/>
          </w:tcPr>
          <w:p w14:paraId="7DA747C6" w14:textId="33D0D762" w:rsidR="00D24F32" w:rsidRPr="00492096" w:rsidRDefault="009027E6" w:rsidP="00D24F32">
            <w:pPr>
              <w:jc w:val="center"/>
              <w:rPr>
                <w:sz w:val="24"/>
                <w:szCs w:val="24"/>
              </w:rPr>
            </w:pPr>
            <w:r w:rsidRPr="009027E6">
              <w:rPr>
                <w:sz w:val="24"/>
                <w:szCs w:val="24"/>
              </w:rPr>
              <w:t>+370 616 87188</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3E39D7E2" w:rsidR="00D24F32" w:rsidRPr="00492096" w:rsidRDefault="00514C7B" w:rsidP="00D24F32">
            <w:pPr>
              <w:jc w:val="center"/>
              <w:rPr>
                <w:sz w:val="24"/>
                <w:szCs w:val="24"/>
              </w:rPr>
            </w:pPr>
            <w:r w:rsidRPr="00514C7B">
              <w:rPr>
                <w:sz w:val="24"/>
                <w:szCs w:val="24"/>
              </w:rPr>
              <w:t>+370 60513033</w:t>
            </w: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0354DA4D" w:rsidR="00D24F32" w:rsidRPr="00492096" w:rsidRDefault="00D36A15" w:rsidP="00D24F32">
            <w:pPr>
              <w:jc w:val="center"/>
              <w:rPr>
                <w:sz w:val="24"/>
                <w:szCs w:val="24"/>
              </w:rPr>
            </w:pPr>
            <w:hyperlink r:id="rId10" w:history="1">
              <w:r w:rsidR="00D40917" w:rsidRPr="00D40917">
                <w:rPr>
                  <w:sz w:val="24"/>
                  <w:szCs w:val="24"/>
                </w:rPr>
                <w:t>giedre.macaitiene@kaunovsb.lt</w:t>
              </w:r>
            </w:hyperlink>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7C5C1C04" w:rsidR="00D24F32" w:rsidRPr="00514C7B" w:rsidRDefault="00FA454A" w:rsidP="00D24F32">
            <w:pPr>
              <w:jc w:val="center"/>
              <w:rPr>
                <w:sz w:val="24"/>
                <w:szCs w:val="24"/>
              </w:rPr>
            </w:pPr>
            <w:hyperlink r:id="rId11" w:tgtFrame="_blank" w:history="1">
              <w:r w:rsidRPr="00514C7B">
                <w:rPr>
                  <w:sz w:val="24"/>
                  <w:szCs w:val="24"/>
                </w:rPr>
                <w:t>l.agadzanjan.vrpi@gmail.com</w:t>
              </w:r>
            </w:hyperlink>
            <w:r w:rsidRPr="00514C7B">
              <w:rPr>
                <w:sz w:val="24"/>
                <w:szCs w:val="24"/>
              </w:rPr>
              <w:t>  </w:t>
            </w: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4FA7E391" w14:textId="77777777" w:rsidR="00B2156A" w:rsidRPr="00B2156A" w:rsidRDefault="00B2156A" w:rsidP="0092744B">
            <w:pPr>
              <w:ind w:right="43"/>
              <w:jc w:val="both"/>
              <w:rPr>
                <w:b/>
                <w:bCs/>
                <w:sz w:val="24"/>
                <w:szCs w:val="24"/>
              </w:rPr>
            </w:pPr>
            <w:r w:rsidRPr="00B2156A">
              <w:rPr>
                <w:b/>
                <w:bCs/>
                <w:sz w:val="24"/>
                <w:szCs w:val="24"/>
                <w:lang w:val="en-US"/>
              </w:rPr>
              <w:t>Lijana Agadžanjan</w:t>
            </w:r>
            <w:r w:rsidRPr="00B2156A">
              <w:rPr>
                <w:b/>
                <w:bCs/>
                <w:sz w:val="24"/>
                <w:szCs w:val="24"/>
              </w:rPr>
              <w:t xml:space="preserve"> </w:t>
            </w:r>
          </w:p>
          <w:p w14:paraId="35C929C3" w14:textId="1AB13E17" w:rsidR="0092744B" w:rsidRPr="00492096" w:rsidRDefault="00D77C18" w:rsidP="0092744B">
            <w:pPr>
              <w:ind w:right="43"/>
              <w:jc w:val="both"/>
              <w:rPr>
                <w:b/>
                <w:sz w:val="24"/>
                <w:szCs w:val="24"/>
              </w:rPr>
            </w:pPr>
            <w:r>
              <w:rPr>
                <w:bCs/>
                <w:sz w:val="24"/>
                <w:szCs w:val="24"/>
              </w:rPr>
              <w:t xml:space="preserve">Kampo g. </w:t>
            </w:r>
            <w:r w:rsidR="00D36A15">
              <w:rPr>
                <w:bCs/>
                <w:sz w:val="24"/>
                <w:szCs w:val="24"/>
              </w:rPr>
              <w:t>284, Kaunas</w:t>
            </w:r>
          </w:p>
          <w:p w14:paraId="5DECE100" w14:textId="47FF4E4E" w:rsidR="00CB498C" w:rsidRPr="00492096" w:rsidRDefault="00D36A15" w:rsidP="0092744B">
            <w:pPr>
              <w:rPr>
                <w:sz w:val="24"/>
                <w:szCs w:val="24"/>
              </w:rPr>
            </w:pPr>
            <w:r>
              <w:rPr>
                <w:sz w:val="24"/>
                <w:szCs w:val="24"/>
              </w:rPr>
              <w:t>48812100663</w:t>
            </w:r>
          </w:p>
          <w:p w14:paraId="0A9FBEED" w14:textId="26B75F2E" w:rsidR="0092744B" w:rsidRPr="00492096" w:rsidRDefault="0092744B" w:rsidP="0092744B">
            <w:pPr>
              <w:rPr>
                <w:sz w:val="24"/>
                <w:szCs w:val="24"/>
              </w:rPr>
            </w:pPr>
            <w:r w:rsidRPr="00492096">
              <w:rPr>
                <w:sz w:val="24"/>
                <w:szCs w:val="24"/>
              </w:rPr>
              <w:t xml:space="preserve">A/s </w:t>
            </w:r>
            <w:r w:rsidR="00D36A15">
              <w:rPr>
                <w:sz w:val="24"/>
                <w:szCs w:val="24"/>
              </w:rPr>
              <w:t>LT547044060008083785</w:t>
            </w:r>
          </w:p>
          <w:p w14:paraId="2D6C34BC" w14:textId="22885A53" w:rsidR="0092744B" w:rsidRPr="00492096" w:rsidRDefault="0092744B" w:rsidP="0092744B">
            <w:pPr>
              <w:rPr>
                <w:sz w:val="24"/>
                <w:szCs w:val="24"/>
              </w:rPr>
            </w:pPr>
            <w:r w:rsidRPr="00492096">
              <w:rPr>
                <w:sz w:val="24"/>
                <w:szCs w:val="24"/>
              </w:rPr>
              <w:t xml:space="preserve">AB </w:t>
            </w:r>
            <w:r w:rsidR="00D36A15">
              <w:rPr>
                <w:sz w:val="24"/>
                <w:szCs w:val="24"/>
              </w:rPr>
              <w:t>SEB</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2CCE7980" w:rsidR="007A6967" w:rsidRDefault="009027E6" w:rsidP="007A6967">
            <w:pPr>
              <w:ind w:right="43"/>
              <w:jc w:val="both"/>
              <w:rPr>
                <w:sz w:val="24"/>
                <w:szCs w:val="24"/>
              </w:rPr>
            </w:pPr>
            <w:r>
              <w:rPr>
                <w:sz w:val="24"/>
                <w:szCs w:val="24"/>
              </w:rPr>
              <w:t>Priklausomybių konsultantė</w:t>
            </w:r>
          </w:p>
          <w:p w14:paraId="456D560A" w14:textId="77777777" w:rsidR="000431C1" w:rsidRDefault="000431C1" w:rsidP="007A6967">
            <w:pPr>
              <w:ind w:right="43"/>
              <w:jc w:val="both"/>
              <w:rPr>
                <w:sz w:val="24"/>
                <w:szCs w:val="24"/>
              </w:rPr>
            </w:pPr>
          </w:p>
          <w:p w14:paraId="77FB5671" w14:textId="236A3E84" w:rsidR="000431C1" w:rsidRPr="00D36A15" w:rsidRDefault="00D36A15" w:rsidP="007A6967">
            <w:pPr>
              <w:ind w:right="43"/>
              <w:jc w:val="both"/>
              <w:rPr>
                <w:b/>
                <w:bCs/>
                <w:sz w:val="24"/>
                <w:szCs w:val="24"/>
              </w:rPr>
            </w:pPr>
            <w:r w:rsidRPr="00B2156A">
              <w:rPr>
                <w:b/>
                <w:bCs/>
                <w:sz w:val="24"/>
                <w:szCs w:val="24"/>
                <w:lang w:val="en-US"/>
              </w:rPr>
              <w:t>Lijana Agadžanjan</w:t>
            </w:r>
            <w:r w:rsidRPr="00B2156A">
              <w:rPr>
                <w:b/>
                <w:bCs/>
                <w:sz w:val="24"/>
                <w:szCs w:val="24"/>
              </w:rPr>
              <w:t xml:space="preserve"> </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3FAF6456" w:rsidR="00851B7C" w:rsidRPr="00492096" w:rsidRDefault="00851B7C" w:rsidP="0092744B">
            <w:pPr>
              <w:pStyle w:val="ListParagraph"/>
              <w:tabs>
                <w:tab w:val="left" w:pos="284"/>
              </w:tabs>
              <w:spacing w:line="240" w:lineRule="auto"/>
              <w:ind w:left="0" w:firstLine="0"/>
              <w:rPr>
                <w:b/>
                <w:szCs w:val="24"/>
              </w:rPr>
            </w:pP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AB Luminor</w:t>
            </w:r>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18D48D6A" w14:textId="5DC6816C" w:rsidR="009027E6" w:rsidRDefault="009027E6" w:rsidP="00014365">
            <w:pPr>
              <w:ind w:right="43"/>
              <w:jc w:val="both"/>
              <w:rPr>
                <w:sz w:val="24"/>
                <w:szCs w:val="24"/>
              </w:rPr>
            </w:pPr>
            <w:r>
              <w:rPr>
                <w:sz w:val="24"/>
                <w:szCs w:val="24"/>
              </w:rPr>
              <w:t>Direktorė</w:t>
            </w:r>
          </w:p>
          <w:p w14:paraId="508BECC5" w14:textId="77777777" w:rsidR="009027E6" w:rsidRDefault="009027E6" w:rsidP="00014365">
            <w:pPr>
              <w:ind w:right="43"/>
              <w:jc w:val="both"/>
              <w:rPr>
                <w:b/>
                <w:bCs/>
                <w:sz w:val="24"/>
                <w:szCs w:val="24"/>
              </w:rPr>
            </w:pPr>
          </w:p>
          <w:p w14:paraId="13219622" w14:textId="5C0EAA1C" w:rsidR="00014365" w:rsidRPr="00492096" w:rsidRDefault="009027E6" w:rsidP="00014365">
            <w:pPr>
              <w:ind w:right="43"/>
              <w:jc w:val="both"/>
              <w:rPr>
                <w:b/>
                <w:bCs/>
                <w:sz w:val="24"/>
                <w:szCs w:val="24"/>
              </w:rPr>
            </w:pPr>
            <w:r>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t xml:space="preserve">     </w:t>
      </w:r>
    </w:p>
    <w:p w14:paraId="12816F9E" w14:textId="20A11C09"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lastRenderedPageBreak/>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E77B95">
        <w:rPr>
          <w:rFonts w:ascii="Times New Roman" w:hAnsi="Times New Roman"/>
          <w:sz w:val="24"/>
          <w:szCs w:val="24"/>
        </w:rPr>
        <w:t xml:space="preserve"> </w:t>
      </w:r>
      <w:r w:rsidR="00D36A15">
        <w:rPr>
          <w:rFonts w:ascii="Times New Roman" w:hAnsi="Times New Roman"/>
          <w:sz w:val="24"/>
          <w:szCs w:val="24"/>
        </w:rPr>
        <w:t>rugsėjo 23</w:t>
      </w:r>
      <w:r w:rsidR="00C80B25">
        <w:rPr>
          <w:rFonts w:ascii="Times New Roman" w:hAnsi="Times New Roman"/>
          <w:sz w:val="24"/>
          <w:szCs w:val="24"/>
        </w:rPr>
        <w:t xml:space="preserve"> </w:t>
      </w:r>
      <w:r w:rsidR="00251013" w:rsidRPr="00492096">
        <w:rPr>
          <w:rFonts w:ascii="Times New Roman" w:hAnsi="Times New Roman"/>
          <w:sz w:val="24"/>
          <w:szCs w:val="24"/>
        </w:rPr>
        <w:t xml:space="preserve"> </w:t>
      </w:r>
      <w:r w:rsidR="00496B13" w:rsidRPr="00492096">
        <w:rPr>
          <w:rFonts w:ascii="Times New Roman" w:hAnsi="Times New Roman"/>
          <w:sz w:val="24"/>
          <w:szCs w:val="24"/>
        </w:rPr>
        <w:t>d. Sutarties Nr. S-</w:t>
      </w:r>
      <w:r w:rsidR="00D36A15">
        <w:rPr>
          <w:rFonts w:ascii="Times New Roman" w:hAnsi="Times New Roman"/>
          <w:sz w:val="24"/>
          <w:szCs w:val="24"/>
        </w:rPr>
        <w:t>89</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0C6EE9D7" w14:textId="7DFC24FE" w:rsidR="00B470B7" w:rsidRDefault="00B470B7" w:rsidP="00B2156A">
      <w:pPr>
        <w:pStyle w:val="Stilius"/>
        <w:jc w:val="center"/>
        <w:rPr>
          <w:b/>
          <w:bCs/>
        </w:rPr>
      </w:pPr>
      <w:r w:rsidRPr="00B470B7">
        <w:rPr>
          <w:b/>
          <w:bCs/>
        </w:rPr>
        <w:t xml:space="preserve">PRIKLAUSOMYBĖS KONSULTANTO PASLAUGOS </w:t>
      </w:r>
    </w:p>
    <w:p w14:paraId="7D649BD4" w14:textId="77777777" w:rsidR="00B2156A" w:rsidRPr="004F0B6D" w:rsidRDefault="00B2156A" w:rsidP="00B2156A">
      <w:pPr>
        <w:pStyle w:val="Stilius"/>
        <w:jc w:val="center"/>
        <w:rPr>
          <w:bCs/>
          <w:iCs/>
        </w:rPr>
      </w:pPr>
    </w:p>
    <w:tbl>
      <w:tblPr>
        <w:tblStyle w:val="TableGrid"/>
        <w:tblW w:w="9830" w:type="dxa"/>
        <w:tblInd w:w="-147" w:type="dxa"/>
        <w:tblLayout w:type="fixed"/>
        <w:tblLook w:val="04A0" w:firstRow="1" w:lastRow="0" w:firstColumn="1" w:lastColumn="0" w:noHBand="0" w:noVBand="1"/>
      </w:tblPr>
      <w:tblGrid>
        <w:gridCol w:w="715"/>
        <w:gridCol w:w="2829"/>
        <w:gridCol w:w="1134"/>
        <w:gridCol w:w="993"/>
        <w:gridCol w:w="1559"/>
        <w:gridCol w:w="1276"/>
        <w:gridCol w:w="1324"/>
      </w:tblGrid>
      <w:tr w:rsidR="00F64574" w:rsidRPr="001A52C7" w14:paraId="6CABC018" w14:textId="77777777" w:rsidTr="00A1692D">
        <w:tc>
          <w:tcPr>
            <w:tcW w:w="715" w:type="dxa"/>
          </w:tcPr>
          <w:p w14:paraId="5B685BF9" w14:textId="77777777" w:rsidR="00F64574" w:rsidRPr="001A52C7" w:rsidRDefault="00F64574">
            <w:pPr>
              <w:rPr>
                <w:b/>
                <w:bCs/>
                <w:sz w:val="24"/>
                <w:szCs w:val="24"/>
              </w:rPr>
            </w:pPr>
            <w:r w:rsidRPr="001A52C7">
              <w:rPr>
                <w:b/>
                <w:bCs/>
                <w:sz w:val="24"/>
                <w:szCs w:val="24"/>
              </w:rPr>
              <w:t>Nr.</w:t>
            </w:r>
          </w:p>
        </w:tc>
        <w:tc>
          <w:tcPr>
            <w:tcW w:w="2829"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134"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993" w:type="dxa"/>
          </w:tcPr>
          <w:p w14:paraId="071D9D5B" w14:textId="77777777" w:rsidR="00F64574" w:rsidRPr="001A52C7" w:rsidRDefault="00F64574">
            <w:pPr>
              <w:jc w:val="center"/>
              <w:rPr>
                <w:b/>
                <w:bCs/>
                <w:sz w:val="24"/>
                <w:szCs w:val="24"/>
              </w:rPr>
            </w:pPr>
            <w:r w:rsidRPr="001A52C7">
              <w:rPr>
                <w:b/>
                <w:bCs/>
                <w:sz w:val="24"/>
                <w:szCs w:val="24"/>
              </w:rPr>
              <w:t>Kiekis</w:t>
            </w:r>
          </w:p>
        </w:tc>
        <w:tc>
          <w:tcPr>
            <w:tcW w:w="1559"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276"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324"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00A1692D">
        <w:tc>
          <w:tcPr>
            <w:tcW w:w="715" w:type="dxa"/>
          </w:tcPr>
          <w:p w14:paraId="13F553E7" w14:textId="77777777" w:rsidR="00F64574" w:rsidRPr="00034B4C" w:rsidRDefault="00F64574">
            <w:pPr>
              <w:jc w:val="center"/>
              <w:rPr>
                <w:b/>
                <w:sz w:val="24"/>
                <w:szCs w:val="24"/>
              </w:rPr>
            </w:pPr>
            <w:r w:rsidRPr="00034B4C">
              <w:rPr>
                <w:b/>
                <w:sz w:val="24"/>
                <w:szCs w:val="24"/>
              </w:rPr>
              <w:t>1</w:t>
            </w:r>
          </w:p>
        </w:tc>
        <w:tc>
          <w:tcPr>
            <w:tcW w:w="2829" w:type="dxa"/>
          </w:tcPr>
          <w:p w14:paraId="45A09012" w14:textId="77777777" w:rsidR="00F64574" w:rsidRPr="00034B4C" w:rsidRDefault="00F64574">
            <w:pPr>
              <w:jc w:val="center"/>
              <w:rPr>
                <w:b/>
                <w:sz w:val="24"/>
                <w:szCs w:val="24"/>
              </w:rPr>
            </w:pPr>
            <w:r w:rsidRPr="00034B4C">
              <w:rPr>
                <w:b/>
                <w:sz w:val="24"/>
                <w:szCs w:val="24"/>
              </w:rPr>
              <w:t>2</w:t>
            </w:r>
          </w:p>
        </w:tc>
        <w:tc>
          <w:tcPr>
            <w:tcW w:w="1134" w:type="dxa"/>
          </w:tcPr>
          <w:p w14:paraId="3BC3E37F" w14:textId="77777777" w:rsidR="00F64574" w:rsidRPr="001A52C7" w:rsidRDefault="00F64574">
            <w:pPr>
              <w:jc w:val="center"/>
              <w:rPr>
                <w:b/>
                <w:bCs/>
                <w:sz w:val="24"/>
                <w:szCs w:val="24"/>
              </w:rPr>
            </w:pPr>
            <w:r w:rsidRPr="001A52C7">
              <w:rPr>
                <w:b/>
                <w:bCs/>
                <w:sz w:val="24"/>
                <w:szCs w:val="24"/>
              </w:rPr>
              <w:t>3</w:t>
            </w:r>
          </w:p>
        </w:tc>
        <w:tc>
          <w:tcPr>
            <w:tcW w:w="993" w:type="dxa"/>
          </w:tcPr>
          <w:p w14:paraId="64FB5A9F" w14:textId="77777777" w:rsidR="00F64574" w:rsidRPr="001A52C7" w:rsidRDefault="00F64574">
            <w:pPr>
              <w:jc w:val="center"/>
              <w:rPr>
                <w:b/>
                <w:bCs/>
                <w:sz w:val="24"/>
                <w:szCs w:val="24"/>
              </w:rPr>
            </w:pPr>
            <w:r w:rsidRPr="001A52C7">
              <w:rPr>
                <w:b/>
                <w:bCs/>
                <w:sz w:val="24"/>
                <w:szCs w:val="24"/>
              </w:rPr>
              <w:t>4</w:t>
            </w:r>
          </w:p>
        </w:tc>
        <w:tc>
          <w:tcPr>
            <w:tcW w:w="1559" w:type="dxa"/>
          </w:tcPr>
          <w:p w14:paraId="19D07DA6" w14:textId="77777777" w:rsidR="00F64574" w:rsidRPr="001A52C7" w:rsidRDefault="00F64574">
            <w:pPr>
              <w:jc w:val="center"/>
              <w:rPr>
                <w:b/>
                <w:bCs/>
                <w:sz w:val="24"/>
                <w:szCs w:val="24"/>
              </w:rPr>
            </w:pPr>
            <w:r w:rsidRPr="001A52C7">
              <w:rPr>
                <w:b/>
                <w:bCs/>
                <w:sz w:val="24"/>
                <w:szCs w:val="24"/>
              </w:rPr>
              <w:t>5</w:t>
            </w:r>
          </w:p>
        </w:tc>
        <w:tc>
          <w:tcPr>
            <w:tcW w:w="1276" w:type="dxa"/>
          </w:tcPr>
          <w:p w14:paraId="6E7114C1" w14:textId="77777777" w:rsidR="00F64574" w:rsidRPr="001A52C7" w:rsidRDefault="00F64574">
            <w:pPr>
              <w:jc w:val="center"/>
              <w:rPr>
                <w:b/>
                <w:bCs/>
                <w:sz w:val="24"/>
                <w:szCs w:val="24"/>
              </w:rPr>
            </w:pPr>
            <w:r w:rsidRPr="001A52C7">
              <w:rPr>
                <w:b/>
                <w:bCs/>
                <w:sz w:val="24"/>
                <w:szCs w:val="24"/>
              </w:rPr>
              <w:t>6=4x5</w:t>
            </w:r>
          </w:p>
        </w:tc>
        <w:tc>
          <w:tcPr>
            <w:tcW w:w="1324" w:type="dxa"/>
          </w:tcPr>
          <w:p w14:paraId="03362CF3" w14:textId="77777777" w:rsidR="00F64574" w:rsidRPr="001A52C7" w:rsidRDefault="00F64574">
            <w:pPr>
              <w:jc w:val="center"/>
              <w:rPr>
                <w:b/>
                <w:bCs/>
                <w:sz w:val="24"/>
                <w:szCs w:val="24"/>
              </w:rPr>
            </w:pPr>
            <w:r w:rsidRPr="001A52C7">
              <w:rPr>
                <w:b/>
                <w:bCs/>
                <w:sz w:val="24"/>
                <w:szCs w:val="24"/>
              </w:rPr>
              <w:t>7</w:t>
            </w:r>
          </w:p>
        </w:tc>
      </w:tr>
      <w:tr w:rsidR="00F64574" w:rsidRPr="001A52C7" w14:paraId="42784DD9" w14:textId="77777777" w:rsidTr="00A1692D">
        <w:tc>
          <w:tcPr>
            <w:tcW w:w="715" w:type="dxa"/>
            <w:vAlign w:val="center"/>
          </w:tcPr>
          <w:p w14:paraId="1C206C23" w14:textId="77777777" w:rsidR="00F64574" w:rsidRPr="00034B4C" w:rsidRDefault="00F64574">
            <w:pPr>
              <w:jc w:val="center"/>
              <w:rPr>
                <w:bCs/>
                <w:sz w:val="24"/>
                <w:szCs w:val="24"/>
              </w:rPr>
            </w:pPr>
            <w:r w:rsidRPr="00034B4C">
              <w:rPr>
                <w:bCs/>
                <w:sz w:val="24"/>
                <w:szCs w:val="24"/>
              </w:rPr>
              <w:t>1.</w:t>
            </w:r>
          </w:p>
        </w:tc>
        <w:tc>
          <w:tcPr>
            <w:tcW w:w="2829" w:type="dxa"/>
            <w:vAlign w:val="center"/>
          </w:tcPr>
          <w:p w14:paraId="22E146D8" w14:textId="17BB005D" w:rsidR="00F64574" w:rsidRPr="00034B4C" w:rsidRDefault="00B470B7" w:rsidP="001A52C7">
            <w:pPr>
              <w:pStyle w:val="Header"/>
              <w:contextualSpacing/>
              <w:rPr>
                <w:bCs/>
                <w:i/>
                <w:sz w:val="24"/>
                <w:szCs w:val="24"/>
              </w:rPr>
            </w:pPr>
            <w:r>
              <w:t xml:space="preserve">Priklausomybės konsultanto paslaugos </w:t>
            </w:r>
          </w:p>
        </w:tc>
        <w:tc>
          <w:tcPr>
            <w:tcW w:w="1134" w:type="dxa"/>
            <w:vAlign w:val="center"/>
          </w:tcPr>
          <w:p w14:paraId="376794ED" w14:textId="77777777" w:rsidR="00F64574" w:rsidRPr="001A52C7" w:rsidRDefault="00F64574">
            <w:pPr>
              <w:jc w:val="center"/>
              <w:rPr>
                <w:bCs/>
                <w:sz w:val="24"/>
                <w:szCs w:val="24"/>
              </w:rPr>
            </w:pPr>
            <w:r w:rsidRPr="001A52C7">
              <w:rPr>
                <w:bCs/>
                <w:sz w:val="24"/>
                <w:szCs w:val="24"/>
              </w:rPr>
              <w:t>vnt.</w:t>
            </w:r>
          </w:p>
        </w:tc>
        <w:tc>
          <w:tcPr>
            <w:tcW w:w="993" w:type="dxa"/>
            <w:vAlign w:val="center"/>
          </w:tcPr>
          <w:p w14:paraId="1BC91461" w14:textId="2BC759AA" w:rsidR="00F64574" w:rsidRPr="001A52C7" w:rsidRDefault="00B470B7" w:rsidP="00954C56">
            <w:pPr>
              <w:jc w:val="center"/>
              <w:rPr>
                <w:bCs/>
                <w:sz w:val="24"/>
                <w:szCs w:val="24"/>
                <w:lang w:val="en-US"/>
              </w:rPr>
            </w:pPr>
            <w:r>
              <w:rPr>
                <w:bCs/>
                <w:sz w:val="24"/>
                <w:szCs w:val="24"/>
                <w:lang w:val="en-US"/>
              </w:rPr>
              <w:t>7</w:t>
            </w:r>
            <w:r w:rsidR="00A92412">
              <w:rPr>
                <w:bCs/>
                <w:sz w:val="24"/>
                <w:szCs w:val="24"/>
                <w:lang w:val="en-US"/>
              </w:rPr>
              <w:t>5</w:t>
            </w:r>
            <w:r>
              <w:rPr>
                <w:bCs/>
                <w:sz w:val="24"/>
                <w:szCs w:val="24"/>
                <w:lang w:val="en-US"/>
              </w:rPr>
              <w:t>0</w:t>
            </w:r>
          </w:p>
        </w:tc>
        <w:tc>
          <w:tcPr>
            <w:tcW w:w="1559" w:type="dxa"/>
            <w:vAlign w:val="center"/>
          </w:tcPr>
          <w:p w14:paraId="0C1F7D45" w14:textId="4A158137" w:rsidR="00F64574" w:rsidRPr="001A52C7" w:rsidRDefault="00A92412">
            <w:pPr>
              <w:jc w:val="center"/>
              <w:rPr>
                <w:bCs/>
                <w:sz w:val="24"/>
                <w:szCs w:val="24"/>
              </w:rPr>
            </w:pPr>
            <w:r>
              <w:rPr>
                <w:bCs/>
                <w:sz w:val="24"/>
                <w:szCs w:val="24"/>
              </w:rPr>
              <w:t>20,00</w:t>
            </w:r>
          </w:p>
        </w:tc>
        <w:tc>
          <w:tcPr>
            <w:tcW w:w="1276" w:type="dxa"/>
            <w:vAlign w:val="center"/>
          </w:tcPr>
          <w:p w14:paraId="2F15841A" w14:textId="73502A33" w:rsidR="00F64574" w:rsidRPr="001A52C7" w:rsidRDefault="00A92412">
            <w:pPr>
              <w:jc w:val="center"/>
              <w:rPr>
                <w:bCs/>
                <w:sz w:val="24"/>
                <w:szCs w:val="24"/>
              </w:rPr>
            </w:pPr>
            <w:r>
              <w:rPr>
                <w:bCs/>
                <w:sz w:val="24"/>
                <w:szCs w:val="24"/>
              </w:rPr>
              <w:t>15 000,00</w:t>
            </w:r>
          </w:p>
        </w:tc>
        <w:tc>
          <w:tcPr>
            <w:tcW w:w="1324" w:type="dxa"/>
            <w:vAlign w:val="center"/>
          </w:tcPr>
          <w:p w14:paraId="6779B096" w14:textId="674FC08A" w:rsidR="00F64574" w:rsidRPr="001A52C7" w:rsidRDefault="00A863BB" w:rsidP="1EC35240">
            <w:pPr>
              <w:jc w:val="center"/>
              <w:rPr>
                <w:sz w:val="24"/>
                <w:szCs w:val="24"/>
              </w:rPr>
            </w:pPr>
            <w:r>
              <w:rPr>
                <w:sz w:val="24"/>
                <w:szCs w:val="24"/>
              </w:rPr>
              <w:t>-</w:t>
            </w:r>
          </w:p>
        </w:tc>
      </w:tr>
      <w:tr w:rsidR="00F64574" w:rsidRPr="001A52C7" w14:paraId="08D3C304" w14:textId="77777777" w:rsidTr="00A1692D">
        <w:tc>
          <w:tcPr>
            <w:tcW w:w="8506"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324" w:type="dxa"/>
          </w:tcPr>
          <w:p w14:paraId="2A0E7CBA" w14:textId="281DFD2F" w:rsidR="00F64574" w:rsidRPr="001A52C7" w:rsidRDefault="00A1692D">
            <w:pPr>
              <w:jc w:val="center"/>
              <w:rPr>
                <w:b/>
                <w:sz w:val="24"/>
                <w:szCs w:val="24"/>
              </w:rPr>
            </w:pPr>
            <w:r>
              <w:rPr>
                <w:b/>
                <w:sz w:val="24"/>
                <w:szCs w:val="24"/>
              </w:rPr>
              <w:t>1</w:t>
            </w:r>
            <w:r w:rsidR="00A92412">
              <w:rPr>
                <w:b/>
                <w:sz w:val="24"/>
                <w:szCs w:val="24"/>
              </w:rPr>
              <w:t>5 00</w:t>
            </w:r>
            <w:r w:rsidR="00C55299">
              <w:rPr>
                <w:b/>
                <w:sz w:val="24"/>
                <w:szCs w:val="24"/>
              </w:rPr>
              <w:t>0</w:t>
            </w:r>
            <w:r w:rsidR="009E4D2C">
              <w:rPr>
                <w:b/>
                <w:sz w:val="24"/>
                <w:szCs w:val="24"/>
              </w:rPr>
              <w:t>,00</w:t>
            </w:r>
          </w:p>
        </w:tc>
      </w:tr>
      <w:tr w:rsidR="00F64574" w:rsidRPr="001A52C7" w14:paraId="2C8B182A" w14:textId="77777777" w:rsidTr="00A1692D">
        <w:tc>
          <w:tcPr>
            <w:tcW w:w="8506"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324"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00A1692D">
        <w:tc>
          <w:tcPr>
            <w:tcW w:w="8506"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324" w:type="dxa"/>
          </w:tcPr>
          <w:p w14:paraId="57F87634" w14:textId="5CDA5ECF" w:rsidR="00F64574" w:rsidRPr="001A52C7" w:rsidRDefault="00A1692D">
            <w:pPr>
              <w:jc w:val="center"/>
              <w:rPr>
                <w:b/>
                <w:bCs/>
                <w:sz w:val="24"/>
                <w:szCs w:val="24"/>
              </w:rPr>
            </w:pPr>
            <w:r>
              <w:rPr>
                <w:b/>
                <w:bCs/>
                <w:sz w:val="24"/>
                <w:szCs w:val="24"/>
              </w:rPr>
              <w:t>1</w:t>
            </w:r>
            <w:r w:rsidR="00A92412">
              <w:rPr>
                <w:b/>
                <w:bCs/>
                <w:sz w:val="24"/>
                <w:szCs w:val="24"/>
              </w:rPr>
              <w:t>5 00</w:t>
            </w:r>
            <w:r w:rsidR="00C55299">
              <w:rPr>
                <w:b/>
                <w:bCs/>
                <w:sz w:val="24"/>
                <w:szCs w:val="24"/>
              </w:rPr>
              <w:t>0</w:t>
            </w:r>
            <w:r w:rsidR="009E4D2C">
              <w:rPr>
                <w:b/>
                <w:bCs/>
                <w:sz w:val="24"/>
                <w:szCs w:val="24"/>
              </w:rPr>
              <w:t>,00</w:t>
            </w:r>
          </w:p>
        </w:tc>
      </w:tr>
    </w:tbl>
    <w:p w14:paraId="0809B8ED" w14:textId="766FCE88" w:rsidR="003469F3" w:rsidRPr="0090426F" w:rsidRDefault="007F6874" w:rsidP="007F6874">
      <w:pPr>
        <w:pStyle w:val="Stilius"/>
        <w:rPr>
          <w:i/>
          <w:iCs/>
        </w:rPr>
      </w:pPr>
      <w:r>
        <w:rPr>
          <w:i/>
          <w:iCs/>
        </w:rPr>
        <w:t>*Tiekėjas nėra PVM mokėtojas.</w:t>
      </w:r>
    </w:p>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4208EA46" w14:textId="77777777" w:rsidR="003A1E7E" w:rsidRDefault="003A1E7E" w:rsidP="00492096">
      <w:pPr>
        <w:contextualSpacing/>
        <w:rPr>
          <w:rFonts w:ascii="Times New Roman" w:hAnsi="Times New Roman"/>
          <w:b/>
          <w:sz w:val="24"/>
          <w:szCs w:val="24"/>
        </w:rPr>
      </w:pPr>
    </w:p>
    <w:p w14:paraId="22E4D365" w14:textId="77777777" w:rsidR="003A1E7E" w:rsidRPr="003A1E7E" w:rsidRDefault="003A1E7E" w:rsidP="003A1E7E">
      <w:pPr>
        <w:pStyle w:val="ListParagraph"/>
        <w:numPr>
          <w:ilvl w:val="0"/>
          <w:numId w:val="34"/>
        </w:numPr>
        <w:spacing w:line="240" w:lineRule="auto"/>
        <w:rPr>
          <w:szCs w:val="24"/>
        </w:rPr>
      </w:pPr>
      <w:r w:rsidRPr="003A1E7E">
        <w:rPr>
          <w:szCs w:val="24"/>
        </w:rPr>
        <w:t>Perkamos priklausomybės konsultanto paslaugos, iš viso turi būti suteikta 750 vnt. konsultacijų. </w:t>
      </w:r>
    </w:p>
    <w:p w14:paraId="3F8E9DFC" w14:textId="77777777" w:rsidR="003A1E7E" w:rsidRPr="003A1E7E" w:rsidRDefault="003A1E7E" w:rsidP="003A1E7E">
      <w:pPr>
        <w:pStyle w:val="ListParagraph"/>
        <w:numPr>
          <w:ilvl w:val="0"/>
          <w:numId w:val="34"/>
        </w:numPr>
        <w:spacing w:line="240" w:lineRule="auto"/>
        <w:rPr>
          <w:szCs w:val="24"/>
        </w:rPr>
      </w:pPr>
      <w:r w:rsidRPr="003A1E7E">
        <w:rPr>
          <w:szCs w:val="24"/>
        </w:rPr>
        <w:t>Konsultacijų kiekis – iki 7-10 vnt. per savaitę.  </w:t>
      </w:r>
    </w:p>
    <w:p w14:paraId="2BDED1BD" w14:textId="77777777" w:rsidR="003A1E7E" w:rsidRPr="003A1E7E" w:rsidRDefault="003A1E7E" w:rsidP="003A1E7E">
      <w:pPr>
        <w:pStyle w:val="ListParagraph"/>
        <w:numPr>
          <w:ilvl w:val="0"/>
          <w:numId w:val="34"/>
        </w:numPr>
        <w:spacing w:line="240" w:lineRule="auto"/>
        <w:rPr>
          <w:szCs w:val="24"/>
          <w:lang w:val="pl-PL"/>
        </w:rPr>
      </w:pPr>
      <w:r w:rsidRPr="003A1E7E">
        <w:rPr>
          <w:szCs w:val="24"/>
        </w:rPr>
        <w:t>Vienos konsultacijos trukmė 45 – 60 min.  </w:t>
      </w:r>
    </w:p>
    <w:p w14:paraId="55ABBEBF" w14:textId="7DA7DD39" w:rsidR="003A1E7E" w:rsidRPr="003A1E7E" w:rsidRDefault="003A1E7E" w:rsidP="003A1E7E">
      <w:pPr>
        <w:pStyle w:val="ListParagraph"/>
        <w:numPr>
          <w:ilvl w:val="0"/>
          <w:numId w:val="34"/>
        </w:numPr>
        <w:spacing w:line="240" w:lineRule="auto"/>
        <w:rPr>
          <w:szCs w:val="24"/>
          <w:lang w:val="pl-PL"/>
        </w:rPr>
      </w:pPr>
      <w:r w:rsidRPr="003A1E7E">
        <w:rPr>
          <w:szCs w:val="24"/>
        </w:rPr>
        <w:t>Priklausomybės konsultacijos turi vykti šiomis darbo dienomis (laikotarpyje nuo 8 iki 20 val.): pirmadieniais, antradieniais arba penktadieniais. Tikslios priklausomybės konsultavimo paslaugų dienos ir laikai derinami su perkančiąja organizacija.</w:t>
      </w:r>
    </w:p>
    <w:p w14:paraId="38C17E41" w14:textId="77777777" w:rsidR="003A1E7E" w:rsidRPr="003A1E7E" w:rsidRDefault="003A1E7E" w:rsidP="003A1E7E">
      <w:pPr>
        <w:pStyle w:val="ListParagraph"/>
        <w:numPr>
          <w:ilvl w:val="0"/>
          <w:numId w:val="34"/>
        </w:numPr>
        <w:spacing w:line="240" w:lineRule="auto"/>
        <w:rPr>
          <w:szCs w:val="24"/>
        </w:rPr>
      </w:pPr>
      <w:r w:rsidRPr="003A1E7E">
        <w:rPr>
          <w:szCs w:val="24"/>
        </w:rPr>
        <w:t>Priklausomybės konsultacijos teikiamos perkančiosios organizacijos patalpose – Vaidoto g. 115, Kaunas.</w:t>
      </w:r>
    </w:p>
    <w:p w14:paraId="7215476C" w14:textId="77777777" w:rsidR="003A1E7E" w:rsidRPr="003A1E7E" w:rsidRDefault="003A1E7E" w:rsidP="003A1E7E">
      <w:pPr>
        <w:pStyle w:val="ListParagraph"/>
        <w:numPr>
          <w:ilvl w:val="0"/>
          <w:numId w:val="34"/>
        </w:numPr>
        <w:spacing w:line="240" w:lineRule="auto"/>
        <w:rPr>
          <w:szCs w:val="24"/>
        </w:rPr>
      </w:pPr>
      <w:r w:rsidRPr="003A1E7E">
        <w:rPr>
          <w:szCs w:val="24"/>
        </w:rPr>
        <w:t>Nesant poreikiui, suderinus su perkančiąja organizacija, numatoma galimybė mažinti konsultacijų skaičių per savaitę. Taip pat, sumažintas konsultacijų kiekis per savaitę, suderinus su perkančiąja organizacija, gali būti padidintas, pagal poreikį kitomis savaitėmis, kad būtų išlaikomas bendras konsultacijų skaičius per numatytą laikotarpį.  </w:t>
      </w:r>
    </w:p>
    <w:p w14:paraId="3561E2D6" w14:textId="77777777" w:rsidR="003A1E7E" w:rsidRPr="003A1E7E" w:rsidRDefault="003A1E7E" w:rsidP="003A1E7E">
      <w:pPr>
        <w:pStyle w:val="ListParagraph"/>
        <w:numPr>
          <w:ilvl w:val="0"/>
          <w:numId w:val="34"/>
        </w:numPr>
        <w:spacing w:line="240" w:lineRule="auto"/>
        <w:rPr>
          <w:szCs w:val="24"/>
        </w:rPr>
      </w:pPr>
      <w:r w:rsidRPr="003A1E7E">
        <w:rPr>
          <w:szCs w:val="24"/>
        </w:rPr>
        <w:t xml:space="preserve">Paslaugos turi būti teikiamos skiriant prioritetą kontaktinėms (ne nuotolinėms) priklausomybės konsultacijoms. Paslaugos gali būti teikiamos ir nuotoliniu būdu, atsižvelgiant į paslaugos gavėjo galimybes fiziškai atvykti į konsultacijos vietą (pvz. fizinė negalia) ar dėl patogumo (pvz. ligos atveju) pavienes konsultacijas gauti nuotoliniu būdu, arba atsižvelgiant į epidemiologines aplinkybes. </w:t>
      </w:r>
    </w:p>
    <w:p w14:paraId="0747F51A" w14:textId="77777777" w:rsidR="003A1E7E" w:rsidRPr="003A1E7E" w:rsidRDefault="003A1E7E" w:rsidP="003A1E7E">
      <w:pPr>
        <w:pStyle w:val="ListParagraph"/>
        <w:numPr>
          <w:ilvl w:val="0"/>
          <w:numId w:val="34"/>
        </w:numPr>
        <w:spacing w:line="240" w:lineRule="auto"/>
        <w:rPr>
          <w:szCs w:val="24"/>
        </w:rPr>
      </w:pPr>
      <w:r w:rsidRPr="003A1E7E">
        <w:rPr>
          <w:szCs w:val="24"/>
        </w:rPr>
        <w:t>Paslaugos teikėjas turi turėti galimybę paslaugas teikti nuotoliniu būdu, naudojantis kokybiška garso ir vaizdo technika bei užtikrinti sklandų garso bei vaizdo transliavimą, kad nuotolinių paslaugų teikimas labiausiai atitiktų paslaugos gavėjo poreikius, užtikrinant konfidencialumą ir teikiamos paslaugos kokybę. Paslaugos teikėjas turi pasirūpinti reikalinga įranga ir priemonėmis (kompiuteriu, kamera, mikrofonu, internetu ar pan.).</w:t>
      </w:r>
    </w:p>
    <w:p w14:paraId="6E929340" w14:textId="77777777" w:rsidR="003A1E7E" w:rsidRPr="003A1E7E" w:rsidRDefault="003A1E7E" w:rsidP="003A1E7E">
      <w:pPr>
        <w:pStyle w:val="ListParagraph"/>
        <w:numPr>
          <w:ilvl w:val="0"/>
          <w:numId w:val="34"/>
        </w:numPr>
        <w:spacing w:line="240" w:lineRule="auto"/>
        <w:rPr>
          <w:szCs w:val="24"/>
        </w:rPr>
      </w:pPr>
      <w:r w:rsidRPr="003A1E7E">
        <w:rPr>
          <w:szCs w:val="24"/>
        </w:rPr>
        <w:t>Priklausomybės konsultavimo paslauga – priemonių, kuriomis, teikiant individualias ir (ar) grupines konsultacijas, siekiama padėti psichoaktyviąsias medžiagas vartojantiems asmenims mažinti vartojimą ar visai atsisakyti psichoaktyviųjų medžiagų, mažinti jų vartojimo keliamą žalą asmeniui ir visuomenei, įskaitant psichoaktyviąsias medžiagas vartojančių asmenų šeimos narių konsultavimą dėl psichoaktyviųjų medžiagų vartojančio asmens keliamų problemų sprendimo būdų, visuma.  </w:t>
      </w:r>
    </w:p>
    <w:p w14:paraId="0827EFEC" w14:textId="77777777" w:rsidR="003A1E7E" w:rsidRPr="003A1E7E" w:rsidRDefault="003A1E7E" w:rsidP="003A1E7E">
      <w:pPr>
        <w:pStyle w:val="ListParagraph"/>
        <w:numPr>
          <w:ilvl w:val="0"/>
          <w:numId w:val="34"/>
        </w:numPr>
        <w:spacing w:line="240" w:lineRule="auto"/>
        <w:rPr>
          <w:szCs w:val="24"/>
        </w:rPr>
      </w:pPr>
      <w:r w:rsidRPr="003A1E7E">
        <w:rPr>
          <w:szCs w:val="24"/>
        </w:rPr>
        <w:t>Priklausomybės konsultantas turi:  </w:t>
      </w:r>
    </w:p>
    <w:p w14:paraId="7F2BD2F9" w14:textId="77777777" w:rsidR="003A1E7E" w:rsidRPr="003A1E7E" w:rsidRDefault="003A1E7E" w:rsidP="003A1E7E">
      <w:pPr>
        <w:pStyle w:val="ListParagraph"/>
        <w:numPr>
          <w:ilvl w:val="1"/>
          <w:numId w:val="34"/>
        </w:numPr>
        <w:spacing w:line="240" w:lineRule="auto"/>
        <w:rPr>
          <w:szCs w:val="24"/>
        </w:rPr>
      </w:pPr>
      <w:r w:rsidRPr="003A1E7E">
        <w:rPr>
          <w:szCs w:val="24"/>
        </w:rPr>
        <w:t>informuoti psichoaktyviąsias medžiagas  vartojančius asmenis apie psichoaktyviųjų medžiagų vartojimo riziką, keliamą žalą asmens ir visuomenės sveikatai ir gerovei; </w:t>
      </w:r>
    </w:p>
    <w:p w14:paraId="4F499B09" w14:textId="77777777" w:rsidR="003A1E7E" w:rsidRPr="003A1E7E" w:rsidRDefault="003A1E7E" w:rsidP="003A1E7E">
      <w:pPr>
        <w:pStyle w:val="ListParagraph"/>
        <w:numPr>
          <w:ilvl w:val="1"/>
          <w:numId w:val="34"/>
        </w:numPr>
        <w:spacing w:line="240" w:lineRule="auto"/>
        <w:rPr>
          <w:szCs w:val="24"/>
        </w:rPr>
      </w:pPr>
      <w:r w:rsidRPr="003A1E7E">
        <w:rPr>
          <w:szCs w:val="24"/>
        </w:rPr>
        <w:t>motyvuoti psichoaktyviąsias medžiagas vartojančius asmenis sumažinti psichoaktyviųjų medžiagų  vartojimą ir visai jų atsisakyti, keisti psichoaktyviųjų medžiagų vartojimo sukeltą rizikingą elgseną, kreiptis pagalbos, ją priimti, gydytis psichoaktyviųjų medžiagų vartojimo sukeliamus psichikos ir elgesio sutrikimus bei kitas ligas;  </w:t>
      </w:r>
    </w:p>
    <w:p w14:paraId="55CD766B" w14:textId="77777777" w:rsidR="003A1E7E" w:rsidRPr="003A1E7E" w:rsidRDefault="003A1E7E" w:rsidP="003A1E7E">
      <w:pPr>
        <w:pStyle w:val="ListParagraph"/>
        <w:numPr>
          <w:ilvl w:val="1"/>
          <w:numId w:val="34"/>
        </w:numPr>
        <w:spacing w:line="240" w:lineRule="auto"/>
        <w:rPr>
          <w:szCs w:val="24"/>
        </w:rPr>
      </w:pPr>
      <w:r w:rsidRPr="003A1E7E">
        <w:rPr>
          <w:szCs w:val="24"/>
        </w:rPr>
        <w:t>stebėti psichoaktyviąsias medžiagas vartojančių asmenų psichoaktyviųjų medžiagų vartojimo sukeltos rizikingos elgsenos pokyčius ir juos informuoti apie galimybę gauti sveikatos priežiūros, socialines, kitas paslaugas, atitinkančias psichoaktyviąsias medžiagas vartojančių asmenų poreikius;  </w:t>
      </w:r>
    </w:p>
    <w:p w14:paraId="4644D205" w14:textId="77777777" w:rsidR="003A1E7E" w:rsidRPr="003A1E7E" w:rsidRDefault="003A1E7E" w:rsidP="003A1E7E">
      <w:pPr>
        <w:pStyle w:val="ListParagraph"/>
        <w:numPr>
          <w:ilvl w:val="1"/>
          <w:numId w:val="34"/>
        </w:numPr>
        <w:spacing w:line="240" w:lineRule="auto"/>
        <w:rPr>
          <w:szCs w:val="24"/>
        </w:rPr>
      </w:pPr>
      <w:r w:rsidRPr="003A1E7E">
        <w:rPr>
          <w:szCs w:val="24"/>
        </w:rPr>
        <w:lastRenderedPageBreak/>
        <w:t>skatinti ir palaikyti psichoaktyviųjų medžiagų vartojimą nutraukusių arba sumažinusių asmenų motyvaciją gauti atkryčių prevencijos paslaugas;  </w:t>
      </w:r>
    </w:p>
    <w:p w14:paraId="5939D9EA" w14:textId="77777777" w:rsidR="003A1E7E" w:rsidRPr="003A1E7E" w:rsidRDefault="003A1E7E" w:rsidP="003A1E7E">
      <w:pPr>
        <w:pStyle w:val="ListParagraph"/>
        <w:numPr>
          <w:ilvl w:val="1"/>
          <w:numId w:val="34"/>
        </w:numPr>
        <w:spacing w:line="240" w:lineRule="auto"/>
        <w:rPr>
          <w:szCs w:val="24"/>
        </w:rPr>
      </w:pPr>
      <w:r w:rsidRPr="003A1E7E">
        <w:rPr>
          <w:szCs w:val="24"/>
        </w:rPr>
        <w:t>tarpininkauti psichoaktyviąsias medžiagas vartojantiems asmenims, siekiant įtraukti juos į reabilitacijos, resocializacijos ir integracijos bei savipagalbos grupių programas, padėti jiems spręsti įvairias socialines, teisines, sveikatos ar kitas problemas (pavyzdžiui, užregistruoti pas specialistus, į kompetentingas valstybės ir (ar) savivaldybės institucijas ir įstaigas);  </w:t>
      </w:r>
    </w:p>
    <w:p w14:paraId="1B69C685" w14:textId="77777777" w:rsidR="003A1E7E" w:rsidRPr="003A1E7E" w:rsidRDefault="003A1E7E" w:rsidP="003A1E7E">
      <w:pPr>
        <w:pStyle w:val="ListParagraph"/>
        <w:numPr>
          <w:ilvl w:val="1"/>
          <w:numId w:val="34"/>
        </w:numPr>
        <w:spacing w:line="240" w:lineRule="auto"/>
        <w:rPr>
          <w:szCs w:val="24"/>
        </w:rPr>
      </w:pPr>
      <w:r w:rsidRPr="003A1E7E">
        <w:rPr>
          <w:szCs w:val="24"/>
        </w:rPr>
        <w:t>užtikrinti asmens duomenų apsaugą ir priklausomybės konsultavimo paslaugų teikimo konfidencialumą.  </w:t>
      </w:r>
    </w:p>
    <w:p w14:paraId="43F18DFE" w14:textId="77777777" w:rsidR="003A1E7E" w:rsidRPr="003A1E7E" w:rsidRDefault="003A1E7E" w:rsidP="003A1E7E">
      <w:pPr>
        <w:pStyle w:val="ListParagraph"/>
        <w:numPr>
          <w:ilvl w:val="0"/>
          <w:numId w:val="34"/>
        </w:numPr>
        <w:spacing w:line="240" w:lineRule="auto"/>
        <w:jc w:val="left"/>
        <w:rPr>
          <w:szCs w:val="24"/>
        </w:rPr>
      </w:pPr>
      <w:r w:rsidRPr="003A1E7E">
        <w:rPr>
          <w:szCs w:val="24"/>
        </w:rPr>
        <w:t>Priklausomybės konsultanto teikiamos paslaugos turi atitikti sritį reglamentuojančių teisės aktų reikalavimus.   </w:t>
      </w:r>
    </w:p>
    <w:p w14:paraId="24E13386" w14:textId="77777777" w:rsidR="003A1E7E" w:rsidRPr="003A1E7E" w:rsidRDefault="003A1E7E" w:rsidP="003A1E7E">
      <w:pPr>
        <w:pStyle w:val="ListParagraph"/>
        <w:numPr>
          <w:ilvl w:val="0"/>
          <w:numId w:val="34"/>
        </w:numPr>
        <w:spacing w:line="240" w:lineRule="auto"/>
        <w:jc w:val="left"/>
        <w:rPr>
          <w:szCs w:val="24"/>
        </w:rPr>
      </w:pPr>
      <w:r w:rsidRPr="003A1E7E">
        <w:rPr>
          <w:szCs w:val="24"/>
        </w:rPr>
        <w:t>Konsultantas privalo kiekvieno mėnesio pabaigoje, bet ne vėliau nei per sekančio mėnesio pirmas 2 d. d., perkančiajai organizacijai pateikti užpildytą el. priklausomybės konsultanto paslaugų teikimo žurnalą el. paštu giedre.macaitiene@kaunovsb.lt. Žurnalo formą pateikia perkančioji organizacija per 2 d. d. po sutarties pasirašymo. </w:t>
      </w:r>
    </w:p>
    <w:p w14:paraId="6E8264E2" w14:textId="77777777" w:rsidR="003A1E7E" w:rsidRPr="003A1E7E" w:rsidRDefault="003A1E7E" w:rsidP="003A1E7E">
      <w:pPr>
        <w:pStyle w:val="ListParagraph"/>
        <w:numPr>
          <w:ilvl w:val="0"/>
          <w:numId w:val="34"/>
        </w:numPr>
        <w:spacing w:line="240" w:lineRule="auto"/>
        <w:jc w:val="left"/>
        <w:rPr>
          <w:szCs w:val="24"/>
        </w:rPr>
      </w:pPr>
      <w:r w:rsidRPr="003A1E7E">
        <w:rPr>
          <w:szCs w:val="24"/>
        </w:rPr>
        <w:t>Paslaugos teikėjas vykdo asmenų, kuriems reikalinga konsultacija, registrą. Registro formą pateikia perkančioji organizacija per 2 d. d. po sutarties pasirašymo. Į nustatytą formą, asmenis priklausomybės konsultacijoms taip pat turi teisę registruoti perkančioji organizacija.  </w:t>
      </w:r>
    </w:p>
    <w:p w14:paraId="1B651DB3" w14:textId="77777777" w:rsidR="003A1E7E" w:rsidRPr="003A1E7E" w:rsidRDefault="003A1E7E" w:rsidP="003A1E7E">
      <w:pPr>
        <w:pStyle w:val="ListParagraph"/>
        <w:numPr>
          <w:ilvl w:val="0"/>
          <w:numId w:val="34"/>
        </w:numPr>
        <w:spacing w:line="240" w:lineRule="auto"/>
        <w:jc w:val="left"/>
        <w:rPr>
          <w:szCs w:val="24"/>
        </w:rPr>
      </w:pPr>
      <w:r w:rsidRPr="003A1E7E">
        <w:rPr>
          <w:szCs w:val="24"/>
        </w:rPr>
        <w:t>Mokama už faktiškai įvykusias konsultacijas, pagal pateiktą el. priklausomybės konsultanto paslaugų teikimo žurnalą. </w:t>
      </w:r>
    </w:p>
    <w:p w14:paraId="11312F93" w14:textId="77777777" w:rsidR="003A1E7E" w:rsidRPr="003A1E7E" w:rsidRDefault="003A1E7E" w:rsidP="003A1E7E">
      <w:pPr>
        <w:pStyle w:val="ListParagraph"/>
        <w:numPr>
          <w:ilvl w:val="0"/>
          <w:numId w:val="34"/>
        </w:numPr>
        <w:spacing w:line="240" w:lineRule="auto"/>
        <w:jc w:val="left"/>
        <w:rPr>
          <w:szCs w:val="24"/>
        </w:rPr>
      </w:pPr>
      <w:r w:rsidRPr="003A1E7E">
        <w:rPr>
          <w:szCs w:val="24"/>
        </w:rPr>
        <w:t>Konsultacija laikoma faktiškai įvykusia: </w:t>
      </w:r>
    </w:p>
    <w:p w14:paraId="26FAE22F" w14:textId="77777777" w:rsidR="003A1E7E" w:rsidRPr="003A1E7E" w:rsidRDefault="003A1E7E" w:rsidP="003A1E7E">
      <w:pPr>
        <w:numPr>
          <w:ilvl w:val="0"/>
          <w:numId w:val="23"/>
        </w:numPr>
        <w:tabs>
          <w:tab w:val="clear" w:pos="720"/>
          <w:tab w:val="left" w:pos="0"/>
          <w:tab w:val="left" w:pos="6521"/>
        </w:tabs>
        <w:spacing w:line="256" w:lineRule="auto"/>
        <w:ind w:left="1014" w:hanging="283"/>
        <w:jc w:val="both"/>
        <w:rPr>
          <w:rFonts w:ascii="Times New Roman" w:hAnsi="Times New Roman"/>
          <w:sz w:val="24"/>
          <w:szCs w:val="24"/>
        </w:rPr>
      </w:pPr>
      <w:r w:rsidRPr="003A1E7E">
        <w:rPr>
          <w:rFonts w:ascii="Times New Roman" w:hAnsi="Times New Roman"/>
          <w:sz w:val="24"/>
          <w:szCs w:val="24"/>
        </w:rPr>
        <w:t>kai konsultacijai užsiregistravęs asmuo atvyksta ir gauna konsultaciją; </w:t>
      </w:r>
    </w:p>
    <w:p w14:paraId="01C3FF5E" w14:textId="77777777" w:rsidR="003A1E7E" w:rsidRPr="003A1E7E" w:rsidRDefault="003A1E7E" w:rsidP="003A1E7E">
      <w:pPr>
        <w:numPr>
          <w:ilvl w:val="0"/>
          <w:numId w:val="24"/>
        </w:numPr>
        <w:tabs>
          <w:tab w:val="clear" w:pos="720"/>
          <w:tab w:val="left" w:pos="0"/>
          <w:tab w:val="left" w:pos="6521"/>
        </w:tabs>
        <w:spacing w:line="256" w:lineRule="auto"/>
        <w:ind w:left="1014" w:hanging="283"/>
        <w:jc w:val="both"/>
        <w:rPr>
          <w:rFonts w:ascii="Times New Roman" w:hAnsi="Times New Roman"/>
          <w:sz w:val="24"/>
          <w:szCs w:val="24"/>
        </w:rPr>
      </w:pPr>
      <w:r w:rsidRPr="003A1E7E">
        <w:rPr>
          <w:rFonts w:ascii="Times New Roman" w:hAnsi="Times New Roman"/>
          <w:sz w:val="24"/>
          <w:szCs w:val="24"/>
        </w:rPr>
        <w:t>jei asmuo užsiregistravęs, tačiau neatvyksta, konsultantas turi pats susisiekti su asmeniu ir, jei įmanoma, suteikti konsultaciją nuotoliniu būdu.</w:t>
      </w:r>
    </w:p>
    <w:p w14:paraId="572867E7" w14:textId="77777777" w:rsidR="003A1E7E" w:rsidRPr="003A1E7E" w:rsidRDefault="003A1E7E" w:rsidP="003A1E7E">
      <w:pPr>
        <w:pStyle w:val="ListParagraph"/>
        <w:numPr>
          <w:ilvl w:val="0"/>
          <w:numId w:val="34"/>
        </w:numPr>
        <w:spacing w:line="240" w:lineRule="auto"/>
        <w:jc w:val="left"/>
        <w:rPr>
          <w:szCs w:val="24"/>
        </w:rPr>
      </w:pPr>
      <w:r w:rsidRPr="003A1E7E">
        <w:rPr>
          <w:szCs w:val="24"/>
        </w:rPr>
        <w:t>Konsultacija laikoma neįvykusia ir už ją nėra apmokama – jei nėra įmanoma suteikti konsultacijos nuotoliniu būdu (asmuo yra vartojęs alkoholio ar kitų psichotropinių medžiagų ir tai pats įvardina pokalbio metu, iš balso ir bendravimo galima numanyti, kad asmuo yra vartojęs alkoholio ar kitų psichotropinių medžiagų, neatsiliepia, atsisako bendrauti). </w:t>
      </w:r>
    </w:p>
    <w:p w14:paraId="02926287" w14:textId="77777777" w:rsidR="00C42DFC" w:rsidRPr="00C42DFC" w:rsidRDefault="003A1E7E" w:rsidP="00C42DFC">
      <w:pPr>
        <w:pStyle w:val="ListParagraph"/>
        <w:numPr>
          <w:ilvl w:val="0"/>
          <w:numId w:val="34"/>
        </w:numPr>
        <w:spacing w:line="240" w:lineRule="auto"/>
        <w:jc w:val="left"/>
        <w:rPr>
          <w:b/>
          <w:szCs w:val="24"/>
        </w:rPr>
      </w:pPr>
      <w:r w:rsidRPr="003A1E7E">
        <w:rPr>
          <w:szCs w:val="24"/>
        </w:rPr>
        <w:t xml:space="preserve">Konsultacijos pradedamos vykdyti nuo 2024 m. spalio 1 d. </w:t>
      </w:r>
    </w:p>
    <w:p w14:paraId="0C8C40D3" w14:textId="77777777" w:rsidR="00C42DFC" w:rsidRPr="00C42DFC" w:rsidRDefault="00C42DFC" w:rsidP="00C42DFC">
      <w:pPr>
        <w:ind w:left="360"/>
        <w:rPr>
          <w:b/>
          <w:szCs w:val="24"/>
        </w:rPr>
      </w:pPr>
    </w:p>
    <w:p w14:paraId="6D2B08E8" w14:textId="44DA7A22" w:rsidR="00492096" w:rsidRPr="00C42DFC" w:rsidRDefault="00492096" w:rsidP="00C42DFC">
      <w:pPr>
        <w:rPr>
          <w:rFonts w:ascii="Times New Roman" w:hAnsi="Times New Roman"/>
          <w:b/>
          <w:sz w:val="24"/>
          <w:szCs w:val="24"/>
        </w:rPr>
      </w:pPr>
      <w:r w:rsidRPr="00C42DFC">
        <w:rPr>
          <w:rFonts w:ascii="Times New Roman" w:hAnsi="Times New Roman"/>
          <w:b/>
          <w:sz w:val="24"/>
          <w:szCs w:val="24"/>
        </w:rPr>
        <w:t>2 lentelė</w:t>
      </w:r>
      <w:r w:rsidRPr="00C42DFC">
        <w:rPr>
          <w:rFonts w:ascii="Times New Roman" w:hAnsi="Times New Roman"/>
          <w:sz w:val="24"/>
          <w:szCs w:val="24"/>
        </w:rPr>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819"/>
      </w:tblGrid>
      <w:tr w:rsidR="00DA470C" w:rsidRPr="00DA470C" w14:paraId="57848E81" w14:textId="77777777" w:rsidTr="00BF5200">
        <w:tc>
          <w:tcPr>
            <w:tcW w:w="567" w:type="dxa"/>
          </w:tcPr>
          <w:p w14:paraId="15436B05" w14:textId="77777777" w:rsidR="00DA470C" w:rsidRPr="00DA470C" w:rsidRDefault="00DA470C" w:rsidP="00BF5200">
            <w:pPr>
              <w:contextualSpacing/>
              <w:rPr>
                <w:rFonts w:ascii="Times New Roman" w:hAnsi="Times New Roman"/>
                <w:sz w:val="24"/>
                <w:szCs w:val="24"/>
              </w:rPr>
            </w:pPr>
            <w:r w:rsidRPr="00DA470C">
              <w:rPr>
                <w:rFonts w:ascii="Times New Roman" w:hAnsi="Times New Roman"/>
                <w:sz w:val="24"/>
                <w:szCs w:val="24"/>
              </w:rPr>
              <w:t>Nr.</w:t>
            </w:r>
          </w:p>
        </w:tc>
        <w:tc>
          <w:tcPr>
            <w:tcW w:w="4253" w:type="dxa"/>
          </w:tcPr>
          <w:p w14:paraId="566D6865" w14:textId="77777777" w:rsidR="00DA470C" w:rsidRPr="00DA470C" w:rsidRDefault="00DA470C" w:rsidP="00BF5200">
            <w:pPr>
              <w:contextualSpacing/>
              <w:rPr>
                <w:rFonts w:ascii="Times New Roman" w:hAnsi="Times New Roman"/>
                <w:sz w:val="24"/>
                <w:szCs w:val="24"/>
              </w:rPr>
            </w:pPr>
            <w:r w:rsidRPr="00DA470C">
              <w:rPr>
                <w:rFonts w:ascii="Times New Roman" w:hAnsi="Times New Roman"/>
                <w:sz w:val="24"/>
                <w:szCs w:val="24"/>
              </w:rPr>
              <w:t>Kvalifikacijos reikalavimai tiekėjui</w:t>
            </w:r>
          </w:p>
        </w:tc>
        <w:tc>
          <w:tcPr>
            <w:tcW w:w="4819" w:type="dxa"/>
          </w:tcPr>
          <w:p w14:paraId="3E4AD2C4" w14:textId="77777777" w:rsidR="00DA470C" w:rsidRPr="00DA470C" w:rsidRDefault="00DA470C" w:rsidP="00BF5200">
            <w:pPr>
              <w:contextualSpacing/>
              <w:rPr>
                <w:rFonts w:ascii="Times New Roman" w:hAnsi="Times New Roman"/>
                <w:sz w:val="24"/>
                <w:szCs w:val="24"/>
              </w:rPr>
            </w:pPr>
            <w:r w:rsidRPr="00DA470C">
              <w:rPr>
                <w:rFonts w:ascii="Times New Roman" w:hAnsi="Times New Roman"/>
                <w:sz w:val="24"/>
                <w:szCs w:val="24"/>
              </w:rPr>
              <w:t>Reikalavimus tiekėjui įrodantys dokumentai</w:t>
            </w:r>
          </w:p>
        </w:tc>
      </w:tr>
      <w:tr w:rsidR="00DA470C" w:rsidRPr="00DA470C" w14:paraId="493D6F22" w14:textId="77777777" w:rsidTr="00BF5200">
        <w:trPr>
          <w:trHeight w:val="132"/>
        </w:trPr>
        <w:tc>
          <w:tcPr>
            <w:tcW w:w="567" w:type="dxa"/>
          </w:tcPr>
          <w:p w14:paraId="135BDAE2" w14:textId="77777777" w:rsidR="00DA470C" w:rsidRPr="00DA470C" w:rsidRDefault="00DA470C" w:rsidP="00DA470C">
            <w:pPr>
              <w:contextualSpacing/>
              <w:rPr>
                <w:rFonts w:ascii="Times New Roman" w:hAnsi="Times New Roman"/>
                <w:sz w:val="24"/>
                <w:szCs w:val="24"/>
              </w:rPr>
            </w:pPr>
            <w:r w:rsidRPr="00DA470C">
              <w:rPr>
                <w:rFonts w:ascii="Times New Roman" w:hAnsi="Times New Roman"/>
                <w:sz w:val="24"/>
                <w:szCs w:val="24"/>
              </w:rPr>
              <w:t>1.</w:t>
            </w:r>
          </w:p>
        </w:tc>
        <w:tc>
          <w:tcPr>
            <w:tcW w:w="4253" w:type="dxa"/>
          </w:tcPr>
          <w:p w14:paraId="45E8D8C8" w14:textId="77777777" w:rsidR="00DA470C" w:rsidRPr="00DA470C" w:rsidRDefault="00DA470C" w:rsidP="00DA470C">
            <w:pPr>
              <w:pStyle w:val="Stilius"/>
              <w:contextualSpacing/>
              <w:jc w:val="both"/>
            </w:pPr>
            <w:r w:rsidRPr="00DA470C">
              <w:t>Minimalūs tiekėjų kvalifikacijos reikalavimai:</w:t>
            </w:r>
          </w:p>
        </w:tc>
        <w:tc>
          <w:tcPr>
            <w:tcW w:w="4819" w:type="dxa"/>
          </w:tcPr>
          <w:p w14:paraId="10D151D7" w14:textId="77777777" w:rsidR="00DA470C" w:rsidRPr="00DA470C" w:rsidRDefault="00DA470C" w:rsidP="00BF5200">
            <w:pPr>
              <w:pStyle w:val="ListParagraph"/>
              <w:tabs>
                <w:tab w:val="left" w:pos="208"/>
              </w:tabs>
              <w:ind w:left="0"/>
              <w:rPr>
                <w:szCs w:val="24"/>
              </w:rPr>
            </w:pPr>
            <w:r w:rsidRPr="00DA470C">
              <w:rPr>
                <w:szCs w:val="24"/>
              </w:rPr>
              <w:t>Paslaugos teikėjas turi pateikti reikalavimus pagrindžiančius dokumentus:  </w:t>
            </w:r>
          </w:p>
        </w:tc>
      </w:tr>
      <w:tr w:rsidR="00DA470C" w:rsidRPr="00DA470C" w14:paraId="3A4ACD69" w14:textId="77777777" w:rsidTr="00BF5200">
        <w:trPr>
          <w:trHeight w:val="2541"/>
        </w:trPr>
        <w:tc>
          <w:tcPr>
            <w:tcW w:w="567" w:type="dxa"/>
          </w:tcPr>
          <w:p w14:paraId="54DD56DF" w14:textId="77777777" w:rsidR="00DA470C" w:rsidRPr="00DA470C" w:rsidRDefault="00DA470C" w:rsidP="00DA470C">
            <w:pPr>
              <w:contextualSpacing/>
              <w:rPr>
                <w:rFonts w:ascii="Times New Roman" w:hAnsi="Times New Roman"/>
                <w:sz w:val="24"/>
                <w:szCs w:val="24"/>
              </w:rPr>
            </w:pPr>
            <w:r w:rsidRPr="00DA470C">
              <w:rPr>
                <w:rFonts w:ascii="Times New Roman" w:hAnsi="Times New Roman"/>
                <w:sz w:val="24"/>
                <w:szCs w:val="24"/>
              </w:rPr>
              <w:t>2.</w:t>
            </w:r>
          </w:p>
        </w:tc>
        <w:tc>
          <w:tcPr>
            <w:tcW w:w="4253" w:type="dxa"/>
          </w:tcPr>
          <w:p w14:paraId="4A5A9BF4" w14:textId="77777777" w:rsidR="00DA470C" w:rsidRPr="00DA470C" w:rsidRDefault="00DA470C" w:rsidP="00DA470C">
            <w:pPr>
              <w:pStyle w:val="ListParagraph"/>
              <w:tabs>
                <w:tab w:val="left" w:pos="447"/>
              </w:tabs>
              <w:suppressAutoHyphens/>
              <w:spacing w:line="240" w:lineRule="auto"/>
              <w:ind w:left="0" w:firstLine="0"/>
              <w:contextualSpacing w:val="0"/>
              <w:rPr>
                <w:rFonts w:eastAsia="Times New Roman"/>
                <w:szCs w:val="24"/>
                <w:lang w:eastAsia="lt-LT"/>
              </w:rPr>
            </w:pPr>
            <w:r w:rsidRPr="00DA470C">
              <w:rPr>
                <w:rFonts w:eastAsia="Times New Roman"/>
                <w:szCs w:val="24"/>
                <w:lang w:eastAsia="lt-LT"/>
              </w:rPr>
              <w:t xml:space="preserve"> Priklausomybės konsultantas turi būti įgijęs ne žemesnį kaip bakalauro laipsnį, ar jam prilygstantį išsilavinimą;  </w:t>
            </w:r>
          </w:p>
        </w:tc>
        <w:tc>
          <w:tcPr>
            <w:tcW w:w="4819" w:type="dxa"/>
          </w:tcPr>
          <w:p w14:paraId="111DAB8C" w14:textId="77777777" w:rsidR="00DA470C" w:rsidRPr="00DA470C" w:rsidRDefault="00DA470C" w:rsidP="00BF5200">
            <w:pPr>
              <w:contextualSpacing/>
              <w:rPr>
                <w:rFonts w:ascii="Times New Roman" w:hAnsi="Times New Roman"/>
                <w:sz w:val="24"/>
                <w:szCs w:val="24"/>
              </w:rPr>
            </w:pPr>
            <w:r w:rsidRPr="00DA470C">
              <w:rPr>
                <w:rFonts w:ascii="Times New Roman" w:hAnsi="Times New Roman"/>
                <w:sz w:val="24"/>
                <w:szCs w:val="24"/>
              </w:rPr>
              <w:t xml:space="preserve"> Ne žemesnio nei bakalauro laipsnio ar jam prilygstančio išsilavinimo diplomo kopiją arba kitus lygiaverčius dokumentus; </w:t>
            </w:r>
          </w:p>
        </w:tc>
      </w:tr>
    </w:tbl>
    <w:p w14:paraId="50265B98" w14:textId="69B605A4" w:rsidR="00492096" w:rsidRDefault="00492096" w:rsidP="00492096">
      <w:pPr>
        <w:contextualSpacing/>
        <w:rPr>
          <w:rFonts w:ascii="Times New Roman" w:hAnsi="Times New Roman"/>
          <w:sz w:val="24"/>
          <w:szCs w:val="24"/>
        </w:rPr>
      </w:pPr>
    </w:p>
    <w:p w14:paraId="6A94AC9C" w14:textId="2A473316" w:rsidR="00492096" w:rsidRDefault="00492096" w:rsidP="00492096">
      <w:pPr>
        <w:contextualSpacing/>
        <w:rPr>
          <w:rFonts w:ascii="Times New Roman" w:hAnsi="Times New Roman"/>
          <w:sz w:val="24"/>
          <w:szCs w:val="24"/>
        </w:rPr>
      </w:pPr>
      <w:r w:rsidRPr="00C852FD">
        <w:rPr>
          <w:rFonts w:ascii="Times New Roman" w:hAnsi="Times New Roman"/>
          <w:b/>
          <w:bCs/>
          <w:sz w:val="24"/>
          <w:szCs w:val="24"/>
        </w:rPr>
        <w:t>3 lentelė.</w:t>
      </w:r>
      <w:r w:rsidRPr="00C852FD">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00378E" w:rsidRPr="0000378E" w14:paraId="50E96BC3" w14:textId="77777777" w:rsidTr="0000378E">
        <w:tc>
          <w:tcPr>
            <w:tcW w:w="567" w:type="dxa"/>
            <w:shd w:val="clear" w:color="auto" w:fill="auto"/>
          </w:tcPr>
          <w:p w14:paraId="7FEBB398"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rPr>
              <w:t>Nr.</w:t>
            </w:r>
          </w:p>
        </w:tc>
        <w:tc>
          <w:tcPr>
            <w:tcW w:w="4253" w:type="dxa"/>
            <w:shd w:val="clear" w:color="auto" w:fill="auto"/>
          </w:tcPr>
          <w:p w14:paraId="1055BC5E"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44281639"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rPr>
              <w:t>Reikalavimus tiekėjui (tiekėjo paslaugoms, prekėms) įrodantys dokumentai</w:t>
            </w:r>
          </w:p>
        </w:tc>
      </w:tr>
      <w:tr w:rsidR="0000378E" w:rsidRPr="0000378E" w14:paraId="7C4B9161" w14:textId="77777777" w:rsidTr="0000378E">
        <w:tc>
          <w:tcPr>
            <w:tcW w:w="567" w:type="dxa"/>
            <w:shd w:val="clear" w:color="auto" w:fill="auto"/>
          </w:tcPr>
          <w:p w14:paraId="25D7F6A0" w14:textId="77777777" w:rsidR="0000378E" w:rsidRPr="00BB4BE8" w:rsidRDefault="0000378E" w:rsidP="00BF5200">
            <w:pPr>
              <w:contextualSpacing/>
              <w:rPr>
                <w:rFonts w:ascii="Times New Roman" w:hAnsi="Times New Roman"/>
                <w:sz w:val="24"/>
                <w:szCs w:val="24"/>
                <w:shd w:val="clear" w:color="auto" w:fill="FFFFFF"/>
              </w:rPr>
            </w:pPr>
            <w:r w:rsidRPr="00BB4BE8">
              <w:rPr>
                <w:rFonts w:ascii="Times New Roman" w:hAnsi="Times New Roman"/>
                <w:sz w:val="24"/>
                <w:szCs w:val="24"/>
                <w:shd w:val="clear" w:color="auto" w:fill="FFFFFF"/>
              </w:rPr>
              <w:t>1.</w:t>
            </w:r>
          </w:p>
        </w:tc>
        <w:tc>
          <w:tcPr>
            <w:tcW w:w="4253" w:type="dxa"/>
            <w:shd w:val="clear" w:color="auto" w:fill="auto"/>
          </w:tcPr>
          <w:p w14:paraId="691D2958" w14:textId="65345273" w:rsidR="0000378E" w:rsidRPr="00BB4BE8" w:rsidRDefault="00BB4BE8" w:rsidP="00BB4BE8">
            <w:pPr>
              <w:tabs>
                <w:tab w:val="left" w:pos="447"/>
              </w:tabs>
              <w:jc w:val="both"/>
              <w:rPr>
                <w:rFonts w:ascii="Times New Roman" w:hAnsi="Times New Roman"/>
                <w:sz w:val="24"/>
                <w:szCs w:val="24"/>
                <w:shd w:val="clear" w:color="auto" w:fill="FFFFFF"/>
              </w:rPr>
            </w:pPr>
            <w:r w:rsidRPr="00BB4BE8">
              <w:rPr>
                <w:rFonts w:ascii="Times New Roman" w:hAnsi="Times New Roman"/>
                <w:sz w:val="24"/>
                <w:szCs w:val="24"/>
                <w:shd w:val="clear" w:color="auto" w:fill="FFFFFF"/>
              </w:rPr>
              <w:t xml:space="preserve">Paslaugos teikėjas turi taikyti aplinkos apsaugos kriterijų, kad paslaugai teikti būtų sunaudojama kuo mažiau gamtos išteklių, neteršiama aplinka: konsultavimo žurnalai pildomi ir teikiami elektroniniu būdu, su sutartimi ir paslaugų teikimu </w:t>
            </w:r>
            <w:r w:rsidRPr="00BB4BE8">
              <w:rPr>
                <w:rFonts w:ascii="Times New Roman" w:hAnsi="Times New Roman"/>
                <w:sz w:val="24"/>
                <w:szCs w:val="24"/>
                <w:shd w:val="clear" w:color="auto" w:fill="FFFFFF"/>
              </w:rPr>
              <w:lastRenderedPageBreak/>
              <w:t>susiję dokumentai pasirašomi ir teikiami tik elektroniniu būdu.</w:t>
            </w:r>
          </w:p>
        </w:tc>
        <w:tc>
          <w:tcPr>
            <w:tcW w:w="4926" w:type="dxa"/>
            <w:shd w:val="clear" w:color="auto" w:fill="auto"/>
          </w:tcPr>
          <w:p w14:paraId="1EC81147" w14:textId="77777777" w:rsidR="0000378E" w:rsidRPr="0000378E" w:rsidRDefault="0000378E" w:rsidP="00BF5200">
            <w:pPr>
              <w:contextualSpacing/>
              <w:rPr>
                <w:rFonts w:ascii="Times New Roman" w:hAnsi="Times New Roman"/>
                <w:sz w:val="24"/>
                <w:szCs w:val="24"/>
              </w:rPr>
            </w:pPr>
            <w:r w:rsidRPr="0000378E">
              <w:rPr>
                <w:rFonts w:ascii="Times New Roman" w:hAnsi="Times New Roman"/>
                <w:sz w:val="24"/>
                <w:szCs w:val="24"/>
                <w:shd w:val="clear" w:color="auto" w:fill="FFFFFF"/>
              </w:rPr>
              <w:lastRenderedPageBreak/>
              <w:t>Kartu su pasiūlymu pateikti paslaugos teikėjo 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4ED5BD6E" w14:textId="40E31206" w:rsidR="000A02B9" w:rsidRPr="00BA206F" w:rsidRDefault="00BA206F">
            <w:pPr>
              <w:jc w:val="both"/>
              <w:rPr>
                <w:b/>
                <w:bCs/>
                <w:sz w:val="24"/>
                <w:szCs w:val="24"/>
                <w:lang w:val="en-US"/>
              </w:rPr>
            </w:pPr>
            <w:r w:rsidRPr="00BA206F">
              <w:rPr>
                <w:b/>
                <w:bCs/>
                <w:sz w:val="24"/>
                <w:szCs w:val="24"/>
                <w:lang w:val="en-US"/>
              </w:rPr>
              <w:t>Lijana Agadžanjan</w:t>
            </w:r>
          </w:p>
          <w:p w14:paraId="3918792E" w14:textId="77777777" w:rsidR="00BA206F" w:rsidRDefault="00BA206F">
            <w:pPr>
              <w:jc w:val="both"/>
              <w:rPr>
                <w:bCs/>
                <w:lang w:val="en-US"/>
              </w:rPr>
            </w:pPr>
          </w:p>
          <w:p w14:paraId="0A814BBF" w14:textId="77777777" w:rsidR="00BA206F" w:rsidRPr="00C852FD" w:rsidRDefault="00BA206F">
            <w:pPr>
              <w:jc w:val="both"/>
              <w:rPr>
                <w:bCs/>
                <w:sz w:val="24"/>
                <w:szCs w:val="24"/>
              </w:rPr>
            </w:pPr>
          </w:p>
          <w:p w14:paraId="1F94B99B" w14:textId="7068DC44" w:rsidR="006D1491" w:rsidRPr="00C852FD" w:rsidRDefault="0000378E" w:rsidP="004D1B7A">
            <w:pPr>
              <w:ind w:right="43"/>
              <w:jc w:val="both"/>
              <w:rPr>
                <w:bCs/>
                <w:sz w:val="24"/>
                <w:szCs w:val="24"/>
              </w:rPr>
            </w:pPr>
            <w:r>
              <w:rPr>
                <w:bCs/>
                <w:sz w:val="24"/>
                <w:szCs w:val="24"/>
              </w:rPr>
              <w:t>Priklausomybių konsultantė</w:t>
            </w:r>
          </w:p>
          <w:p w14:paraId="5AB7EA8A" w14:textId="77777777" w:rsidR="00D36A15" w:rsidRPr="00B2156A" w:rsidRDefault="00D36A15" w:rsidP="00D36A15">
            <w:pPr>
              <w:ind w:right="43"/>
              <w:jc w:val="both"/>
              <w:rPr>
                <w:b/>
                <w:bCs/>
                <w:sz w:val="24"/>
                <w:szCs w:val="24"/>
              </w:rPr>
            </w:pPr>
            <w:r w:rsidRPr="00B2156A">
              <w:rPr>
                <w:b/>
                <w:bCs/>
                <w:sz w:val="24"/>
                <w:szCs w:val="24"/>
                <w:lang w:val="en-US"/>
              </w:rPr>
              <w:t>Lijana Agadžanjan</w:t>
            </w:r>
            <w:r w:rsidRPr="00B2156A">
              <w:rPr>
                <w:b/>
                <w:bCs/>
                <w:sz w:val="24"/>
                <w:szCs w:val="24"/>
              </w:rPr>
              <w:t xml:space="preserve"> </w:t>
            </w:r>
          </w:p>
          <w:p w14:paraId="3717F890" w14:textId="2844A8D5" w:rsidR="00496B13" w:rsidRPr="00C852FD" w:rsidRDefault="004D1B7A" w:rsidP="00D36A15">
            <w:pPr>
              <w:jc w:val="both"/>
              <w:rPr>
                <w:bCs/>
                <w:sz w:val="24"/>
                <w:szCs w:val="24"/>
              </w:rPr>
            </w:pPr>
            <w:r w:rsidRPr="00C852FD">
              <w:rPr>
                <w:bCs/>
                <w:sz w:val="24"/>
                <w:szCs w:val="24"/>
              </w:rPr>
              <w:t>_______________________</w:t>
            </w: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7EE85E99" w14:textId="00BB5E9D" w:rsidR="0000378E" w:rsidRDefault="0000378E" w:rsidP="006D1491">
            <w:pPr>
              <w:ind w:right="43"/>
              <w:jc w:val="both"/>
              <w:rPr>
                <w:sz w:val="24"/>
                <w:szCs w:val="24"/>
              </w:rPr>
            </w:pPr>
            <w:r>
              <w:rPr>
                <w:sz w:val="24"/>
                <w:szCs w:val="24"/>
              </w:rPr>
              <w:t>Direktorė</w:t>
            </w:r>
          </w:p>
          <w:p w14:paraId="249C66E3" w14:textId="466404A6" w:rsidR="006D1491" w:rsidRPr="00492096" w:rsidRDefault="0000378E" w:rsidP="006D1491">
            <w:pPr>
              <w:ind w:right="43"/>
              <w:jc w:val="both"/>
              <w:rPr>
                <w:b/>
                <w:bCs/>
                <w:sz w:val="24"/>
                <w:szCs w:val="24"/>
              </w:rPr>
            </w:pPr>
            <w:r>
              <w:rPr>
                <w:b/>
                <w:bCs/>
                <w:sz w:val="24"/>
                <w:szCs w:val="24"/>
              </w:rPr>
              <w:t>Gerda Kuzmarskienė</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477B" w14:textId="77777777" w:rsidR="00143375" w:rsidRDefault="00143375" w:rsidP="00B72678">
      <w:r>
        <w:separator/>
      </w:r>
    </w:p>
  </w:endnote>
  <w:endnote w:type="continuationSeparator" w:id="0">
    <w:p w14:paraId="05086D06" w14:textId="77777777" w:rsidR="00143375" w:rsidRDefault="00143375" w:rsidP="00B72678">
      <w:r>
        <w:continuationSeparator/>
      </w:r>
    </w:p>
  </w:endnote>
  <w:endnote w:type="continuationNotice" w:id="1">
    <w:p w14:paraId="73A69FE8" w14:textId="77777777" w:rsidR="00143375" w:rsidRDefault="0014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7A7B" w14:textId="77777777" w:rsidR="00143375" w:rsidRDefault="00143375" w:rsidP="00B72678">
      <w:r>
        <w:separator/>
      </w:r>
    </w:p>
  </w:footnote>
  <w:footnote w:type="continuationSeparator" w:id="0">
    <w:p w14:paraId="112737C4" w14:textId="77777777" w:rsidR="00143375" w:rsidRDefault="00143375" w:rsidP="00B72678">
      <w:r>
        <w:continuationSeparator/>
      </w:r>
    </w:p>
  </w:footnote>
  <w:footnote w:type="continuationNotice" w:id="1">
    <w:p w14:paraId="2C07E351" w14:textId="77777777" w:rsidR="00143375" w:rsidRDefault="00143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934D8"/>
    <w:multiLevelType w:val="multilevel"/>
    <w:tmpl w:val="09F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A1A3EED"/>
    <w:multiLevelType w:val="multilevel"/>
    <w:tmpl w:val="41C0BB4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964892"/>
    <w:multiLevelType w:val="multilevel"/>
    <w:tmpl w:val="1564F36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1ED5B3"/>
    <w:multiLevelType w:val="hybridMultilevel"/>
    <w:tmpl w:val="1BC6C75A"/>
    <w:lvl w:ilvl="0" w:tplc="4BC06FD4">
      <w:start w:val="1"/>
      <w:numFmt w:val="decimal"/>
      <w:lvlText w:val="%1."/>
      <w:lvlJc w:val="left"/>
      <w:pPr>
        <w:ind w:left="720" w:hanging="360"/>
      </w:pPr>
    </w:lvl>
    <w:lvl w:ilvl="1" w:tplc="9FCC0236">
      <w:start w:val="1"/>
      <w:numFmt w:val="lowerLetter"/>
      <w:lvlText w:val="%2."/>
      <w:lvlJc w:val="left"/>
      <w:pPr>
        <w:ind w:left="1440" w:hanging="360"/>
      </w:pPr>
    </w:lvl>
    <w:lvl w:ilvl="2" w:tplc="0A025A94">
      <w:start w:val="1"/>
      <w:numFmt w:val="lowerRoman"/>
      <w:lvlText w:val="%3."/>
      <w:lvlJc w:val="right"/>
      <w:pPr>
        <w:ind w:left="2160" w:hanging="180"/>
      </w:pPr>
    </w:lvl>
    <w:lvl w:ilvl="3" w:tplc="542A37E2">
      <w:start w:val="1"/>
      <w:numFmt w:val="decimal"/>
      <w:lvlText w:val="%4."/>
      <w:lvlJc w:val="left"/>
      <w:pPr>
        <w:ind w:left="2880" w:hanging="360"/>
      </w:pPr>
    </w:lvl>
    <w:lvl w:ilvl="4" w:tplc="2DB026E0">
      <w:start w:val="1"/>
      <w:numFmt w:val="lowerLetter"/>
      <w:lvlText w:val="%5."/>
      <w:lvlJc w:val="left"/>
      <w:pPr>
        <w:ind w:left="3600" w:hanging="360"/>
      </w:pPr>
    </w:lvl>
    <w:lvl w:ilvl="5" w:tplc="CBFAF2FE">
      <w:start w:val="1"/>
      <w:numFmt w:val="lowerRoman"/>
      <w:lvlText w:val="%6."/>
      <w:lvlJc w:val="right"/>
      <w:pPr>
        <w:ind w:left="4320" w:hanging="180"/>
      </w:pPr>
    </w:lvl>
    <w:lvl w:ilvl="6" w:tplc="A1081880">
      <w:start w:val="1"/>
      <w:numFmt w:val="decimal"/>
      <w:lvlText w:val="%7."/>
      <w:lvlJc w:val="left"/>
      <w:pPr>
        <w:ind w:left="5040" w:hanging="360"/>
      </w:pPr>
    </w:lvl>
    <w:lvl w:ilvl="7" w:tplc="5624360E">
      <w:start w:val="1"/>
      <w:numFmt w:val="lowerLetter"/>
      <w:lvlText w:val="%8."/>
      <w:lvlJc w:val="left"/>
      <w:pPr>
        <w:ind w:left="5760" w:hanging="360"/>
      </w:pPr>
    </w:lvl>
    <w:lvl w:ilvl="8" w:tplc="48B6D7BC">
      <w:start w:val="1"/>
      <w:numFmt w:val="lowerRoman"/>
      <w:lvlText w:val="%9."/>
      <w:lvlJc w:val="right"/>
      <w:pPr>
        <w:ind w:left="6480" w:hanging="180"/>
      </w:pPr>
    </w:lvl>
  </w:abstractNum>
  <w:abstractNum w:abstractNumId="7"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28388F"/>
    <w:multiLevelType w:val="multilevel"/>
    <w:tmpl w:val="1AAA4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13"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4" w15:restartNumberingAfterBreak="0">
    <w:nsid w:val="2C6E253B"/>
    <w:multiLevelType w:val="multilevel"/>
    <w:tmpl w:val="1B6075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F3641"/>
    <w:multiLevelType w:val="multilevel"/>
    <w:tmpl w:val="1CF8C7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C509C"/>
    <w:multiLevelType w:val="multilevel"/>
    <w:tmpl w:val="5352D2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6C4421"/>
    <w:multiLevelType w:val="multilevel"/>
    <w:tmpl w:val="E5B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86E5C"/>
    <w:multiLevelType w:val="hybridMultilevel"/>
    <w:tmpl w:val="B2981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3E3091"/>
    <w:multiLevelType w:val="multilevel"/>
    <w:tmpl w:val="B0B48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931121"/>
    <w:multiLevelType w:val="multilevel"/>
    <w:tmpl w:val="BCF0C3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3567A0"/>
    <w:multiLevelType w:val="multilevel"/>
    <w:tmpl w:val="B39632FC"/>
    <w:lvl w:ilvl="0">
      <w:start w:val="1"/>
      <w:numFmt w:val="decimal"/>
      <w:lvlText w:val="%1."/>
      <w:lvlJc w:val="left"/>
      <w:pPr>
        <w:ind w:left="474" w:hanging="360"/>
      </w:pPr>
      <w:rPr>
        <w:rFonts w:hint="default"/>
      </w:rPr>
    </w:lvl>
    <w:lvl w:ilvl="1">
      <w:start w:val="1"/>
      <w:numFmt w:val="bullet"/>
      <w:lvlText w:val=""/>
      <w:lvlJc w:val="left"/>
      <w:pPr>
        <w:ind w:left="834" w:hanging="360"/>
      </w:pPr>
      <w:rPr>
        <w:rFonts w:ascii="Symbol" w:hAnsi="Symbol"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914"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994" w:hanging="1080"/>
      </w:pPr>
      <w:rPr>
        <w:rFonts w:hint="default"/>
      </w:rPr>
    </w:lvl>
    <w:lvl w:ilvl="6">
      <w:start w:val="1"/>
      <w:numFmt w:val="decimal"/>
      <w:isLgl/>
      <w:lvlText w:val="%1.%2.%3.%4.%5.%6.%7."/>
      <w:lvlJc w:val="left"/>
      <w:pPr>
        <w:ind w:left="3714" w:hanging="1440"/>
      </w:pPr>
      <w:rPr>
        <w:rFonts w:hint="default"/>
      </w:rPr>
    </w:lvl>
    <w:lvl w:ilvl="7">
      <w:start w:val="1"/>
      <w:numFmt w:val="decimal"/>
      <w:isLgl/>
      <w:lvlText w:val="%1.%2.%3.%4.%5.%6.%7.%8."/>
      <w:lvlJc w:val="left"/>
      <w:pPr>
        <w:ind w:left="4074" w:hanging="1440"/>
      </w:pPr>
      <w:rPr>
        <w:rFonts w:hint="default"/>
      </w:rPr>
    </w:lvl>
    <w:lvl w:ilvl="8">
      <w:start w:val="1"/>
      <w:numFmt w:val="decimal"/>
      <w:isLgl/>
      <w:lvlText w:val="%1.%2.%3.%4.%5.%6.%7.%8.%9."/>
      <w:lvlJc w:val="left"/>
      <w:pPr>
        <w:ind w:left="4794" w:hanging="1800"/>
      </w:pPr>
      <w:rPr>
        <w:rFonts w:hint="default"/>
      </w:rPr>
    </w:lvl>
  </w:abstractNum>
  <w:abstractNum w:abstractNumId="26"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612F1373"/>
    <w:multiLevelType w:val="multilevel"/>
    <w:tmpl w:val="9B0A4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29311D"/>
    <w:multiLevelType w:val="multilevel"/>
    <w:tmpl w:val="A76A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32"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F6492D"/>
    <w:multiLevelType w:val="multilevel"/>
    <w:tmpl w:val="1CC889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553172">
    <w:abstractNumId w:val="29"/>
  </w:num>
  <w:num w:numId="2" w16cid:durableId="699012104">
    <w:abstractNumId w:val="0"/>
  </w:num>
  <w:num w:numId="3" w16cid:durableId="402797050">
    <w:abstractNumId w:val="9"/>
  </w:num>
  <w:num w:numId="4" w16cid:durableId="2030376940">
    <w:abstractNumId w:val="32"/>
  </w:num>
  <w:num w:numId="5" w16cid:durableId="1115099143">
    <w:abstractNumId w:val="31"/>
  </w:num>
  <w:num w:numId="6" w16cid:durableId="1036199193">
    <w:abstractNumId w:val="3"/>
  </w:num>
  <w:num w:numId="7" w16cid:durableId="1859351603">
    <w:abstractNumId w:val="10"/>
  </w:num>
  <w:num w:numId="8" w16cid:durableId="544028746">
    <w:abstractNumId w:val="21"/>
  </w:num>
  <w:num w:numId="9" w16cid:durableId="1285188380">
    <w:abstractNumId w:val="13"/>
  </w:num>
  <w:num w:numId="10" w16cid:durableId="602686583">
    <w:abstractNumId w:val="23"/>
  </w:num>
  <w:num w:numId="11" w16cid:durableId="1023938359">
    <w:abstractNumId w:val="20"/>
  </w:num>
  <w:num w:numId="12" w16cid:durableId="708142045">
    <w:abstractNumId w:val="19"/>
  </w:num>
  <w:num w:numId="13" w16cid:durableId="410280137">
    <w:abstractNumId w:val="12"/>
  </w:num>
  <w:num w:numId="14" w16cid:durableId="1725719079">
    <w:abstractNumId w:val="7"/>
  </w:num>
  <w:num w:numId="15" w16cid:durableId="270405285">
    <w:abstractNumId w:val="1"/>
  </w:num>
  <w:num w:numId="16" w16cid:durableId="1958952916">
    <w:abstractNumId w:val="28"/>
  </w:num>
  <w:num w:numId="17" w16cid:durableId="1050764680">
    <w:abstractNumId w:val="11"/>
  </w:num>
  <w:num w:numId="18" w16cid:durableId="1284119570">
    <w:abstractNumId w:val="26"/>
  </w:num>
  <w:num w:numId="19" w16cid:durableId="1868253083">
    <w:abstractNumId w:val="5"/>
  </w:num>
  <w:num w:numId="20" w16cid:durableId="606813725">
    <w:abstractNumId w:val="25"/>
  </w:num>
  <w:num w:numId="21" w16cid:durableId="85538338">
    <w:abstractNumId w:val="18"/>
  </w:num>
  <w:num w:numId="22" w16cid:durableId="2073194655">
    <w:abstractNumId w:val="6"/>
  </w:num>
  <w:num w:numId="23" w16cid:durableId="882206387">
    <w:abstractNumId w:val="17"/>
  </w:num>
  <w:num w:numId="24" w16cid:durableId="595938171">
    <w:abstractNumId w:val="2"/>
  </w:num>
  <w:num w:numId="25" w16cid:durableId="1650405044">
    <w:abstractNumId w:val="30"/>
  </w:num>
  <w:num w:numId="26" w16cid:durableId="2049837275">
    <w:abstractNumId w:val="27"/>
  </w:num>
  <w:num w:numId="27" w16cid:durableId="1818718423">
    <w:abstractNumId w:val="16"/>
  </w:num>
  <w:num w:numId="28" w16cid:durableId="805242185">
    <w:abstractNumId w:val="22"/>
  </w:num>
  <w:num w:numId="29" w16cid:durableId="1840264950">
    <w:abstractNumId w:val="14"/>
  </w:num>
  <w:num w:numId="30" w16cid:durableId="924992434">
    <w:abstractNumId w:val="8"/>
  </w:num>
  <w:num w:numId="31" w16cid:durableId="1283658549">
    <w:abstractNumId w:val="15"/>
  </w:num>
  <w:num w:numId="32" w16cid:durableId="371880101">
    <w:abstractNumId w:val="33"/>
  </w:num>
  <w:num w:numId="33" w16cid:durableId="1065493976">
    <w:abstractNumId w:val="24"/>
  </w:num>
  <w:num w:numId="34" w16cid:durableId="95521589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378E"/>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6C02"/>
    <w:rsid w:val="000F11B4"/>
    <w:rsid w:val="000F16CA"/>
    <w:rsid w:val="000F1749"/>
    <w:rsid w:val="000F75AF"/>
    <w:rsid w:val="00100C14"/>
    <w:rsid w:val="00101B2F"/>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4752"/>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17FA"/>
    <w:rsid w:val="001F2123"/>
    <w:rsid w:val="001F23D5"/>
    <w:rsid w:val="001F55B4"/>
    <w:rsid w:val="001F5647"/>
    <w:rsid w:val="00201AAA"/>
    <w:rsid w:val="00201B86"/>
    <w:rsid w:val="00201F87"/>
    <w:rsid w:val="00203399"/>
    <w:rsid w:val="002037B1"/>
    <w:rsid w:val="00206819"/>
    <w:rsid w:val="00206C90"/>
    <w:rsid w:val="002105B0"/>
    <w:rsid w:val="002106B7"/>
    <w:rsid w:val="0021165B"/>
    <w:rsid w:val="002135B1"/>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77D09"/>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1E7E"/>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3F5D9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6C17"/>
    <w:rsid w:val="00437D9F"/>
    <w:rsid w:val="004405C7"/>
    <w:rsid w:val="004419BE"/>
    <w:rsid w:val="00442597"/>
    <w:rsid w:val="00442F62"/>
    <w:rsid w:val="00443A39"/>
    <w:rsid w:val="00446ADF"/>
    <w:rsid w:val="004470B5"/>
    <w:rsid w:val="00450434"/>
    <w:rsid w:val="004504DC"/>
    <w:rsid w:val="00450C53"/>
    <w:rsid w:val="00451CE8"/>
    <w:rsid w:val="0045228F"/>
    <w:rsid w:val="00452CEC"/>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366"/>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D09"/>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14C7B"/>
    <w:rsid w:val="00516A55"/>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1C9C"/>
    <w:rsid w:val="00543267"/>
    <w:rsid w:val="005444D1"/>
    <w:rsid w:val="00544B0A"/>
    <w:rsid w:val="00546FEE"/>
    <w:rsid w:val="0054767B"/>
    <w:rsid w:val="0054789F"/>
    <w:rsid w:val="00550462"/>
    <w:rsid w:val="005510E6"/>
    <w:rsid w:val="0055133D"/>
    <w:rsid w:val="00551C2C"/>
    <w:rsid w:val="005529CE"/>
    <w:rsid w:val="005529E4"/>
    <w:rsid w:val="0055390C"/>
    <w:rsid w:val="00554289"/>
    <w:rsid w:val="00554CFC"/>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6A70"/>
    <w:rsid w:val="005F768F"/>
    <w:rsid w:val="006012E5"/>
    <w:rsid w:val="006031A6"/>
    <w:rsid w:val="0060396E"/>
    <w:rsid w:val="006042B4"/>
    <w:rsid w:val="0060529B"/>
    <w:rsid w:val="00606BE1"/>
    <w:rsid w:val="00606EDB"/>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0673"/>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05C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4FA5"/>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68CA"/>
    <w:rsid w:val="008D7EF7"/>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27E6"/>
    <w:rsid w:val="00903CB1"/>
    <w:rsid w:val="0090426F"/>
    <w:rsid w:val="00904C86"/>
    <w:rsid w:val="00910CA5"/>
    <w:rsid w:val="00912B1C"/>
    <w:rsid w:val="009136E6"/>
    <w:rsid w:val="00914E7E"/>
    <w:rsid w:val="00916FC0"/>
    <w:rsid w:val="00917A30"/>
    <w:rsid w:val="00920319"/>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05737"/>
    <w:rsid w:val="00A1056D"/>
    <w:rsid w:val="00A10A6A"/>
    <w:rsid w:val="00A11B82"/>
    <w:rsid w:val="00A11FBD"/>
    <w:rsid w:val="00A13EC3"/>
    <w:rsid w:val="00A149DA"/>
    <w:rsid w:val="00A150DC"/>
    <w:rsid w:val="00A15849"/>
    <w:rsid w:val="00A1692D"/>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13DA"/>
    <w:rsid w:val="00A82395"/>
    <w:rsid w:val="00A82698"/>
    <w:rsid w:val="00A84769"/>
    <w:rsid w:val="00A863BB"/>
    <w:rsid w:val="00A86414"/>
    <w:rsid w:val="00A9016F"/>
    <w:rsid w:val="00A9059B"/>
    <w:rsid w:val="00A9091C"/>
    <w:rsid w:val="00A91692"/>
    <w:rsid w:val="00A92412"/>
    <w:rsid w:val="00A928F7"/>
    <w:rsid w:val="00A93C59"/>
    <w:rsid w:val="00A96BE7"/>
    <w:rsid w:val="00A974AD"/>
    <w:rsid w:val="00A97C80"/>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0837"/>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156A"/>
    <w:rsid w:val="00B2238C"/>
    <w:rsid w:val="00B22CA1"/>
    <w:rsid w:val="00B23120"/>
    <w:rsid w:val="00B278CE"/>
    <w:rsid w:val="00B30738"/>
    <w:rsid w:val="00B32D1F"/>
    <w:rsid w:val="00B34155"/>
    <w:rsid w:val="00B35438"/>
    <w:rsid w:val="00B35815"/>
    <w:rsid w:val="00B40027"/>
    <w:rsid w:val="00B410C6"/>
    <w:rsid w:val="00B42317"/>
    <w:rsid w:val="00B42A32"/>
    <w:rsid w:val="00B431F9"/>
    <w:rsid w:val="00B43938"/>
    <w:rsid w:val="00B470B7"/>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41E6"/>
    <w:rsid w:val="00B84234"/>
    <w:rsid w:val="00B9263D"/>
    <w:rsid w:val="00B937C4"/>
    <w:rsid w:val="00B93D83"/>
    <w:rsid w:val="00B94F28"/>
    <w:rsid w:val="00B956A7"/>
    <w:rsid w:val="00B95CB7"/>
    <w:rsid w:val="00BA206F"/>
    <w:rsid w:val="00BA24D9"/>
    <w:rsid w:val="00BA39F5"/>
    <w:rsid w:val="00BA44FF"/>
    <w:rsid w:val="00BA5BDE"/>
    <w:rsid w:val="00BB1C6C"/>
    <w:rsid w:val="00BB3EFE"/>
    <w:rsid w:val="00BB4BE8"/>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2DFC"/>
    <w:rsid w:val="00C44483"/>
    <w:rsid w:val="00C44BDE"/>
    <w:rsid w:val="00C45E3F"/>
    <w:rsid w:val="00C46337"/>
    <w:rsid w:val="00C46384"/>
    <w:rsid w:val="00C47E7D"/>
    <w:rsid w:val="00C52D36"/>
    <w:rsid w:val="00C52E2F"/>
    <w:rsid w:val="00C53A60"/>
    <w:rsid w:val="00C55299"/>
    <w:rsid w:val="00C577FD"/>
    <w:rsid w:val="00C5793B"/>
    <w:rsid w:val="00C60545"/>
    <w:rsid w:val="00C62F66"/>
    <w:rsid w:val="00C6372C"/>
    <w:rsid w:val="00C64F30"/>
    <w:rsid w:val="00C67B3B"/>
    <w:rsid w:val="00C67CBD"/>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4330"/>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B1C"/>
    <w:rsid w:val="00CF758D"/>
    <w:rsid w:val="00D01385"/>
    <w:rsid w:val="00D02E15"/>
    <w:rsid w:val="00D04254"/>
    <w:rsid w:val="00D05B2B"/>
    <w:rsid w:val="00D06897"/>
    <w:rsid w:val="00D1016A"/>
    <w:rsid w:val="00D11CC3"/>
    <w:rsid w:val="00D1214C"/>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6D9"/>
    <w:rsid w:val="00D3197B"/>
    <w:rsid w:val="00D326FB"/>
    <w:rsid w:val="00D3334B"/>
    <w:rsid w:val="00D35B7A"/>
    <w:rsid w:val="00D36A15"/>
    <w:rsid w:val="00D375D2"/>
    <w:rsid w:val="00D37C6E"/>
    <w:rsid w:val="00D40220"/>
    <w:rsid w:val="00D4026E"/>
    <w:rsid w:val="00D4078C"/>
    <w:rsid w:val="00D40917"/>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6D79"/>
    <w:rsid w:val="00D677A4"/>
    <w:rsid w:val="00D7004E"/>
    <w:rsid w:val="00D70068"/>
    <w:rsid w:val="00D707D5"/>
    <w:rsid w:val="00D70C19"/>
    <w:rsid w:val="00D75D1D"/>
    <w:rsid w:val="00D75ECB"/>
    <w:rsid w:val="00D77C18"/>
    <w:rsid w:val="00D8401F"/>
    <w:rsid w:val="00D84449"/>
    <w:rsid w:val="00D84649"/>
    <w:rsid w:val="00D85986"/>
    <w:rsid w:val="00D85A31"/>
    <w:rsid w:val="00D9199C"/>
    <w:rsid w:val="00D93F19"/>
    <w:rsid w:val="00D950D3"/>
    <w:rsid w:val="00D96178"/>
    <w:rsid w:val="00D96B79"/>
    <w:rsid w:val="00D97705"/>
    <w:rsid w:val="00D97E39"/>
    <w:rsid w:val="00DA00AB"/>
    <w:rsid w:val="00DA036E"/>
    <w:rsid w:val="00DA1606"/>
    <w:rsid w:val="00DA196F"/>
    <w:rsid w:val="00DA2718"/>
    <w:rsid w:val="00DA3E6B"/>
    <w:rsid w:val="00DA470C"/>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48B3"/>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478DA"/>
    <w:rsid w:val="00E50AD7"/>
    <w:rsid w:val="00E50E12"/>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77B95"/>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6622"/>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1EDB"/>
    <w:rsid w:val="00EC22D0"/>
    <w:rsid w:val="00EC23F0"/>
    <w:rsid w:val="00EC5520"/>
    <w:rsid w:val="00EC584B"/>
    <w:rsid w:val="00EC6116"/>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33C8"/>
    <w:rsid w:val="00EF4EBC"/>
    <w:rsid w:val="00EF53AD"/>
    <w:rsid w:val="00EF6104"/>
    <w:rsid w:val="00EF6E85"/>
    <w:rsid w:val="00EF7027"/>
    <w:rsid w:val="00F00F71"/>
    <w:rsid w:val="00F01447"/>
    <w:rsid w:val="00F014DC"/>
    <w:rsid w:val="00F0218C"/>
    <w:rsid w:val="00F0240E"/>
    <w:rsid w:val="00F031A2"/>
    <w:rsid w:val="00F03EC9"/>
    <w:rsid w:val="00F047F4"/>
    <w:rsid w:val="00F04C0F"/>
    <w:rsid w:val="00F053B4"/>
    <w:rsid w:val="00F10AD6"/>
    <w:rsid w:val="00F12371"/>
    <w:rsid w:val="00F13D23"/>
    <w:rsid w:val="00F14061"/>
    <w:rsid w:val="00F1409D"/>
    <w:rsid w:val="00F14DFE"/>
    <w:rsid w:val="00F159F6"/>
    <w:rsid w:val="00F2142A"/>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A454A"/>
    <w:rsid w:val="00FB0047"/>
    <w:rsid w:val="00FB05B3"/>
    <w:rsid w:val="00FB2D84"/>
    <w:rsid w:val="00FB5D34"/>
    <w:rsid w:val="00FB6CD1"/>
    <w:rsid w:val="00FB7DE2"/>
    <w:rsid w:val="00FC314C"/>
    <w:rsid w:val="00FC7260"/>
    <w:rsid w:val="00FD15A5"/>
    <w:rsid w:val="00FD180E"/>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BC9"/>
    <w:rsid w:val="00FF6C2B"/>
    <w:rsid w:val="00FF7E23"/>
    <w:rsid w:val="1EC35240"/>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81345E2-A05C-4718-B631-AE10757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A15"/>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gadzanjan.vrpi@gmail.com" TargetMode="External"/><Relationship Id="rId5" Type="http://schemas.openxmlformats.org/officeDocument/2006/relationships/webSettings" Target="webSettings.xml"/><Relationship Id="rId10" Type="http://schemas.openxmlformats.org/officeDocument/2006/relationships/hyperlink" Target="mailto:giedre.macaitiene@kaunovsb.lt"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2293</Words>
  <Characters>17160</Characters>
  <Application>Microsoft Office Word</Application>
  <DocSecurity>0</DocSecurity>
  <Lines>143</Lines>
  <Paragraphs>38</Paragraphs>
  <ScaleCrop>false</ScaleCrop>
  <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931</cp:revision>
  <dcterms:created xsi:type="dcterms:W3CDTF">2021-10-09T08:39:00Z</dcterms:created>
  <dcterms:modified xsi:type="dcterms:W3CDTF">2024-09-23T08:34:00Z</dcterms:modified>
</cp:coreProperties>
</file>