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4A006" w14:textId="403EDB2D" w:rsidR="00EF28D2" w:rsidRDefault="00CE0FA1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2024-02-20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MIŠKININKYSTĖS RANGOS PASLAUGŲ PAG</w:t>
      </w:r>
      <w:r>
        <w:rPr>
          <w:rFonts w:ascii="Arial" w:hAnsi="Arial" w:cs="Arial"/>
          <w:b/>
          <w:bCs/>
          <w:sz w:val="22"/>
          <w:szCs w:val="22"/>
        </w:rPr>
        <w:t>R</w:t>
      </w:r>
      <w:r w:rsidR="00CA19AE">
        <w:rPr>
          <w:rFonts w:ascii="Arial" w:hAnsi="Arial" w:cs="Arial"/>
          <w:b/>
          <w:bCs/>
          <w:sz w:val="22"/>
          <w:szCs w:val="22"/>
        </w:rPr>
        <w:t>INDINĖS SUTARTIES NR. 61-VP-2046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PASLAUGŲ BAZINIŲ ĮKAINIŲ PERSKAIČIAVIMO</w:t>
      </w:r>
    </w:p>
    <w:p w14:paraId="5CC4A007" w14:textId="77777777" w:rsidR="00EF28D2" w:rsidRDefault="00EF28D2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C4A008" w14:textId="3F9F02F7" w:rsidR="00EF28D2" w:rsidRDefault="008A51E1">
      <w:pPr>
        <w:pStyle w:val="Antrat10"/>
        <w:jc w:val="center"/>
        <w:rPr>
          <w:shd w:val="clear" w:color="auto" w:fill="FFFFFF"/>
        </w:rPr>
      </w:pPr>
      <w:r>
        <w:rPr>
          <w:rFonts w:ascii="Arial" w:hAnsi="Arial" w:cs="Arial"/>
          <w:b w:val="0"/>
          <w:bCs w:val="0"/>
          <w:shd w:val="clear" w:color="auto" w:fill="FFFFFF"/>
        </w:rPr>
        <w:t>2024 _10</w:t>
      </w:r>
      <w:r w:rsidR="00FA3089">
        <w:rPr>
          <w:rFonts w:ascii="Arial" w:hAnsi="Arial" w:cs="Arial"/>
          <w:b w:val="0"/>
          <w:bCs w:val="0"/>
          <w:shd w:val="clear" w:color="auto" w:fill="FFFFFF"/>
        </w:rPr>
        <w:t>_Nr. _____</w:t>
      </w:r>
    </w:p>
    <w:p w14:paraId="5CC4A009" w14:textId="77777777" w:rsidR="00EF28D2" w:rsidRDefault="0000000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FA3089"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  <w:r w:rsidR="00FA3089">
        <w:rPr>
          <w:rFonts w:ascii="Arial" w:hAnsi="Arial" w:cs="Arial"/>
          <w:sz w:val="22"/>
          <w:szCs w:val="22"/>
          <w:shd w:val="clear" w:color="auto" w:fill="FFFFFF"/>
        </w:rPr>
        <w:t>, Vilniaus raj.</w:t>
      </w:r>
    </w:p>
    <w:p w14:paraId="5CC4A00A" w14:textId="77777777" w:rsidR="00EF28D2" w:rsidRDefault="00EF28D2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5CC4A00B" w14:textId="09FC0714" w:rsidR="00EF28D2" w:rsidRDefault="00FA3089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Valstybės įmonė Valstybinių miškų urėdija, toliau vadinama Paslaugų gavėju, atstovaujama </w:t>
      </w:r>
      <w:r w:rsidR="008A51E1" w:rsidRPr="008A51E1">
        <w:rPr>
          <w:rFonts w:ascii="Arial" w:hAnsi="Arial" w:cs="Arial"/>
          <w:sz w:val="22"/>
          <w:szCs w:val="22"/>
          <w:shd w:val="clear" w:color="auto" w:fill="FFFFFF"/>
        </w:rPr>
        <w:t>Nemenčinės RP vadovo Giedriaus Grincevičiaus, vykdančio Švenčionėlių RP vadovo funkcijas, veikiančio pagal VĮ Valstybinės miškų direktoriaus 2024 m. gegužės 8 d. suteiktą įgaliojimą Nr. 77-ĮG-199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ir 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 xml:space="preserve">MB „“, įmonės kodas , atstovaujama 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br/>
        <w:t>veikiančio(-</w:t>
      </w:r>
      <w:proofErr w:type="spellStart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ios</w:t>
      </w:r>
      <w:proofErr w:type="spellEnd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) pagal mažosios bendrijos įstatus</w:t>
      </w:r>
      <w:r>
        <w:rPr>
          <w:rFonts w:ascii="Arial" w:hAnsi="Arial" w:cs="Arial"/>
          <w:sz w:val="22"/>
          <w:szCs w:val="22"/>
          <w:shd w:val="clear" w:color="auto" w:fill="FFFFFF"/>
        </w:rPr>
        <w:t>, toliau vadinama Paslaugų teikėju, bendrai vadinamos Šalimis, o atskirai Šalimi, sudarėme šį susitarimą (toliau – Susitarimas) dėl miški</w:t>
      </w:r>
      <w:r w:rsidR="00B374AB">
        <w:rPr>
          <w:rFonts w:ascii="Arial" w:hAnsi="Arial" w:cs="Arial"/>
          <w:sz w:val="22"/>
          <w:szCs w:val="22"/>
          <w:shd w:val="clear" w:color="auto" w:fill="FFFFFF"/>
        </w:rPr>
        <w:t>ninkystės rangos paslaugų sutar</w:t>
      </w:r>
      <w:r>
        <w:rPr>
          <w:rFonts w:ascii="Arial" w:hAnsi="Arial" w:cs="Arial"/>
          <w:sz w:val="22"/>
          <w:szCs w:val="22"/>
          <w:shd w:val="clear" w:color="auto" w:fill="FFFFFF"/>
        </w:rPr>
        <w:t>ties (toliau – Sutartis) bazinių įkainių perskaičiavimo.</w:t>
      </w:r>
    </w:p>
    <w:p w14:paraId="5CC4A00C" w14:textId="3FBF6912" w:rsidR="00EF28D2" w:rsidRDefault="00FA3089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Susitarimas sudarytas pagal </w:t>
      </w:r>
      <w:bookmarkStart w:id="0" w:name="_Hlk36628880"/>
      <w:sdt>
        <w:sdt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CE0FA1">
            <w:rPr>
              <w:rFonts w:ascii="Arial" w:hAnsi="Arial" w:cs="Arial"/>
              <w:sz w:val="22"/>
              <w:szCs w:val="22"/>
              <w:shd w:val="clear" w:color="auto" w:fill="FFFFFF"/>
            </w:rPr>
            <w:t>2024 m. vasario 20</w:t>
          </w:r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 xml:space="preserve"> d.</w:t>
          </w:r>
        </w:sdtContent>
      </w:sdt>
      <w:bookmarkEnd w:id="0"/>
      <w:r>
        <w:rPr>
          <w:rFonts w:ascii="Arial" w:hAnsi="Arial" w:cs="Arial"/>
          <w:sz w:val="22"/>
          <w:szCs w:val="22"/>
          <w:shd w:val="clear" w:color="auto" w:fill="FFFFFF"/>
        </w:rPr>
        <w:t xml:space="preserve"> Sutartį Nr. </w:t>
      </w:r>
      <w:sdt>
        <w:sdt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 w:rsidR="00CA19AE">
            <w:rPr>
              <w:rFonts w:ascii="Arial" w:hAnsi="Arial" w:cs="Arial"/>
              <w:sz w:val="22"/>
              <w:szCs w:val="22"/>
              <w:shd w:val="clear" w:color="auto" w:fill="FFFFFF"/>
            </w:rPr>
            <w:t>61-VP-2046</w:t>
          </w:r>
        </w:sdtContent>
      </w:sdt>
      <w:r>
        <w:rPr>
          <w:rFonts w:ascii="Arial" w:hAnsi="Arial" w:cs="Arial"/>
          <w:sz w:val="22"/>
          <w:szCs w:val="22"/>
          <w:shd w:val="clear" w:color="auto" w:fill="FFFFFF"/>
        </w:rPr>
        <w:t>, kurioje yra numatytos šios Sutarties pratęsimo sąlygos:</w:t>
      </w:r>
    </w:p>
    <w:p w14:paraId="5CC4A00D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3.3.2. Paslaugų baziniai įkainiai sekančiam ketvirčiui perskaičiuojami ketvirčio pirmai dienai, atsižvelgiant:</w:t>
      </w:r>
    </w:p>
    <w:p w14:paraId="5CC4A00E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kai keičiasi Lietuvos Respublikos Vyriausybės nustatyta minimalioji mėnesinė alga;</w:t>
      </w:r>
    </w:p>
    <w:p w14:paraId="5CC4A00F" w14:textId="77777777" w:rsidR="00EF28D2" w:rsidRDefault="00FA308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eastAsia="Calibri" w:hAnsi="Arial" w:cs="Arial"/>
        </w:rPr>
        <w:t>Paslaugų bazinius įkainius perskaičiuoti pagal šią formulę:</w:t>
      </w:r>
    </w:p>
    <w:p w14:paraId="5CC4A010" w14:textId="77777777" w:rsidR="00EF28D2" w:rsidRDefault="00EF28D2">
      <w:pPr>
        <w:ind w:right="-46"/>
        <w:jc w:val="both"/>
        <w:rPr>
          <w:rFonts w:ascii="Arial" w:eastAsia="Calibri" w:hAnsi="Arial" w:cs="Arial"/>
        </w:rPr>
      </w:pPr>
    </w:p>
    <w:p w14:paraId="5CC4A011" w14:textId="77777777" w:rsidR="00EF28D2" w:rsidRDefault="00000000">
      <w:pPr>
        <w:ind w:firstLine="0"/>
        <w:jc w:val="center"/>
        <w:textAlignment w:val="auto"/>
        <w:rPr>
          <w:rFonts w:ascii="Arial" w:eastAsia="Calibri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5CC4A012" w14:textId="77777777" w:rsidR="00EF28D2" w:rsidRDefault="00EF28D2">
      <w:pPr>
        <w:pStyle w:val="ATekstas"/>
        <w:rPr>
          <w:rFonts w:ascii="Arial" w:hAnsi="Arial" w:cs="Arial"/>
          <w:sz w:val="22"/>
          <w:szCs w:val="22"/>
        </w:rPr>
      </w:pPr>
    </w:p>
    <w:p w14:paraId="5CC4A013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kurioje:</w:t>
      </w:r>
    </w:p>
    <w:p w14:paraId="5CC4A014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 – naujas Paslaugų bazinis įkainis;</w:t>
      </w:r>
    </w:p>
    <w:p w14:paraId="5CC4A015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– Sutarties įsigaliojimo metu galiojęs Paslaugų bazinis įkainis;</w:t>
      </w:r>
    </w:p>
    <w:p w14:paraId="5CC4A016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S1 – Lietuvos Respublikos Vyriausybės nustatyta minimalioji mėnesinė alga perskaičiavimo dieną;</w:t>
      </w:r>
    </w:p>
    <w:p w14:paraId="5CC4A017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alga; </w:t>
      </w:r>
    </w:p>
    <w:p w14:paraId="5CC4A018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0,56 – koeficientas, nusakantis minimaliosios mėnesio algos įtaką Paslaugų baziniam įkainiui;</w:t>
      </w:r>
    </w:p>
    <w:p w14:paraId="5CC4A019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 – Statistikos departamento paskelbta faktinė mažmeninė dyzelino mėnesinė kaina Paslaugų bazinių įkainių perskaičiavimo dieną;</w:t>
      </w:r>
    </w:p>
    <w:p w14:paraId="5CC4A01A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kaina;</w:t>
      </w:r>
    </w:p>
    <w:p w14:paraId="5CC4A01B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0,14 – koeficientas, nusakantis degalų kainų įtaką Paslaugų baziniam įkainiui.</w:t>
      </w:r>
    </w:p>
    <w:p w14:paraId="5CC4A01C" w14:textId="77777777" w:rsidR="00EF28D2" w:rsidRDefault="00EF28D2">
      <w:pPr>
        <w:ind w:firstLine="0"/>
        <w:jc w:val="center"/>
        <w:textAlignment w:val="auto"/>
        <w:rPr>
          <w:rFonts w:ascii="Arial" w:eastAsia="Calibri" w:hAnsi="Arial" w:cs="Arial"/>
        </w:rPr>
      </w:pPr>
    </w:p>
    <w:p w14:paraId="5CC4A01D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Paslaugų baziniai įkainiai po perskaičiavimo yra:</w:t>
      </w: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3564"/>
        <w:gridCol w:w="1523"/>
        <w:gridCol w:w="2002"/>
        <w:gridCol w:w="1984"/>
      </w:tblGrid>
      <w:tr w:rsidR="00EF28D2" w14:paraId="5CC4A023" w14:textId="77777777">
        <w:tc>
          <w:tcPr>
            <w:tcW w:w="566" w:type="dxa"/>
            <w:vAlign w:val="center"/>
          </w:tcPr>
          <w:p w14:paraId="5CC4A01E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64" w:type="dxa"/>
            <w:vAlign w:val="center"/>
          </w:tcPr>
          <w:p w14:paraId="5CC4A01F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vAlign w:val="center"/>
          </w:tcPr>
          <w:p w14:paraId="5CC4A020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vAlign w:val="center"/>
          </w:tcPr>
          <w:p w14:paraId="5CC4A021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vAlign w:val="center"/>
          </w:tcPr>
          <w:p w14:paraId="5CC4A022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EF28D2" w14:paraId="5CC4A029" w14:textId="77777777">
        <w:tc>
          <w:tcPr>
            <w:tcW w:w="566" w:type="dxa"/>
            <w:vAlign w:val="center"/>
          </w:tcPr>
          <w:p w14:paraId="5CC4A024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64" w:type="dxa"/>
            <w:vAlign w:val="center"/>
          </w:tcPr>
          <w:p w14:paraId="5CC4A025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vAlign w:val="center"/>
          </w:tcPr>
          <w:p w14:paraId="5CC4A026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27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28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A3089" w14:paraId="5CC4A02F" w14:textId="77777777">
        <w:tc>
          <w:tcPr>
            <w:tcW w:w="566" w:type="dxa"/>
            <w:vAlign w:val="center"/>
          </w:tcPr>
          <w:p w14:paraId="5CC4A02A" w14:textId="6EEDA729" w:rsidR="00FA3089" w:rsidRDefault="00FA3089" w:rsidP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64" w:type="dxa"/>
            <w:vAlign w:val="center"/>
          </w:tcPr>
          <w:p w14:paraId="5CC4A02B" w14:textId="77777777" w:rsidR="00FA3089" w:rsidRDefault="00FA3089" w:rsidP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priežiūra šalinant žabus ir žolinę augmeniją</w:t>
            </w:r>
            <w:bookmarkEnd w:id="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vAlign w:val="center"/>
          </w:tcPr>
          <w:p w14:paraId="5CC4A02C" w14:textId="77777777" w:rsidR="00FA3089" w:rsidRDefault="00FA3089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1C27672E" w14:textId="77777777" w:rsidR="00CA19AE" w:rsidRPr="00CA19AE" w:rsidRDefault="00CA19AE" w:rsidP="00CA19AE">
            <w:pPr>
              <w:ind w:firstLine="0"/>
              <w:jc w:val="center"/>
              <w:textAlignment w:val="auto"/>
              <w:rPr>
                <w:rFonts w:ascii="Arial" w:hAnsi="Arial" w:cs="Arial"/>
                <w:bCs/>
              </w:rPr>
            </w:pPr>
            <w:r w:rsidRPr="00CA19AE">
              <w:rPr>
                <w:rFonts w:ascii="Arial" w:hAnsi="Arial" w:cs="Arial"/>
                <w:bCs/>
              </w:rPr>
              <w:t>229,14</w:t>
            </w:r>
          </w:p>
          <w:p w14:paraId="5CC4A02D" w14:textId="0CAF56F4" w:rsidR="00FA3089" w:rsidRPr="00CA19AE" w:rsidRDefault="00FA3089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1C369C0" w14:textId="77777777" w:rsidR="00CA19AE" w:rsidRPr="00CA19AE" w:rsidRDefault="00CA19AE" w:rsidP="00CA19AE">
            <w:pPr>
              <w:ind w:firstLine="0"/>
              <w:jc w:val="center"/>
              <w:textAlignment w:val="auto"/>
              <w:rPr>
                <w:rFonts w:ascii="Arial" w:hAnsi="Arial" w:cs="Arial"/>
              </w:rPr>
            </w:pPr>
            <w:r w:rsidRPr="00CA19AE">
              <w:rPr>
                <w:rFonts w:ascii="Arial" w:hAnsi="Arial" w:cs="Arial"/>
              </w:rPr>
              <w:t>277,26</w:t>
            </w:r>
          </w:p>
          <w:p w14:paraId="5CC4A02E" w14:textId="29571437" w:rsidR="00FA3089" w:rsidRPr="00CA19AE" w:rsidRDefault="00FA3089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A3089" w14:paraId="5CC4A036" w14:textId="77777777">
        <w:tc>
          <w:tcPr>
            <w:tcW w:w="566" w:type="dxa"/>
            <w:vAlign w:val="center"/>
          </w:tcPr>
          <w:p w14:paraId="5CC4A030" w14:textId="13E252A6" w:rsidR="00FA3089" w:rsidRDefault="00FA3089" w:rsidP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64" w:type="dxa"/>
            <w:vAlign w:val="center"/>
          </w:tcPr>
          <w:p w14:paraId="5CC4A031" w14:textId="77777777" w:rsidR="00FA3089" w:rsidRDefault="00FA3089" w:rsidP="00FA3089">
            <w:pPr>
              <w:widowControl w:val="0"/>
              <w:ind w:firstLine="0"/>
              <w:jc w:val="both"/>
            </w:pPr>
            <w:r>
              <w:rPr>
                <w:rFonts w:ascii="Arial" w:hAnsi="Arial" w:cs="Arial"/>
              </w:rPr>
              <w:t>Jaunuolyn</w:t>
            </w:r>
            <w:r>
              <w:rPr>
                <w:rFonts w:ascii="Arial" w:hAnsi="Arial"/>
              </w:rPr>
              <w:t>ų ugdymas ir/ar retinimo kirtimai, negaminant likvidinės medienos</w:t>
            </w:r>
          </w:p>
          <w:p w14:paraId="5CC4A032" w14:textId="77777777" w:rsidR="00FA3089" w:rsidRDefault="00FA3089" w:rsidP="00FA3089">
            <w:pPr>
              <w:widowControl w:val="0"/>
              <w:ind w:firstLine="0"/>
              <w:rPr>
                <w:rFonts w:ascii="Arial" w:hAnsi="Arial" w:cs="Arial"/>
              </w:rPr>
            </w:pPr>
          </w:p>
        </w:tc>
        <w:tc>
          <w:tcPr>
            <w:tcW w:w="1523" w:type="dxa"/>
            <w:vAlign w:val="center"/>
          </w:tcPr>
          <w:p w14:paraId="5CC4A033" w14:textId="77777777" w:rsidR="00FA3089" w:rsidRDefault="00FA3089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A7BA460" w14:textId="77777777" w:rsidR="00CA19AE" w:rsidRPr="00CA19AE" w:rsidRDefault="00CA19AE" w:rsidP="00CA19AE">
            <w:pPr>
              <w:ind w:firstLine="0"/>
              <w:jc w:val="center"/>
              <w:textAlignment w:val="auto"/>
              <w:rPr>
                <w:rFonts w:ascii="Arial" w:hAnsi="Arial" w:cs="Arial"/>
                <w:bCs/>
              </w:rPr>
            </w:pPr>
            <w:r w:rsidRPr="00CA19AE">
              <w:rPr>
                <w:rFonts w:ascii="Arial" w:hAnsi="Arial" w:cs="Arial"/>
                <w:bCs/>
              </w:rPr>
              <w:t>275,36</w:t>
            </w:r>
          </w:p>
          <w:p w14:paraId="5CC4A034" w14:textId="5E1ACBDD" w:rsidR="00FA3089" w:rsidRPr="00CA19AE" w:rsidRDefault="00FA3089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0A4A262" w14:textId="77777777" w:rsidR="00CA19AE" w:rsidRPr="00CA19AE" w:rsidRDefault="00CA19AE" w:rsidP="00CA19AE">
            <w:pPr>
              <w:ind w:firstLine="0"/>
              <w:jc w:val="center"/>
              <w:textAlignment w:val="auto"/>
              <w:rPr>
                <w:rFonts w:ascii="Arial" w:hAnsi="Arial" w:cs="Arial"/>
              </w:rPr>
            </w:pPr>
            <w:r w:rsidRPr="00CA19AE">
              <w:rPr>
                <w:rFonts w:ascii="Arial" w:hAnsi="Arial" w:cs="Arial"/>
              </w:rPr>
              <w:t>333,18</w:t>
            </w:r>
          </w:p>
          <w:p w14:paraId="5CC4A035" w14:textId="3DA7815E" w:rsidR="00FA3089" w:rsidRPr="00CA19AE" w:rsidRDefault="00FA3089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3C" w14:textId="77777777">
        <w:tc>
          <w:tcPr>
            <w:tcW w:w="566" w:type="dxa"/>
            <w:vAlign w:val="center"/>
          </w:tcPr>
          <w:p w14:paraId="5CC4A037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64" w:type="dxa"/>
          </w:tcPr>
          <w:p w14:paraId="5CC4A038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Griovių šlaitų ir pagriovių priežiūra</w:t>
            </w:r>
          </w:p>
        </w:tc>
        <w:tc>
          <w:tcPr>
            <w:tcW w:w="1523" w:type="dxa"/>
            <w:vAlign w:val="center"/>
          </w:tcPr>
          <w:p w14:paraId="5CC4A039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3A" w14:textId="77777777" w:rsidR="00EF28D2" w:rsidRPr="00FA3089" w:rsidRDefault="00EF28D2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3B" w14:textId="77777777" w:rsidR="00EF28D2" w:rsidRPr="00FA3089" w:rsidRDefault="00EF28D2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42" w14:textId="77777777" w:rsidTr="00FA3089">
        <w:tc>
          <w:tcPr>
            <w:tcW w:w="566" w:type="dxa"/>
            <w:vAlign w:val="center"/>
          </w:tcPr>
          <w:p w14:paraId="5CC4A03D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3564" w:type="dxa"/>
            <w:vAlign w:val="center"/>
          </w:tcPr>
          <w:p w14:paraId="5CC4A03E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Pakelių priežiūra</w:t>
            </w:r>
          </w:p>
        </w:tc>
        <w:tc>
          <w:tcPr>
            <w:tcW w:w="1523" w:type="dxa"/>
            <w:vAlign w:val="center"/>
          </w:tcPr>
          <w:p w14:paraId="5CC4A03F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5CC4A040" w14:textId="6DD91428" w:rsidR="00EF28D2" w:rsidRPr="00FA3089" w:rsidRDefault="00EF28D2" w:rsidP="00FA3089">
            <w:pPr>
              <w:ind w:firstLine="0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Align w:val="center"/>
          </w:tcPr>
          <w:p w14:paraId="5CC4A041" w14:textId="450BB986" w:rsidR="00EF28D2" w:rsidRPr="00FA3089" w:rsidRDefault="00EF28D2" w:rsidP="00FA3089">
            <w:pPr>
              <w:ind w:firstLine="0"/>
              <w:jc w:val="center"/>
              <w:textAlignment w:val="auto"/>
              <w:rPr>
                <w:rFonts w:ascii="Arial" w:hAnsi="Arial" w:cs="Arial"/>
              </w:rPr>
            </w:pPr>
          </w:p>
        </w:tc>
      </w:tr>
      <w:tr w:rsidR="00EF28D2" w14:paraId="5CC4A048" w14:textId="77777777">
        <w:tc>
          <w:tcPr>
            <w:tcW w:w="566" w:type="dxa"/>
            <w:vAlign w:val="center"/>
          </w:tcPr>
          <w:p w14:paraId="5CC4A043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64" w:type="dxa"/>
          </w:tcPr>
          <w:p w14:paraId="5CC4A044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Kvartalinių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ribinių linijų priežiūra</w:t>
            </w:r>
          </w:p>
        </w:tc>
        <w:tc>
          <w:tcPr>
            <w:tcW w:w="1523" w:type="dxa"/>
            <w:vAlign w:val="center"/>
          </w:tcPr>
          <w:p w14:paraId="5CC4A045" w14:textId="7D081670" w:rsidR="00EF28D2" w:rsidRDefault="00FA3089" w:rsidP="00CA19A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2B49E644" w14:textId="77777777" w:rsidR="00CA19AE" w:rsidRPr="00CA19AE" w:rsidRDefault="00CA19AE" w:rsidP="00CA19AE">
            <w:pPr>
              <w:ind w:firstLine="0"/>
              <w:jc w:val="center"/>
              <w:textAlignment w:val="auto"/>
              <w:rPr>
                <w:rFonts w:ascii="Arial" w:hAnsi="Arial" w:cs="Arial"/>
                <w:bCs/>
              </w:rPr>
            </w:pPr>
            <w:r w:rsidRPr="00CA19AE">
              <w:rPr>
                <w:rFonts w:ascii="Arial" w:hAnsi="Arial" w:cs="Arial"/>
                <w:bCs/>
              </w:rPr>
              <w:t>113,09</w:t>
            </w:r>
          </w:p>
          <w:p w14:paraId="5CC4A046" w14:textId="77777777" w:rsidR="00EF28D2" w:rsidRPr="00CA19AE" w:rsidRDefault="00EF28D2" w:rsidP="00CA19A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58845C6" w14:textId="77777777" w:rsidR="00CA19AE" w:rsidRPr="00CA19AE" w:rsidRDefault="00CA19AE" w:rsidP="00CA19AE">
            <w:pPr>
              <w:ind w:firstLine="0"/>
              <w:jc w:val="center"/>
              <w:textAlignment w:val="auto"/>
              <w:rPr>
                <w:rFonts w:ascii="Arial" w:hAnsi="Arial" w:cs="Arial"/>
              </w:rPr>
            </w:pPr>
            <w:r w:rsidRPr="00CA19AE">
              <w:rPr>
                <w:rFonts w:ascii="Arial" w:hAnsi="Arial" w:cs="Arial"/>
              </w:rPr>
              <w:t>136,84</w:t>
            </w:r>
          </w:p>
          <w:p w14:paraId="5CC4A047" w14:textId="77777777" w:rsidR="00EF28D2" w:rsidRPr="00CA19AE" w:rsidRDefault="00EF28D2" w:rsidP="00CA19A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4E" w14:textId="77777777">
        <w:tc>
          <w:tcPr>
            <w:tcW w:w="566" w:type="dxa"/>
            <w:vAlign w:val="center"/>
          </w:tcPr>
          <w:p w14:paraId="5CC4A049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64" w:type="dxa"/>
          </w:tcPr>
          <w:p w14:paraId="5CC4A04A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vAlign w:val="center"/>
          </w:tcPr>
          <w:p w14:paraId="5CC4A04B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4C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4D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54" w14:textId="77777777">
        <w:tc>
          <w:tcPr>
            <w:tcW w:w="566" w:type="dxa"/>
            <w:vAlign w:val="center"/>
          </w:tcPr>
          <w:p w14:paraId="5CC4A04F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64" w:type="dxa"/>
          </w:tcPr>
          <w:p w14:paraId="5CC4A050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Miško atkūrimas, įveisimas ir atsodinimas (medžių ir krūmų sodinimas)</w:t>
            </w:r>
          </w:p>
        </w:tc>
        <w:tc>
          <w:tcPr>
            <w:tcW w:w="1523" w:type="dxa"/>
            <w:vAlign w:val="center"/>
          </w:tcPr>
          <w:p w14:paraId="5CC4A051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5CC4A052" w14:textId="74B66F22" w:rsidR="00EF28D2" w:rsidRDefault="00EF28D2" w:rsidP="00AB290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53" w14:textId="2D2EBA86" w:rsidR="00EF28D2" w:rsidRDefault="00EF28D2" w:rsidP="00AB290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5A" w14:textId="77777777">
        <w:tc>
          <w:tcPr>
            <w:tcW w:w="566" w:type="dxa"/>
            <w:vAlign w:val="center"/>
          </w:tcPr>
          <w:p w14:paraId="5CC4A055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64" w:type="dxa"/>
            <w:vAlign w:val="center"/>
          </w:tcPr>
          <w:p w14:paraId="5CC4A056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bei vabzdžių daromos žalos</w:t>
            </w:r>
          </w:p>
        </w:tc>
        <w:tc>
          <w:tcPr>
            <w:tcW w:w="1523" w:type="dxa"/>
            <w:vAlign w:val="center"/>
          </w:tcPr>
          <w:p w14:paraId="5CC4A057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5CC4A058" w14:textId="426CAFD1" w:rsidR="00EF28D2" w:rsidRDefault="00EF28D2" w:rsidP="00AB290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59" w14:textId="15D25DFF" w:rsidR="00EF28D2" w:rsidRDefault="00EF28D2" w:rsidP="00AB290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60" w14:textId="77777777">
        <w:tc>
          <w:tcPr>
            <w:tcW w:w="566" w:type="dxa"/>
            <w:vAlign w:val="center"/>
          </w:tcPr>
          <w:p w14:paraId="5CC4A05B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64" w:type="dxa"/>
          </w:tcPr>
          <w:p w14:paraId="5CC4A05C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vAlign w:val="center"/>
          </w:tcPr>
          <w:p w14:paraId="5CC4A05D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5CC4A05E" w14:textId="3874DB44" w:rsidR="00EF28D2" w:rsidRDefault="00EF28D2" w:rsidP="00E3053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5F" w14:textId="14EF3945" w:rsidR="00EF28D2" w:rsidRDefault="00EF28D2" w:rsidP="00E3053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66" w14:textId="77777777">
        <w:tc>
          <w:tcPr>
            <w:tcW w:w="566" w:type="dxa"/>
            <w:vAlign w:val="center"/>
          </w:tcPr>
          <w:p w14:paraId="5CC4A061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64" w:type="dxa"/>
          </w:tcPr>
          <w:p w14:paraId="5CC4A062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vAlign w:val="center"/>
          </w:tcPr>
          <w:p w14:paraId="5CC4A063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vAlign w:val="center"/>
          </w:tcPr>
          <w:p w14:paraId="5CC4A064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65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6C" w14:textId="77777777">
        <w:tc>
          <w:tcPr>
            <w:tcW w:w="566" w:type="dxa"/>
            <w:vAlign w:val="center"/>
          </w:tcPr>
          <w:p w14:paraId="5CC4A067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64" w:type="dxa"/>
          </w:tcPr>
          <w:p w14:paraId="5CC4A068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</w:p>
        </w:tc>
        <w:tc>
          <w:tcPr>
            <w:tcW w:w="1523" w:type="dxa"/>
            <w:vAlign w:val="center"/>
          </w:tcPr>
          <w:p w14:paraId="5CC4A069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5CC4A06A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6B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CC4A06D" w14:textId="77777777" w:rsidR="00EF28D2" w:rsidRDefault="00EF28D2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5CC4A06E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Kitos Sutarties sąlygos ir naudojamų sąvokų reikšmės nekeičiamos.</w:t>
      </w:r>
    </w:p>
    <w:p w14:paraId="5CC4A06F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Susitarimas yra laikomas neatskiriama Sutarties dalimi.</w:t>
      </w:r>
    </w:p>
    <w:p w14:paraId="5CC4A070" w14:textId="77777777" w:rsidR="00EF28D2" w:rsidRDefault="00FA3089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6. Susitarimas surašytas dviem vienodą juridinę galią turinčiais egzemplioriais ir įsigalioja, kai jį pasirašo ir antspaudais patvirtina Šalių tinkamai įgalioti atstovai.</w:t>
      </w:r>
    </w:p>
    <w:p w14:paraId="5CC4A071" w14:textId="77777777" w:rsidR="00EF28D2" w:rsidRDefault="00FA3089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              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1231"/>
        <w:gridCol w:w="3812"/>
      </w:tblGrid>
      <w:tr w:rsidR="00EF28D2" w14:paraId="5CC4A075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2" w14:textId="77777777" w:rsidR="00EF28D2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2" w:name="_Hlk524350057"/>
            <w:bookmarkEnd w:id="2"/>
            <w:r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3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4" w14:textId="77777777" w:rsidR="00EF28D2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EF28D2" w14:paraId="5CC4A079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6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7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8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3" w:name="_Hlk524350057_Copy_1"/>
            <w:bookmarkEnd w:id="3"/>
          </w:p>
        </w:tc>
      </w:tr>
      <w:bookmarkStart w:id="4" w:name="_Hlk24373229"/>
      <w:tr w:rsidR="00EF28D2" w14:paraId="5CC4A07D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A" w14:textId="77777777" w:rsidR="00EF28D2" w:rsidRDefault="00000000" w:rsidP="008A51E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108" w:firstLine="0"/>
              <w:textAlignment w:val="auto"/>
              <w:rPr>
                <w:shd w:val="clear" w:color="auto" w:fill="FFFFFF"/>
              </w:rPr>
            </w:pPr>
            <w:sdt>
              <w:sdtPr>
                <w:id w:val="-1408142902"/>
              </w:sdtPr>
              <w:sdtContent>
                <w:r w:rsidR="00FA3089">
                  <w:rPr>
                    <w:rFonts w:ascii="Arial" w:hAnsi="Arial" w:cs="Arial"/>
                    <w:sz w:val="24"/>
                    <w:szCs w:val="24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4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B" w14:textId="2A646CC1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C" w14:textId="2049928D" w:rsidR="00EF28D2" w:rsidRDefault="00AD3521" w:rsidP="00AD352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366" w:firstLine="141"/>
              <w:textAlignment w:val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="00CE0FA1">
              <w:rPr>
                <w:rFonts w:ascii="Arial" w:eastAsia="Calibri" w:hAnsi="Arial" w:cs="Arial"/>
                <w:sz w:val="24"/>
                <w:szCs w:val="24"/>
              </w:rPr>
              <w:t>MB „“</w:t>
            </w:r>
          </w:p>
        </w:tc>
      </w:tr>
    </w:tbl>
    <w:p w14:paraId="5CC4A07E" w14:textId="16D5CF6A" w:rsidR="00EF28D2" w:rsidRDefault="00FA3089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Buveinės adresas: Vilniaus g. 22, LT-13116 </w:t>
      </w:r>
      <w:r>
        <w:rPr>
          <w:rFonts w:ascii="Arial" w:eastAsia="Calibri" w:hAnsi="Arial" w:cs="Arial"/>
          <w:sz w:val="24"/>
          <w:szCs w:val="24"/>
        </w:rPr>
        <w:tab/>
      </w:r>
    </w:p>
    <w:p w14:paraId="5CC4A07F" w14:textId="6D3F87E1" w:rsidR="00EF28D2" w:rsidRDefault="00FA3089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Mickūnai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7751B6">
        <w:rPr>
          <w:rFonts w:ascii="Arial" w:eastAsia="Calibri" w:hAnsi="Arial" w:cs="Arial"/>
          <w:sz w:val="24"/>
          <w:szCs w:val="24"/>
        </w:rPr>
        <w:tab/>
      </w:r>
      <w:r w:rsidR="00CE0FA1">
        <w:rPr>
          <w:rFonts w:ascii="Arial" w:eastAsia="Calibri" w:hAnsi="Arial" w:cs="Arial"/>
          <w:sz w:val="24"/>
          <w:szCs w:val="24"/>
        </w:rPr>
        <w:t>Įmonės kodas:</w:t>
      </w:r>
      <w:r>
        <w:rPr>
          <w:rFonts w:ascii="Arial" w:eastAsia="Calibri" w:hAnsi="Arial" w:cs="Arial"/>
          <w:sz w:val="24"/>
          <w:szCs w:val="24"/>
        </w:rPr>
        <w:tab/>
      </w:r>
    </w:p>
    <w:p w14:paraId="5CC4A080" w14:textId="394CA6B2" w:rsidR="00EF28D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A.s</w:t>
      </w:r>
      <w:proofErr w:type="spellEnd"/>
      <w:r>
        <w:rPr>
          <w:rFonts w:ascii="Arial" w:eastAsia="Calibri" w:hAnsi="Arial" w:cs="Arial"/>
          <w:sz w:val="24"/>
          <w:szCs w:val="24"/>
        </w:rPr>
        <w:t>. LT06 7044 0600 0819 3483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CE0FA1">
        <w:rPr>
          <w:rFonts w:ascii="Arial" w:eastAsia="Calibri" w:hAnsi="Arial" w:cs="Arial"/>
          <w:sz w:val="24"/>
          <w:szCs w:val="24"/>
        </w:rPr>
        <w:t xml:space="preserve">PVM mokėtojo kodas: </w:t>
      </w:r>
    </w:p>
    <w:p w14:paraId="6C847849" w14:textId="4CA3BA21" w:rsidR="00CE0FA1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AB SEB bankas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proofErr w:type="spellStart"/>
      <w:r>
        <w:rPr>
          <w:rFonts w:ascii="Arial" w:eastAsia="Calibri" w:hAnsi="Arial" w:cs="Arial"/>
          <w:sz w:val="24"/>
          <w:szCs w:val="24"/>
        </w:rPr>
        <w:t>A.s</w:t>
      </w:r>
      <w:proofErr w:type="spellEnd"/>
    </w:p>
    <w:p w14:paraId="5CC4A082" w14:textId="4028580F" w:rsidR="00EF28D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Įmonės kodas 132340880</w:t>
      </w:r>
      <w:r>
        <w:rPr>
          <w:rFonts w:ascii="Arial" w:eastAsia="Calibri" w:hAnsi="Arial" w:cs="Arial"/>
          <w:sz w:val="24"/>
          <w:szCs w:val="24"/>
        </w:rPr>
        <w:tab/>
        <w:t xml:space="preserve">   </w:t>
      </w:r>
      <w:r w:rsidR="00CE0FA1">
        <w:rPr>
          <w:rFonts w:ascii="Arial" w:eastAsia="Calibri" w:hAnsi="Arial" w:cs="Arial"/>
          <w:sz w:val="24"/>
          <w:szCs w:val="24"/>
        </w:rPr>
        <w:t xml:space="preserve">                 AB </w:t>
      </w:r>
    </w:p>
    <w:p w14:paraId="5CC4A083" w14:textId="66C709A5" w:rsidR="00EF28D2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PVM mokėtojo kodas LT323408811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Tel.</w:t>
      </w:r>
      <w:r>
        <w:rPr>
          <w:rFonts w:ascii="Arial" w:eastAsia="Calibri" w:hAnsi="Arial" w:cs="Arial"/>
          <w:sz w:val="24"/>
          <w:szCs w:val="24"/>
        </w:rPr>
        <w:tab/>
      </w:r>
    </w:p>
    <w:p w14:paraId="5CC4A084" w14:textId="77777777" w:rsidR="00EF28D2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Tel. +370 68633406</w:t>
      </w:r>
    </w:p>
    <w:p w14:paraId="5CC4A085" w14:textId="7CC9E2BE" w:rsidR="00EF28D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Style w:val="Hipersaitas"/>
        </w:rPr>
      </w:pPr>
      <w:r>
        <w:rPr>
          <w:rFonts w:ascii="Arial" w:eastAsia="Calibri" w:hAnsi="Arial" w:cs="Arial"/>
          <w:sz w:val="24"/>
          <w:szCs w:val="24"/>
        </w:rPr>
        <w:t xml:space="preserve">El. paštas: </w:t>
      </w:r>
      <w:hyperlink r:id="rId6">
        <w:r>
          <w:rPr>
            <w:rStyle w:val="Hipersaitas"/>
            <w:rFonts w:ascii="Arial" w:eastAsia="Calibri" w:hAnsi="Arial" w:cs="Arial"/>
            <w:sz w:val="24"/>
            <w:szCs w:val="24"/>
          </w:rPr>
          <w:t>nemencine@vmu.lt</w:t>
        </w:r>
      </w:hyperlink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                    El. paštas</w:t>
      </w:r>
    </w:p>
    <w:p w14:paraId="677683D5" w14:textId="77777777" w:rsidR="008A51E1" w:rsidRPr="008A51E1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8A51E1">
        <w:rPr>
          <w:rFonts w:ascii="Arial" w:eastAsia="Calibri" w:hAnsi="Arial" w:cs="Arial"/>
          <w:sz w:val="24"/>
          <w:szCs w:val="24"/>
        </w:rPr>
        <w:t xml:space="preserve">Nemenčinės RP vadovas, vykdantis </w:t>
      </w:r>
    </w:p>
    <w:p w14:paraId="5CC4A088" w14:textId="3A9B9915" w:rsidR="00EF28D2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8A51E1">
        <w:rPr>
          <w:rFonts w:ascii="Arial" w:eastAsia="Calibri" w:hAnsi="Arial" w:cs="Arial"/>
          <w:sz w:val="24"/>
          <w:szCs w:val="24"/>
        </w:rPr>
        <w:t>Švenčionėlių RP vadovo funkcijas</w:t>
      </w:r>
    </w:p>
    <w:p w14:paraId="7E4C96DD" w14:textId="77777777" w:rsidR="00CE0FA1" w:rsidRDefault="00CE0FA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5CC4A089" w14:textId="77777777" w:rsidR="00EF28D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----------------------------------------                           -----------------------------------------</w:t>
      </w:r>
    </w:p>
    <w:p w14:paraId="5CC4A08A" w14:textId="680C9120" w:rsidR="00EF28D2" w:rsidRDefault="00FA3089" w:rsidP="00CE0FA1">
      <w:pPr>
        <w:spacing w:after="280"/>
        <w:ind w:firstLine="0"/>
        <w:jc w:val="both"/>
        <w:rPr>
          <w:rFonts w:ascii="Arial" w:hAnsi="Arial" w:cs="Arial"/>
          <w:lang w:eastAsia="lt-LT"/>
        </w:rPr>
      </w:pPr>
      <w:r>
        <w:rPr>
          <w:rFonts w:ascii="Arial" w:eastAsia="Calibri" w:hAnsi="Arial" w:cs="Arial"/>
          <w:bCs/>
          <w:color w:val="000000"/>
          <w:sz w:val="24"/>
          <w:szCs w:val="24"/>
          <w:lang w:eastAsia="lt-LT"/>
        </w:rPr>
        <w:t>Giedrius Grincevičius</w:t>
      </w:r>
      <w:r>
        <w:rPr>
          <w:rFonts w:ascii="Arial" w:eastAsia="Calibri" w:hAnsi="Arial" w:cs="Arial"/>
          <w:bCs/>
          <w:color w:val="C9211E"/>
          <w:sz w:val="24"/>
          <w:szCs w:val="24"/>
          <w:lang w:eastAsia="lt-LT"/>
        </w:rPr>
        <w:tab/>
      </w:r>
      <w:r>
        <w:rPr>
          <w:rFonts w:ascii="Arial" w:eastAsia="Calibri" w:hAnsi="Arial" w:cs="Arial"/>
          <w:bCs/>
          <w:color w:val="000000"/>
          <w:sz w:val="24"/>
          <w:szCs w:val="24"/>
          <w:lang w:eastAsia="lt-LT"/>
        </w:rPr>
        <w:tab/>
      </w:r>
      <w:r>
        <w:rPr>
          <w:rFonts w:ascii="Arial" w:eastAsia="Calibri" w:hAnsi="Arial" w:cs="Arial"/>
          <w:bCs/>
          <w:color w:val="000000"/>
          <w:sz w:val="24"/>
          <w:szCs w:val="24"/>
          <w:lang w:eastAsia="lt-LT"/>
        </w:rPr>
        <w:tab/>
      </w:r>
    </w:p>
    <w:p w14:paraId="5CC4A08B" w14:textId="77777777" w:rsidR="00EF28D2" w:rsidRDefault="00EF28D2">
      <w:pPr>
        <w:spacing w:after="280"/>
        <w:jc w:val="both"/>
        <w:rPr>
          <w:rFonts w:ascii="Arial" w:hAnsi="Arial" w:cs="Arial"/>
          <w:lang w:eastAsia="lt-LT"/>
        </w:rPr>
      </w:pPr>
    </w:p>
    <w:p w14:paraId="5CC4A08C" w14:textId="77777777" w:rsidR="00EF28D2" w:rsidRDefault="00EF28D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EF28D2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3A5DB3"/>
    <w:multiLevelType w:val="multilevel"/>
    <w:tmpl w:val="C6B248BE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2597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D2"/>
    <w:rsid w:val="001A3A76"/>
    <w:rsid w:val="007751B6"/>
    <w:rsid w:val="008A51E1"/>
    <w:rsid w:val="00AB2903"/>
    <w:rsid w:val="00AD3521"/>
    <w:rsid w:val="00B374AB"/>
    <w:rsid w:val="00CA19AE"/>
    <w:rsid w:val="00CE0FA1"/>
    <w:rsid w:val="00E3053E"/>
    <w:rsid w:val="00EA1166"/>
    <w:rsid w:val="00EF28D2"/>
    <w:rsid w:val="00FA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A006"/>
  <w15:docId w15:val="{19D0D45B-B820-477E-B49B-C417BC68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31C4C"/>
    <w:rsid w:val="00167A6A"/>
    <w:rsid w:val="001A3A76"/>
    <w:rsid w:val="001F3395"/>
    <w:rsid w:val="00301BBB"/>
    <w:rsid w:val="004A0A27"/>
    <w:rsid w:val="004F64A4"/>
    <w:rsid w:val="0065514A"/>
    <w:rsid w:val="006A028A"/>
    <w:rsid w:val="00735130"/>
    <w:rsid w:val="007865A6"/>
    <w:rsid w:val="00866872"/>
    <w:rsid w:val="009229B9"/>
    <w:rsid w:val="00980FC6"/>
    <w:rsid w:val="00A352CC"/>
    <w:rsid w:val="00AB3B17"/>
    <w:rsid w:val="00B60DCF"/>
    <w:rsid w:val="00C945EA"/>
    <w:rsid w:val="00C94D12"/>
    <w:rsid w:val="00D534D8"/>
    <w:rsid w:val="00E24634"/>
    <w:rsid w:val="00E4103E"/>
    <w:rsid w:val="00E46CC7"/>
    <w:rsid w:val="00EC5473"/>
    <w:rsid w:val="00EF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3CB9A-522D-4335-BF67-F6E0B314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2885</Words>
  <Characters>1645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3</cp:revision>
  <dcterms:created xsi:type="dcterms:W3CDTF">2024-11-11T11:08:00Z</dcterms:created>
  <dcterms:modified xsi:type="dcterms:W3CDTF">2024-11-11T11:13:00Z</dcterms:modified>
  <dc:language>lt-LT</dc:language>
</cp:coreProperties>
</file>