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04CCE456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-03-29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8F708B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61-VP-2755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69A44E4" w:rsidR="001A0FD4" w:rsidRDefault="005702D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__10__Nr.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6704E164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4B375A01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B42FD1">
            <w:rPr>
              <w:rFonts w:ascii="Arial" w:hAnsi="Arial" w:cs="Arial"/>
              <w:sz w:val="22"/>
              <w:szCs w:val="22"/>
              <w:shd w:val="clear" w:color="auto" w:fill="FFFFFF"/>
            </w:rPr>
            <w:t>2024 m. kovo 29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8F708B">
            <w:rPr>
              <w:rFonts w:ascii="Arial" w:hAnsi="Arial" w:cs="Arial"/>
              <w:sz w:val="22"/>
              <w:szCs w:val="22"/>
              <w:shd w:val="clear" w:color="auto" w:fill="FFFFFF"/>
            </w:rPr>
            <w:t>61-VP-2755</w:t>
          </w:r>
          <w:r w:rsidR="00B42FD1">
            <w:rPr>
              <w:rFonts w:ascii="Arial" w:hAnsi="Arial" w:cs="Arial"/>
              <w:sz w:val="22"/>
              <w:szCs w:val="22"/>
              <w:shd w:val="clear" w:color="auto" w:fill="FFFFFF"/>
            </w:rPr>
            <w:t>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0C63E89F" w:rsidR="001A0FD4" w:rsidRPr="004E2672" w:rsidRDefault="008F708B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166,34</w:t>
            </w:r>
          </w:p>
        </w:tc>
        <w:tc>
          <w:tcPr>
            <w:tcW w:w="1984" w:type="dxa"/>
            <w:vAlign w:val="center"/>
          </w:tcPr>
          <w:p w14:paraId="4E7E97B3" w14:textId="4E6C5501" w:rsidR="001A0FD4" w:rsidRPr="004E2672" w:rsidRDefault="008F708B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201,27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2E3051DB" w:rsidR="001A0FD4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18,70</w:t>
            </w:r>
          </w:p>
        </w:tc>
        <w:tc>
          <w:tcPr>
            <w:tcW w:w="1984" w:type="dxa"/>
            <w:vAlign w:val="center"/>
          </w:tcPr>
          <w:p w14:paraId="4E7E97B9" w14:textId="6F12D223" w:rsidR="001A0FD4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22,63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4147A6E0" w:rsidR="001A0FD4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</w:p>
        </w:tc>
      </w:tr>
    </w:tbl>
    <w:p w14:paraId="4E7E97DF" w14:textId="74D9A847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5D19A1E1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3B6418C5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0A1703DA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2FFB8435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5F0BC011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 +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60D42BB5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469DAF4C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635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1A0FD4"/>
    <w:rsid w:val="001A3A76"/>
    <w:rsid w:val="004E2672"/>
    <w:rsid w:val="005702D1"/>
    <w:rsid w:val="007A67FC"/>
    <w:rsid w:val="008002DC"/>
    <w:rsid w:val="008F708B"/>
    <w:rsid w:val="009E01D7"/>
    <w:rsid w:val="00A673A2"/>
    <w:rsid w:val="00B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45CE"/>
    <w:rsid w:val="000F13A1"/>
    <w:rsid w:val="000F1ED5"/>
    <w:rsid w:val="00131C4C"/>
    <w:rsid w:val="00167A6A"/>
    <w:rsid w:val="001A3A76"/>
    <w:rsid w:val="001F3395"/>
    <w:rsid w:val="00283638"/>
    <w:rsid w:val="00301BBB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A725-835D-4302-A26D-7919081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2917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2024-11-11T12:35:00Z</dcterms:created>
  <dcterms:modified xsi:type="dcterms:W3CDTF">2024-11-11T12:39:00Z</dcterms:modified>
  <dc:language>lt-LT</dc:language>
</cp:coreProperties>
</file>