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6EE6D" w14:textId="77777777" w:rsidR="00EA245A" w:rsidRPr="002666A7" w:rsidRDefault="00842E22" w:rsidP="00EA245A">
      <w:pPr>
        <w:jc w:val="center"/>
        <w:rPr>
          <w:b/>
        </w:rPr>
      </w:pPr>
      <w:r w:rsidRPr="002666A7">
        <w:rPr>
          <w:b/>
        </w:rPr>
        <w:t>TECHNINĖ SPECIFIKACIJA</w:t>
      </w:r>
    </w:p>
    <w:p w14:paraId="17C5B0D4" w14:textId="77777777" w:rsidR="00842E22" w:rsidRPr="002666A7" w:rsidRDefault="00842E22" w:rsidP="007626E6">
      <w:pPr>
        <w:jc w:val="center"/>
        <w:rPr>
          <w:b/>
        </w:rPr>
      </w:pPr>
    </w:p>
    <w:p w14:paraId="161D77C8" w14:textId="77777777" w:rsidR="00842E22" w:rsidRPr="002666A7" w:rsidRDefault="00842E22" w:rsidP="007626E6">
      <w:pPr>
        <w:pStyle w:val="Pagrindinistekstas"/>
        <w:spacing w:after="0"/>
        <w:jc w:val="center"/>
        <w:rPr>
          <w:b/>
        </w:rPr>
      </w:pPr>
      <w:r w:rsidRPr="002666A7">
        <w:rPr>
          <w:b/>
        </w:rPr>
        <w:t>I. PERKAMŲ PASLAUGŲ APIMTIS IR TEIKIMO TVARKA</w:t>
      </w:r>
    </w:p>
    <w:p w14:paraId="0388E111" w14:textId="77777777" w:rsidR="00842E22" w:rsidRPr="002666A7" w:rsidRDefault="00842E22" w:rsidP="007626E6">
      <w:pPr>
        <w:pStyle w:val="Pagrindinistekstas"/>
        <w:spacing w:after="0"/>
        <w:jc w:val="center"/>
        <w:rPr>
          <w:b/>
        </w:rPr>
      </w:pPr>
    </w:p>
    <w:p w14:paraId="352EFF80" w14:textId="221EF96E" w:rsidR="00842E22" w:rsidRPr="004C44C9" w:rsidRDefault="00842E22" w:rsidP="007626E6">
      <w:pPr>
        <w:ind w:firstLine="680"/>
        <w:jc w:val="both"/>
      </w:pPr>
      <w:r w:rsidRPr="002666A7">
        <w:t xml:space="preserve">1. </w:t>
      </w:r>
      <w:bookmarkStart w:id="0" w:name="_Hlk522010785"/>
      <w:r w:rsidRPr="002666A7">
        <w:t xml:space="preserve">Užsakovo perkamas </w:t>
      </w:r>
      <w:r w:rsidR="00C56FC4">
        <w:t xml:space="preserve">Modernizuojamos </w:t>
      </w:r>
      <w:r w:rsidRPr="002666A7">
        <w:t>Lietuvos teismų informacinės sistemos (LITEKO</w:t>
      </w:r>
      <w:r w:rsidR="00C56FC4">
        <w:t>2</w:t>
      </w:r>
      <w:r w:rsidRPr="002666A7">
        <w:t>) taikomosios programinės įrangos</w:t>
      </w:r>
      <w:r w:rsidR="000C5A2C">
        <w:t xml:space="preserve"> vystymo ir</w:t>
      </w:r>
      <w:r w:rsidRPr="002666A7">
        <w:t xml:space="preserve"> </w:t>
      </w:r>
      <w:r w:rsidR="00544588">
        <w:t xml:space="preserve">palaikymo </w:t>
      </w:r>
      <w:r w:rsidRPr="002666A7">
        <w:t>paslaugas (toliau – Paslaugos) sudaro</w:t>
      </w:r>
      <w:r w:rsidR="00237BBF">
        <w:t xml:space="preserve"> Techninės specifikacijos 1 lentelėje įvardinti </w:t>
      </w:r>
      <w:r w:rsidR="00237BBF" w:rsidRPr="0028428D">
        <w:rPr>
          <w:b/>
          <w:bCs/>
        </w:rPr>
        <w:t>Numatomi darbai</w:t>
      </w:r>
      <w:r w:rsidR="00237BBF">
        <w:t xml:space="preserve"> (1 lentelė Numatomi darbai)</w:t>
      </w:r>
      <w:r w:rsidR="00237BBF" w:rsidRPr="004C44C9">
        <w:t>.</w:t>
      </w:r>
      <w:r w:rsidR="00237BBF">
        <w:t xml:space="preserve"> </w:t>
      </w:r>
    </w:p>
    <w:bookmarkEnd w:id="0"/>
    <w:p w14:paraId="670C9F6C" w14:textId="1953AC88" w:rsidR="00842E22" w:rsidRPr="009F4D6D" w:rsidRDefault="00842E22" w:rsidP="007626E6">
      <w:pPr>
        <w:ind w:firstLine="680"/>
        <w:jc w:val="both"/>
      </w:pPr>
      <w:r w:rsidRPr="004C44C9">
        <w:t>2. Pagal paslaugų teikimo sutartį LITEKO</w:t>
      </w:r>
      <w:r w:rsidR="004C44C9" w:rsidRPr="004C44C9">
        <w:t>2</w:t>
      </w:r>
      <w:r w:rsidRPr="004C44C9">
        <w:t xml:space="preserve"> </w:t>
      </w:r>
      <w:r w:rsidRPr="005B7C83">
        <w:rPr>
          <w:b/>
          <w:bCs/>
        </w:rPr>
        <w:t>taikomosios programinės įrangos pakeitimas</w:t>
      </w:r>
      <w:r w:rsidRPr="004C44C9">
        <w:t xml:space="preserve"> – tai LITEKO</w:t>
      </w:r>
      <w:r w:rsidR="004C44C9" w:rsidRPr="004C44C9">
        <w:t>2</w:t>
      </w:r>
      <w:r w:rsidRPr="004C44C9">
        <w:t xml:space="preserve"> taikomosios programinės įrangos funkcionalumo savybių, formos keitimas, modifikavimas</w:t>
      </w:r>
      <w:r w:rsidR="00792E84" w:rsidRPr="004C44C9">
        <w:t xml:space="preserve"> ar naujų funkcionalumų kūrimas</w:t>
      </w:r>
      <w:r w:rsidRPr="004C44C9">
        <w:t xml:space="preserve">. </w:t>
      </w:r>
    </w:p>
    <w:p w14:paraId="6A4CEED6" w14:textId="77777777" w:rsidR="00842E22" w:rsidRPr="004C44C9" w:rsidRDefault="00842E22" w:rsidP="007626E6">
      <w:pPr>
        <w:ind w:firstLine="680"/>
        <w:jc w:val="both"/>
      </w:pPr>
      <w:r w:rsidRPr="004C44C9">
        <w:t>3. Pagal paslaugų teikimo sutartį LITEKO</w:t>
      </w:r>
      <w:r w:rsidR="004C44C9" w:rsidRPr="004C44C9">
        <w:t>2</w:t>
      </w:r>
      <w:r w:rsidRPr="004C44C9">
        <w:t xml:space="preserve"> </w:t>
      </w:r>
      <w:r w:rsidRPr="005B7C83">
        <w:rPr>
          <w:b/>
          <w:bCs/>
        </w:rPr>
        <w:t>taikomosios programinės įrangos pataisymas</w:t>
      </w:r>
      <w:r w:rsidRPr="004C44C9">
        <w:t xml:space="preserve"> – tai LITEKO</w:t>
      </w:r>
      <w:r w:rsidR="009F4D6D">
        <w:t>2</w:t>
      </w:r>
      <w:r w:rsidRPr="004C44C9">
        <w:t xml:space="preserve"> taikomosios programinės įrangos veikimo sutrikimų, klaidų, duomenų įvedimo klaidų, sistemos veikimo trūkumų šalinimas. </w:t>
      </w:r>
    </w:p>
    <w:p w14:paraId="24738A92" w14:textId="77777777" w:rsidR="00842E22" w:rsidRPr="00E95F87" w:rsidRDefault="00842E22" w:rsidP="007626E6">
      <w:pPr>
        <w:ind w:firstLine="680"/>
        <w:jc w:val="both"/>
      </w:pPr>
      <w:r w:rsidRPr="00E95F87">
        <w:t>4. Paslaugos turi būti teikiamos taip, kad</w:t>
      </w:r>
      <w:r w:rsidR="00E95F87" w:rsidRPr="00E95F87">
        <w:t xml:space="preserve"> </w:t>
      </w:r>
      <w:r w:rsidR="002A0107">
        <w:t>po</w:t>
      </w:r>
      <w:r w:rsidR="007626E6">
        <w:t xml:space="preserve"> </w:t>
      </w:r>
      <w:r w:rsidR="00E95F87" w:rsidRPr="00E95F87">
        <w:t>LITEKO2</w:t>
      </w:r>
      <w:r w:rsidR="002A0107">
        <w:t xml:space="preserve"> eksploatacijos pradžios</w:t>
      </w:r>
      <w:r w:rsidRPr="00E95F87">
        <w:t xml:space="preserve"> būtų užtikrintas LITEKO</w:t>
      </w:r>
      <w:r w:rsidR="00E95F87" w:rsidRPr="00E95F87">
        <w:t>2</w:t>
      </w:r>
      <w:r w:rsidRPr="00E95F87">
        <w:t xml:space="preserve"> prieinamumas sistemos naudotojams ir veiklos tęstinumas, numatytas teisės aktuose.</w:t>
      </w:r>
    </w:p>
    <w:p w14:paraId="7F97BC0E" w14:textId="77B5D9DB" w:rsidR="00842E22" w:rsidRPr="009E4903" w:rsidRDefault="00C14E78" w:rsidP="007626E6">
      <w:pPr>
        <w:ind w:firstLine="680"/>
        <w:jc w:val="both"/>
      </w:pPr>
      <w:r w:rsidRPr="004C44C9">
        <w:t>5</w:t>
      </w:r>
      <w:r w:rsidR="00842E22" w:rsidRPr="004C44C9">
        <w:t>. Detali Paslaugų teikimo tvark</w:t>
      </w:r>
      <w:r w:rsidR="002427B2">
        <w:t>a</w:t>
      </w:r>
      <w:r w:rsidR="00842E22" w:rsidRPr="004C44C9">
        <w:t xml:space="preserve"> nustat</w:t>
      </w:r>
      <w:r w:rsidR="00565350">
        <w:t>yta</w:t>
      </w:r>
      <w:r w:rsidR="00842E22" w:rsidRPr="004C44C9">
        <w:t xml:space="preserve"> </w:t>
      </w:r>
      <w:r w:rsidR="00565350">
        <w:t>Techninėje specifikacijoje</w:t>
      </w:r>
      <w:r w:rsidR="00842E22" w:rsidRPr="00F86A5C">
        <w:t xml:space="preserve"> </w:t>
      </w:r>
      <w:r w:rsidR="00842E22" w:rsidRPr="009E4903">
        <w:t>ir Darbo su Lietuvos teismų informacinės sistemos išeities kodo valdymo ir versijavimo sistema tvarkos apraš</w:t>
      </w:r>
      <w:r w:rsidR="00565350">
        <w:t>e</w:t>
      </w:r>
      <w:r w:rsidR="00842E22" w:rsidRPr="009E4903">
        <w:t>, patvirtinta</w:t>
      </w:r>
      <w:r w:rsidR="00565350">
        <w:t>me</w:t>
      </w:r>
      <w:r w:rsidR="00842E22" w:rsidRPr="009E4903">
        <w:t xml:space="preserve"> Nacionalinės teismų administracijos direktoriaus 2013 m. balandžio 10 d. įsakymu Nr. 6P-55-(1.1) „Dėl Darbo su Lietuvos teismų informacinės sistemos išeities kodo valdymo ir versijavimo sistema tvarkos aprašo patvirtinimo“. </w:t>
      </w:r>
    </w:p>
    <w:p w14:paraId="7B166E0D" w14:textId="39B8DCC0" w:rsidR="00D20B33" w:rsidRPr="00B25558" w:rsidRDefault="00C14E78" w:rsidP="007626E6">
      <w:pPr>
        <w:tabs>
          <w:tab w:val="left" w:pos="851"/>
          <w:tab w:val="left" w:pos="993"/>
        </w:tabs>
        <w:ind w:firstLine="680"/>
        <w:jc w:val="both"/>
      </w:pPr>
      <w:r w:rsidRPr="00B25558">
        <w:t>6</w:t>
      </w:r>
      <w:r w:rsidR="00842E22" w:rsidRPr="00B25558">
        <w:t xml:space="preserve">. </w:t>
      </w:r>
      <w:r w:rsidR="00D20B33" w:rsidRPr="00B25558">
        <w:t>Jeigu tam tikr</w:t>
      </w:r>
      <w:r w:rsidR="002A0107">
        <w:t>ų</w:t>
      </w:r>
      <w:r w:rsidR="009A1632">
        <w:t xml:space="preserve"> Techninės specifikacijos</w:t>
      </w:r>
      <w:r w:rsidR="002A0107">
        <w:t xml:space="preserve"> 1 lentelėje</w:t>
      </w:r>
      <w:r w:rsidR="00484F69">
        <w:t xml:space="preserve"> Numatomi darbai</w:t>
      </w:r>
      <w:r w:rsidR="002A0107">
        <w:t xml:space="preserve"> įvardintų </w:t>
      </w:r>
      <w:r w:rsidR="00484F69" w:rsidRPr="00484F69">
        <w:t>Paslaugų</w:t>
      </w:r>
      <w:r w:rsidR="002A0107" w:rsidRPr="00484F69">
        <w:t xml:space="preserve"> </w:t>
      </w:r>
      <w:r w:rsidR="00D20B33" w:rsidRPr="00B25558">
        <w:t xml:space="preserve"> neįmanoma suteikti per nustatytą įvykdymo laiką, Te</w:t>
      </w:r>
      <w:r w:rsidR="007D282B" w:rsidRPr="00B25558">
        <w:t>i</w:t>
      </w:r>
      <w:r w:rsidR="00D20B33" w:rsidRPr="00B25558">
        <w:t xml:space="preserve">kėjas privalo raštu apie tai informuoti Užsakovą, pateikti ir suderinti su juo </w:t>
      </w:r>
      <w:r w:rsidR="00312073">
        <w:t>Paslaugų įgyvendinimo</w:t>
      </w:r>
      <w:r w:rsidR="002A0107" w:rsidRPr="00B25558">
        <w:t xml:space="preserve"> </w:t>
      </w:r>
      <w:r w:rsidR="00D20B33" w:rsidRPr="00B25558">
        <w:t xml:space="preserve">planą ir </w:t>
      </w:r>
      <w:r w:rsidR="00312073">
        <w:t>kreiptis dėl Paslaugų atlikimo termino pratęsimo pagal Techninės specifikacijos 20 punkte numatytus terminus</w:t>
      </w:r>
      <w:r w:rsidR="00D20B33" w:rsidRPr="00B25558">
        <w:t>.</w:t>
      </w:r>
    </w:p>
    <w:p w14:paraId="2688EA6D" w14:textId="1BEA4251" w:rsidR="00D20B33" w:rsidRPr="00B25558" w:rsidRDefault="00C14E78" w:rsidP="007626E6">
      <w:pPr>
        <w:tabs>
          <w:tab w:val="left" w:pos="851"/>
          <w:tab w:val="left" w:pos="993"/>
        </w:tabs>
        <w:ind w:firstLine="680"/>
        <w:jc w:val="both"/>
      </w:pPr>
      <w:r w:rsidRPr="00B25558">
        <w:t>7</w:t>
      </w:r>
      <w:r w:rsidR="00D20B33" w:rsidRPr="00B25558">
        <w:t>. Te</w:t>
      </w:r>
      <w:r w:rsidR="007D282B" w:rsidRPr="00B25558">
        <w:t>i</w:t>
      </w:r>
      <w:r w:rsidR="00D20B33" w:rsidRPr="00B25558">
        <w:t xml:space="preserve">kėjo pagrįstas prašymas pratęsti </w:t>
      </w:r>
      <w:r w:rsidR="00484F69">
        <w:t>Paslaugų</w:t>
      </w:r>
      <w:r w:rsidR="006946BD">
        <w:t xml:space="preserve"> atlikimo</w:t>
      </w:r>
      <w:r w:rsidR="00D20B33" w:rsidRPr="00B25558">
        <w:t xml:space="preserve"> terminą gali būti teikiamas ne daugiau kaip 2</w:t>
      </w:r>
      <w:r w:rsidR="00090A5F">
        <w:t xml:space="preserve"> (du)</w:t>
      </w:r>
      <w:r w:rsidR="00D20B33" w:rsidRPr="00B25558">
        <w:t xml:space="preserve"> kartus</w:t>
      </w:r>
      <w:r w:rsidR="00F7312A">
        <w:t xml:space="preserve"> ir ne ilgesniam nei </w:t>
      </w:r>
      <w:r w:rsidR="00312073">
        <w:t>6</w:t>
      </w:r>
      <w:r w:rsidR="00090A5F">
        <w:t xml:space="preserve"> (šešių)</w:t>
      </w:r>
      <w:r w:rsidR="00F7312A">
        <w:t xml:space="preserve"> mėnesių terminui</w:t>
      </w:r>
      <w:r w:rsidR="00D20B33" w:rsidRPr="00B25558">
        <w:t>. Te</w:t>
      </w:r>
      <w:r w:rsidR="007D282B" w:rsidRPr="00B25558">
        <w:t>i</w:t>
      </w:r>
      <w:r w:rsidR="00D20B33" w:rsidRPr="00B25558">
        <w:t>kėjui pateik</w:t>
      </w:r>
      <w:r w:rsidR="00090A5F">
        <w:t>tas</w:t>
      </w:r>
      <w:r w:rsidR="00D20B33" w:rsidRPr="00B25558">
        <w:t xml:space="preserve"> </w:t>
      </w:r>
      <w:r w:rsidR="00725964" w:rsidRPr="00B25558">
        <w:t>Užsakovu</w:t>
      </w:r>
      <w:r w:rsidR="00D20B33" w:rsidRPr="00B25558">
        <w:t>i prašym</w:t>
      </w:r>
      <w:r w:rsidR="00090A5F">
        <w:t>as</w:t>
      </w:r>
      <w:r w:rsidR="00D20B33" w:rsidRPr="00B25558">
        <w:t xml:space="preserve"> trečią kartą pratęsti</w:t>
      </w:r>
      <w:r w:rsidR="00090A5F">
        <w:t xml:space="preserve"> Paslaugų teikimo</w:t>
      </w:r>
      <w:r w:rsidR="00D20B33" w:rsidRPr="00B25558">
        <w:t xml:space="preserve"> terminą – bus traktuojamas kaip termino nesilaikymas. Prašymas pratęsti terminą turi būti pateikiamas iki pasibaigiant nustatytam </w:t>
      </w:r>
      <w:r w:rsidR="00484F69">
        <w:t>Paslaugų suteikimo</w:t>
      </w:r>
      <w:r w:rsidR="00D20B33" w:rsidRPr="00B25558">
        <w:t xml:space="preserve"> terminui. Nepateikus prašymo pratęsti </w:t>
      </w:r>
      <w:r w:rsidR="00484F69">
        <w:t>Paslaugų suteikimo</w:t>
      </w:r>
      <w:r w:rsidR="00D20B33" w:rsidRPr="00B25558">
        <w:t xml:space="preserve"> terminą iki jo pabaigos, laikoma, kad </w:t>
      </w:r>
      <w:r w:rsidR="00484F69">
        <w:t>Paslaugų</w:t>
      </w:r>
      <w:r w:rsidR="00484F69" w:rsidRPr="00B25558">
        <w:t xml:space="preserve"> </w:t>
      </w:r>
      <w:r w:rsidR="00D20B33" w:rsidRPr="00B25558">
        <w:t>įvykdymas vėluoja.</w:t>
      </w:r>
    </w:p>
    <w:p w14:paraId="6D961B41" w14:textId="02FD341F" w:rsidR="00725964" w:rsidRPr="00B25558" w:rsidRDefault="00C14E78" w:rsidP="007626E6">
      <w:pPr>
        <w:tabs>
          <w:tab w:val="left" w:pos="851"/>
          <w:tab w:val="left" w:pos="993"/>
        </w:tabs>
        <w:ind w:firstLine="680"/>
        <w:jc w:val="both"/>
      </w:pPr>
      <w:r w:rsidRPr="00B25558">
        <w:t>8</w:t>
      </w:r>
      <w:r w:rsidR="00725964" w:rsidRPr="00B25558">
        <w:t>. Jei Te</w:t>
      </w:r>
      <w:r w:rsidR="007D282B" w:rsidRPr="00B25558">
        <w:t>i</w:t>
      </w:r>
      <w:r w:rsidR="00725964" w:rsidRPr="00B25558">
        <w:t>kėjas</w:t>
      </w:r>
      <w:r w:rsidR="00766E6B">
        <w:t xml:space="preserve"> tam tikr</w:t>
      </w:r>
      <w:r w:rsidR="00484F69">
        <w:t>as</w:t>
      </w:r>
      <w:r w:rsidR="00237BBF">
        <w:t xml:space="preserve"> Techninės specifikacijos 1 lentelėje </w:t>
      </w:r>
      <w:r w:rsidR="00237BBF" w:rsidRPr="00484F69">
        <w:t>Numatom</w:t>
      </w:r>
      <w:r w:rsidR="00484F69">
        <w:t>i</w:t>
      </w:r>
      <w:r w:rsidR="00237BBF" w:rsidRPr="00484F69">
        <w:t xml:space="preserve"> darb</w:t>
      </w:r>
      <w:r w:rsidR="00484F69">
        <w:t>ai</w:t>
      </w:r>
      <w:r w:rsidR="00237BBF">
        <w:rPr>
          <w:b/>
          <w:bCs/>
        </w:rPr>
        <w:t xml:space="preserve"> </w:t>
      </w:r>
      <w:r w:rsidR="00484F69">
        <w:t xml:space="preserve">nurodytas Paslaugas </w:t>
      </w:r>
      <w:r w:rsidR="00725964" w:rsidRPr="00B25558">
        <w:t>atlieka vėliau, nei</w:t>
      </w:r>
      <w:r w:rsidR="00237BBF">
        <w:t xml:space="preserve"> 21 punkte</w:t>
      </w:r>
      <w:r w:rsidR="00725964" w:rsidRPr="00B25558">
        <w:t xml:space="preserve"> numatyt</w:t>
      </w:r>
      <w:r w:rsidR="00237BBF">
        <w:t>os</w:t>
      </w:r>
      <w:r w:rsidR="00725964" w:rsidRPr="00B25558">
        <w:t xml:space="preserve"> dat</w:t>
      </w:r>
      <w:r w:rsidR="00237BBF">
        <w:t>os</w:t>
      </w:r>
      <w:r w:rsidR="00725964" w:rsidRPr="00B25558">
        <w:t>,</w:t>
      </w:r>
      <w:r w:rsidR="001645F7">
        <w:t xml:space="preserve"> ir vadovaujantis 7 punktu nėra susitarta dėl Paslaugų suteikimo termino pratęsimo,</w:t>
      </w:r>
      <w:r w:rsidR="00725964" w:rsidRPr="00B25558">
        <w:t xml:space="preserve"> skaičiuojami </w:t>
      </w:r>
      <w:r w:rsidR="00886B7F" w:rsidRPr="00B25558">
        <w:t>10</w:t>
      </w:r>
      <w:r w:rsidR="00725964" w:rsidRPr="00B25558">
        <w:t>0 Eur delspinigiai už kiekvieną pavėluotą dieną.</w:t>
      </w:r>
    </w:p>
    <w:p w14:paraId="32A08DA4" w14:textId="2667C14A" w:rsidR="00725964" w:rsidRPr="008754E8" w:rsidRDefault="00C14E78" w:rsidP="007626E6">
      <w:pPr>
        <w:tabs>
          <w:tab w:val="left" w:pos="851"/>
          <w:tab w:val="left" w:pos="993"/>
        </w:tabs>
        <w:ind w:firstLine="680"/>
        <w:jc w:val="both"/>
      </w:pPr>
      <w:r w:rsidRPr="00B25558">
        <w:t>9</w:t>
      </w:r>
      <w:r w:rsidR="00725964" w:rsidRPr="00B25558">
        <w:t>. Jei yra nustatomi rezultatų trūkumai, Užsakovas grąžina Te</w:t>
      </w:r>
      <w:r w:rsidR="007D282B" w:rsidRPr="00B25558">
        <w:t>i</w:t>
      </w:r>
      <w:r w:rsidR="00725964" w:rsidRPr="00B25558">
        <w:t xml:space="preserve">kėjui </w:t>
      </w:r>
      <w:r w:rsidR="002A0107">
        <w:t xml:space="preserve">1 lentelėje </w:t>
      </w:r>
      <w:r w:rsidR="002A0107" w:rsidRPr="00484F69">
        <w:t xml:space="preserve">Numatomi darbai </w:t>
      </w:r>
      <w:r w:rsidR="002A0107">
        <w:t>įvardinto</w:t>
      </w:r>
      <w:r w:rsidR="00484F69">
        <w:t>s Paslaugos</w:t>
      </w:r>
      <w:r w:rsidR="002A0107">
        <w:t xml:space="preserve"> atlikimą </w:t>
      </w:r>
      <w:r w:rsidR="00725964" w:rsidRPr="00B25558">
        <w:t>trūkumams pašalinti. Te</w:t>
      </w:r>
      <w:r w:rsidR="007D282B" w:rsidRPr="00B25558">
        <w:t>i</w:t>
      </w:r>
      <w:r w:rsidR="00725964" w:rsidRPr="00B25558">
        <w:t xml:space="preserve">kėjas privalo </w:t>
      </w:r>
      <w:r w:rsidR="00725964" w:rsidRPr="008754E8">
        <w:t xml:space="preserve">pašalinti trūkumus nemokamai ir visus rezultatus pateikti </w:t>
      </w:r>
      <w:r w:rsidR="00B25558" w:rsidRPr="008754E8">
        <w:t>Užsakovui</w:t>
      </w:r>
      <w:r w:rsidR="00725964" w:rsidRPr="008754E8">
        <w:t xml:space="preserve"> pakartotinai per </w:t>
      </w:r>
      <w:r w:rsidR="002A0107">
        <w:t>su Užsakovu suderintą terminą</w:t>
      </w:r>
      <w:r w:rsidR="00725964" w:rsidRPr="008754E8">
        <w:t>. Defektu taip pat laikomas</w:t>
      </w:r>
      <w:r w:rsidR="00C04882">
        <w:t xml:space="preserve"> po LITEKO2 eksploatacijos pradžios</w:t>
      </w:r>
      <w:r w:rsidR="00725964" w:rsidRPr="008754E8">
        <w:t xml:space="preserve"> greitaveikos sulėtėjimas po pakeitimo ištaisymo įdiegimo.</w:t>
      </w:r>
    </w:p>
    <w:p w14:paraId="54669E53" w14:textId="77777777" w:rsidR="001D6F35" w:rsidRPr="008754E8" w:rsidRDefault="001D6F35" w:rsidP="007626E6">
      <w:pPr>
        <w:tabs>
          <w:tab w:val="left" w:pos="851"/>
          <w:tab w:val="left" w:pos="993"/>
        </w:tabs>
        <w:ind w:firstLine="680"/>
        <w:jc w:val="both"/>
      </w:pPr>
      <w:r w:rsidRPr="008754E8">
        <w:t>1</w:t>
      </w:r>
      <w:r w:rsidR="00C14E78" w:rsidRPr="008754E8">
        <w:t>0</w:t>
      </w:r>
      <w:r w:rsidRPr="008754E8">
        <w:t>. Te</w:t>
      </w:r>
      <w:r w:rsidR="007D282B" w:rsidRPr="008754E8">
        <w:t>i</w:t>
      </w:r>
      <w:r w:rsidRPr="008754E8">
        <w:t>kėjas turi užtikrint</w:t>
      </w:r>
      <w:r w:rsidR="00301906">
        <w:t>i</w:t>
      </w:r>
      <w:r w:rsidRPr="008754E8">
        <w:t xml:space="preserve"> </w:t>
      </w:r>
      <w:r w:rsidR="00301906">
        <w:t>Užsakovui</w:t>
      </w:r>
      <w:r w:rsidRPr="008754E8">
        <w:t xml:space="preserve"> galimybę sekt</w:t>
      </w:r>
      <w:r w:rsidR="00301906">
        <w:t>i</w:t>
      </w:r>
      <w:r w:rsidRPr="008754E8">
        <w:t xml:space="preserve"> </w:t>
      </w:r>
      <w:r w:rsidR="002A0107">
        <w:t>Paslaugų teikimo</w:t>
      </w:r>
      <w:r w:rsidRPr="008754E8">
        <w:t xml:space="preserve"> eigą ir informuot</w:t>
      </w:r>
      <w:r w:rsidR="00301906">
        <w:t>i</w:t>
      </w:r>
      <w:r w:rsidRPr="008754E8">
        <w:t xml:space="preserve"> </w:t>
      </w:r>
      <w:r w:rsidR="00301906">
        <w:t>Užsakovą</w:t>
      </w:r>
      <w:r w:rsidRPr="008754E8">
        <w:t xml:space="preserve"> apie jų eigą, rezultatus</w:t>
      </w:r>
      <w:r w:rsidR="00301906">
        <w:t>.</w:t>
      </w:r>
    </w:p>
    <w:p w14:paraId="7FD4B682" w14:textId="77777777" w:rsidR="00842E22" w:rsidRPr="00F24540" w:rsidRDefault="00725964" w:rsidP="007626E6">
      <w:pPr>
        <w:ind w:firstLine="680"/>
        <w:jc w:val="both"/>
        <w:rPr>
          <w:szCs w:val="22"/>
        </w:rPr>
      </w:pPr>
      <w:r w:rsidRPr="009E4903">
        <w:rPr>
          <w:w w:val="102"/>
        </w:rPr>
        <w:t>1</w:t>
      </w:r>
      <w:r w:rsidR="00C14E78" w:rsidRPr="009E4903">
        <w:rPr>
          <w:w w:val="102"/>
        </w:rPr>
        <w:t>1</w:t>
      </w:r>
      <w:r w:rsidRPr="009E4903">
        <w:rPr>
          <w:w w:val="102"/>
        </w:rPr>
        <w:t xml:space="preserve">. </w:t>
      </w:r>
      <w:r w:rsidR="001E525E" w:rsidRPr="009E4903">
        <w:rPr>
          <w:rStyle w:val="cf01"/>
          <w:rFonts w:ascii="Times New Roman" w:hAnsi="Times New Roman" w:cs="Times New Roman"/>
          <w:sz w:val="24"/>
          <w:szCs w:val="24"/>
        </w:rPr>
        <w:t>LITEKO2 komponentai yra įdiegti serverių klasterių virtualiose mašinose</w:t>
      </w:r>
      <w:r w:rsidR="001E525E">
        <w:rPr>
          <w:rStyle w:val="cf01"/>
          <w:rFonts w:ascii="Times New Roman" w:hAnsi="Times New Roman" w:cs="Times New Roman"/>
          <w:sz w:val="24"/>
          <w:szCs w:val="24"/>
        </w:rPr>
        <w:t>, kuriose</w:t>
      </w:r>
      <w:r w:rsidR="001E525E" w:rsidRPr="009E4903">
        <w:rPr>
          <w:rStyle w:val="cf01"/>
          <w:rFonts w:ascii="Times New Roman" w:hAnsi="Times New Roman" w:cs="Times New Roman"/>
          <w:sz w:val="24"/>
          <w:szCs w:val="24"/>
        </w:rPr>
        <w:t xml:space="preserve"> veikia operacinės sistemos, aplikacijų serverių programinė įranga ir LITEKO2 komponentai</w:t>
      </w:r>
      <w:r w:rsidR="001E525E" w:rsidRPr="00F24540">
        <w:rPr>
          <w:rStyle w:val="cf01"/>
          <w:rFonts w:ascii="Times New Roman" w:hAnsi="Times New Roman" w:cs="Times New Roman"/>
          <w:sz w:val="24"/>
          <w:szCs w:val="24"/>
        </w:rPr>
        <w:t xml:space="preserve">. </w:t>
      </w:r>
      <w:r w:rsidR="00842E22" w:rsidRPr="00F24540">
        <w:rPr>
          <w:w w:val="102"/>
        </w:rPr>
        <w:t>Dauguma sistemos integracinių sąsajų su kitomis informacinėmis sistemomis ir registrais sukurtos, naudojantis žiniatinklio paslaugomis (angl. „</w:t>
      </w:r>
      <w:r w:rsidR="00842E22" w:rsidRPr="00F24540">
        <w:rPr>
          <w:i/>
          <w:w w:val="102"/>
        </w:rPr>
        <w:t>webservice</w:t>
      </w:r>
      <w:r w:rsidR="00842E22" w:rsidRPr="00F24540">
        <w:rPr>
          <w:w w:val="102"/>
        </w:rPr>
        <w:t xml:space="preserve">“), jomis perduodant gavėjams struktūrizuotus duomenis. Sistemos duomenų atvaizdavimas paremtas </w:t>
      </w:r>
      <w:r w:rsidR="00842E22" w:rsidRPr="00F24540">
        <w:rPr>
          <w:i/>
          <w:w w:val="102"/>
        </w:rPr>
        <w:t>HTML, CSS3, Javascript</w:t>
      </w:r>
      <w:r w:rsidR="00842E22" w:rsidRPr="00F24540">
        <w:rPr>
          <w:w w:val="102"/>
        </w:rPr>
        <w:t xml:space="preserve"> technologijomis. Sistema duomenų apsikeitimui tarp sistemos komponentų naudoja </w:t>
      </w:r>
      <w:r w:rsidR="00842E22" w:rsidRPr="00F24540">
        <w:rPr>
          <w:i/>
          <w:w w:val="102"/>
        </w:rPr>
        <w:t>NserviceBus</w:t>
      </w:r>
      <w:r w:rsidR="00842E22" w:rsidRPr="00F24540">
        <w:rPr>
          <w:w w:val="102"/>
        </w:rPr>
        <w:t xml:space="preserve"> komponento sprendimą. LITEKO</w:t>
      </w:r>
      <w:r w:rsidR="001E525E" w:rsidRPr="00F24540">
        <w:rPr>
          <w:w w:val="102"/>
        </w:rPr>
        <w:t>2</w:t>
      </w:r>
      <w:r w:rsidR="00842E22" w:rsidRPr="00F24540">
        <w:rPr>
          <w:w w:val="102"/>
        </w:rPr>
        <w:t xml:space="preserve"> taikomosios programinė</w:t>
      </w:r>
      <w:r w:rsidR="001E525E" w:rsidRPr="00F24540">
        <w:rPr>
          <w:w w:val="102"/>
        </w:rPr>
        <w:t>s</w:t>
      </w:r>
      <w:r w:rsidR="00842E22" w:rsidRPr="00F24540">
        <w:rPr>
          <w:w w:val="102"/>
        </w:rPr>
        <w:t xml:space="preserve"> įrangos išeities kodo valdymui ir versijavimui naudojama išeities kodo valdymo ir versijavimo sistema </w:t>
      </w:r>
      <w:r w:rsidR="00842E22" w:rsidRPr="00F24540">
        <w:rPr>
          <w:i/>
          <w:w w:val="102"/>
        </w:rPr>
        <w:t>„GIT“.</w:t>
      </w:r>
    </w:p>
    <w:p w14:paraId="1E6A89B2" w14:textId="77777777" w:rsidR="00842E22" w:rsidRPr="009E4903" w:rsidRDefault="00725964" w:rsidP="007626E6">
      <w:pPr>
        <w:ind w:firstLine="680"/>
        <w:jc w:val="both"/>
      </w:pPr>
      <w:bookmarkStart w:id="1" w:name="_Hlk166665044"/>
      <w:r w:rsidRPr="009E4903">
        <w:t>1</w:t>
      </w:r>
      <w:r w:rsidR="00C14E78" w:rsidRPr="009E4903">
        <w:t>2</w:t>
      </w:r>
      <w:r w:rsidR="00842E22" w:rsidRPr="009E4903">
        <w:t>. T</w:t>
      </w:r>
      <w:r w:rsidR="00D02F60" w:rsidRPr="009E4903">
        <w:t>ei</w:t>
      </w:r>
      <w:r w:rsidR="00842E22" w:rsidRPr="009E4903">
        <w:t>kėjas, teikdamas Paslaugas, turi užtikrinti, kad LITEKO</w:t>
      </w:r>
      <w:r w:rsidR="001E525E" w:rsidRPr="009E4903">
        <w:t>2</w:t>
      </w:r>
      <w:r w:rsidR="00842E22" w:rsidRPr="009E4903">
        <w:t xml:space="preserve"> sistema veiktų teismų darbuotojų, </w:t>
      </w:r>
      <w:r w:rsidR="007D282B" w:rsidRPr="009E4903">
        <w:t>p</w:t>
      </w:r>
      <w:r w:rsidR="00842E22" w:rsidRPr="009E4903">
        <w:t>erkančiosios organizacijos darbuotojų ir LITEKO</w:t>
      </w:r>
      <w:r w:rsidR="001E525E" w:rsidRPr="009E4903">
        <w:t>2</w:t>
      </w:r>
      <w:r w:rsidR="00842E22" w:rsidRPr="009E4903">
        <w:t xml:space="preserve"> išorės naudotojų kompiuteriuose su </w:t>
      </w:r>
      <w:r w:rsidR="00842E22" w:rsidRPr="009E4903">
        <w:lastRenderedPageBreak/>
        <w:t xml:space="preserve">Windows </w:t>
      </w:r>
      <w:r w:rsidR="000D443A" w:rsidRPr="009E4903">
        <w:t>10, 11</w:t>
      </w:r>
      <w:r w:rsidR="00842E22" w:rsidRPr="009E4903">
        <w:t xml:space="preserve"> operacine sistema, MS Office </w:t>
      </w:r>
      <w:r w:rsidR="000D443A" w:rsidRPr="009E4903">
        <w:t>2016, 2019</w:t>
      </w:r>
      <w:r w:rsidR="00621933" w:rsidRPr="009E4903">
        <w:t>, 2021 ir 365</w:t>
      </w:r>
      <w:r w:rsidR="00842E22" w:rsidRPr="009E4903">
        <w:t xml:space="preserve"> biuro programų paketu </w:t>
      </w:r>
      <w:bookmarkEnd w:id="1"/>
      <w:r w:rsidR="00842E22" w:rsidRPr="009E4903">
        <w:t xml:space="preserve">ir </w:t>
      </w:r>
      <w:r w:rsidR="000D443A" w:rsidRPr="009E4903">
        <w:t>Microsoft Edge, Google Chrome ir Mozilla Firefox</w:t>
      </w:r>
      <w:r w:rsidR="00842E22" w:rsidRPr="009E4903">
        <w:t xml:space="preserve"> naršyklėmis. </w:t>
      </w:r>
    </w:p>
    <w:p w14:paraId="78313DDD" w14:textId="756EEDA6" w:rsidR="00842E22" w:rsidRPr="009E4903" w:rsidRDefault="00725964" w:rsidP="007626E6">
      <w:pPr>
        <w:ind w:firstLine="680"/>
        <w:jc w:val="both"/>
      </w:pPr>
      <w:r w:rsidRPr="009E4903">
        <w:t>1</w:t>
      </w:r>
      <w:r w:rsidR="00C14E78" w:rsidRPr="009E4903">
        <w:t>3</w:t>
      </w:r>
      <w:r w:rsidR="00842E22" w:rsidRPr="009E4903">
        <w:t>. T</w:t>
      </w:r>
      <w:r w:rsidR="00D02F60" w:rsidRPr="009E4903">
        <w:t>ei</w:t>
      </w:r>
      <w:r w:rsidR="00842E22" w:rsidRPr="009E4903">
        <w:t>kėjas Paslaugų teikimui tarnybines stotis, kuriose yra LITEKO</w:t>
      </w:r>
      <w:r w:rsidR="001E525E" w:rsidRPr="009E4903">
        <w:t>2</w:t>
      </w:r>
      <w:r w:rsidR="00842E22" w:rsidRPr="009E4903">
        <w:t xml:space="preserve"> taikomoji programinė įranga ir LITEKO</w:t>
      </w:r>
      <w:r w:rsidR="001E525E" w:rsidRPr="009E4903">
        <w:t>2</w:t>
      </w:r>
      <w:r w:rsidR="00842E22" w:rsidRPr="009E4903">
        <w:t xml:space="preserve"> sistemos duomenų bazės, bei LITEKO išeities kodo valdymo ir versijavimo sistemą pasiekia fiziškai arba per skirtąją liniją saugiu šifruotu virtualaus privataus tinklo kanalu.</w:t>
      </w:r>
    </w:p>
    <w:p w14:paraId="141F3D13" w14:textId="77777777" w:rsidR="00E5455A" w:rsidRPr="009E4903" w:rsidRDefault="00AB2FC5" w:rsidP="007626E6">
      <w:pPr>
        <w:tabs>
          <w:tab w:val="left" w:pos="851"/>
          <w:tab w:val="left" w:pos="993"/>
        </w:tabs>
        <w:jc w:val="both"/>
      </w:pPr>
      <w:r w:rsidRPr="009E4903">
        <w:tab/>
      </w:r>
    </w:p>
    <w:p w14:paraId="0D76CA10" w14:textId="77777777" w:rsidR="00842E22" w:rsidRPr="00036E68" w:rsidRDefault="004C7EC8" w:rsidP="007626E6">
      <w:pPr>
        <w:ind w:firstLine="851"/>
        <w:jc w:val="center"/>
        <w:rPr>
          <w:b/>
        </w:rPr>
      </w:pPr>
      <w:r w:rsidRPr="00036E68">
        <w:rPr>
          <w:b/>
        </w:rPr>
        <w:t xml:space="preserve">II. </w:t>
      </w:r>
      <w:r w:rsidR="00842E22" w:rsidRPr="00036E68">
        <w:rPr>
          <w:b/>
        </w:rPr>
        <w:t>PASLAUGŲ ĮKAINIAI, PASLAUGŲ TEIKIMO REZULTATAI IR JŲ PERDAVIMAS</w:t>
      </w:r>
    </w:p>
    <w:p w14:paraId="21327838" w14:textId="77777777" w:rsidR="00842E22" w:rsidRPr="00C56FC4" w:rsidRDefault="00842E22" w:rsidP="007626E6">
      <w:pPr>
        <w:ind w:firstLine="851"/>
        <w:jc w:val="center"/>
        <w:rPr>
          <w:b/>
          <w:highlight w:val="yellow"/>
        </w:rPr>
      </w:pPr>
    </w:p>
    <w:p w14:paraId="283ABCDC" w14:textId="1272B211" w:rsidR="00842E22" w:rsidRPr="00036E68" w:rsidRDefault="00725964" w:rsidP="007626E6">
      <w:pPr>
        <w:tabs>
          <w:tab w:val="left" w:pos="627"/>
        </w:tabs>
        <w:ind w:firstLine="680"/>
        <w:jc w:val="both"/>
      </w:pPr>
      <w:r w:rsidRPr="00036E68">
        <w:t>1</w:t>
      </w:r>
      <w:r w:rsidR="00C14E78" w:rsidRPr="00036E68">
        <w:t>4</w:t>
      </w:r>
      <w:r w:rsidR="00842E22" w:rsidRPr="00036E68">
        <w:t xml:space="preserve">. </w:t>
      </w:r>
      <w:r w:rsidR="00484F69">
        <w:t>Mokama tik u</w:t>
      </w:r>
      <w:r w:rsidR="00842E22" w:rsidRPr="00036E68">
        <w:t>ž tinkamai ir faktiškai suteikt</w:t>
      </w:r>
      <w:r w:rsidR="00484F69">
        <w:t>as</w:t>
      </w:r>
      <w:r w:rsidR="00842E22" w:rsidRPr="00036E68">
        <w:t xml:space="preserve"> Paslaug</w:t>
      </w:r>
      <w:r w:rsidR="00484F69">
        <w:t>as</w:t>
      </w:r>
      <w:r w:rsidR="00842E22" w:rsidRPr="00036E68">
        <w:t>. Į Paslaugų bendrą kainą įskaitoma faktiškai suteikt</w:t>
      </w:r>
      <w:r w:rsidR="00F46D7E" w:rsidRPr="00036E68">
        <w:t>os</w:t>
      </w:r>
      <w:r w:rsidR="00842E22" w:rsidRPr="00036E68">
        <w:t xml:space="preserve"> Paslaugos suma, visi mokesčiai ir rinkliavos bei kitos išlaidos, susijusios su teikiamomis Paslaugomis. </w:t>
      </w:r>
    </w:p>
    <w:p w14:paraId="706C0675" w14:textId="5121FB7F" w:rsidR="00842E22" w:rsidRPr="00036E68" w:rsidRDefault="00725964" w:rsidP="007626E6">
      <w:pPr>
        <w:tabs>
          <w:tab w:val="left" w:pos="627"/>
        </w:tabs>
        <w:ind w:firstLine="680"/>
        <w:jc w:val="both"/>
      </w:pPr>
      <w:r w:rsidRPr="00036E68">
        <w:t>1</w:t>
      </w:r>
      <w:r w:rsidR="00C14E78" w:rsidRPr="00036E68">
        <w:t>5</w:t>
      </w:r>
      <w:r w:rsidR="00842E22" w:rsidRPr="00036E68">
        <w:t xml:space="preserve">. Paslaugos teikiamos </w:t>
      </w:r>
      <w:r w:rsidR="008F675C">
        <w:t xml:space="preserve">Modernizuojamos </w:t>
      </w:r>
      <w:r w:rsidR="00842E22" w:rsidRPr="00036E68">
        <w:t>Lietuvos teismų informacinės sistemos</w:t>
      </w:r>
      <w:r w:rsidR="008F675C">
        <w:t xml:space="preserve"> (LITEKO2)</w:t>
      </w:r>
      <w:r w:rsidR="00842E22" w:rsidRPr="00036E68">
        <w:t xml:space="preserve"> taikomosios programinės įrangos</w:t>
      </w:r>
      <w:r w:rsidR="008F675C">
        <w:t xml:space="preserve"> vystymo ir</w:t>
      </w:r>
      <w:r w:rsidR="00842E22" w:rsidRPr="00036E68">
        <w:t xml:space="preserve"> </w:t>
      </w:r>
      <w:r w:rsidR="00C168A0" w:rsidRPr="00036E68">
        <w:t xml:space="preserve">palaikymo </w:t>
      </w:r>
      <w:r w:rsidR="00842E22" w:rsidRPr="00036E68">
        <w:t>paslaugų teikimo sutarties galiojimo laikotarp</w:t>
      </w:r>
      <w:r w:rsidR="00484F69">
        <w:t xml:space="preserve">iu, atsižvelgiant į Sutartyje ir Techninėje specifikacijoje numatytus terminus. </w:t>
      </w:r>
      <w:r w:rsidR="00842E22" w:rsidRPr="00036E68" w:rsidDel="00A542F0">
        <w:t xml:space="preserve"> </w:t>
      </w:r>
    </w:p>
    <w:p w14:paraId="7B409BBB" w14:textId="0375DF14" w:rsidR="00842E22" w:rsidRPr="00036E68" w:rsidRDefault="00725964" w:rsidP="007626E6">
      <w:pPr>
        <w:tabs>
          <w:tab w:val="left" w:pos="627"/>
        </w:tabs>
        <w:ind w:firstLine="680"/>
        <w:jc w:val="both"/>
      </w:pPr>
      <w:r w:rsidRPr="00036E68">
        <w:t>1</w:t>
      </w:r>
      <w:r w:rsidR="00C14E78" w:rsidRPr="00036E68">
        <w:t>6</w:t>
      </w:r>
      <w:r w:rsidR="00842E22" w:rsidRPr="00036E68">
        <w:t xml:space="preserve">. Teikėjas, pasibaigus </w:t>
      </w:r>
      <w:r w:rsidR="00EE2D57">
        <w:t>Techninės specifikacijos 1 lentelėje Numatom</w:t>
      </w:r>
      <w:r w:rsidR="00484F69">
        <w:t>i</w:t>
      </w:r>
      <w:r w:rsidR="00EE2D57">
        <w:t xml:space="preserve"> darb</w:t>
      </w:r>
      <w:r w:rsidR="00484F69">
        <w:t>ai numatytų Paslaugų</w:t>
      </w:r>
      <w:r w:rsidR="00EE2D57">
        <w:t xml:space="preserve"> atlikimo terminui</w:t>
      </w:r>
      <w:r w:rsidR="00842E22" w:rsidRPr="00036E68">
        <w:t xml:space="preserve">, ne vėliau kaip </w:t>
      </w:r>
      <w:r w:rsidR="00EE2D57">
        <w:t>per</w:t>
      </w:r>
      <w:r w:rsidR="00842E22" w:rsidRPr="00036E68">
        <w:t xml:space="preserve"> 10 (dešimt)</w:t>
      </w:r>
      <w:r w:rsidR="00EE2D57">
        <w:t xml:space="preserve"> darbo dienų</w:t>
      </w:r>
      <w:r w:rsidR="00842E22" w:rsidRPr="00036E68">
        <w:t xml:space="preserve"> turi pateikti Užsakovui raštu derinti pagal </w:t>
      </w:r>
      <w:r w:rsidR="00C04882">
        <w:t>S</w:t>
      </w:r>
      <w:r w:rsidR="00842E22" w:rsidRPr="00036E68">
        <w:t>utarties reikalavimus parengtą suteiktų Paslaugų ataskaitos projektą.</w:t>
      </w:r>
    </w:p>
    <w:p w14:paraId="78A33E0E" w14:textId="77777777" w:rsidR="00842E22" w:rsidRPr="00036E68" w:rsidRDefault="00842E22" w:rsidP="007626E6">
      <w:pPr>
        <w:tabs>
          <w:tab w:val="left" w:pos="851"/>
          <w:tab w:val="left" w:pos="993"/>
        </w:tabs>
        <w:ind w:firstLine="680"/>
        <w:jc w:val="both"/>
      </w:pPr>
      <w:r w:rsidRPr="00036E68">
        <w:t>1</w:t>
      </w:r>
      <w:r w:rsidR="00C14E78" w:rsidRPr="00036E68">
        <w:t>7</w:t>
      </w:r>
      <w:r w:rsidRPr="00036E68">
        <w:t xml:space="preserve">. Užsakovui ir Teikėjui pasirašant suteiktų Paslaugų rezultatų perdavimo-priėmimo aktą, Teikėjas turi pateikti Užsakovui tarp šalių suderintą ir Teikėjo pasirašytą suteiktų Paslaugų ataskaitą ir </w:t>
      </w:r>
      <w:r w:rsidR="005148A6" w:rsidRPr="00036E68">
        <w:t xml:space="preserve">PVM </w:t>
      </w:r>
      <w:r w:rsidRPr="00036E68">
        <w:t>sąskaitą</w:t>
      </w:r>
      <w:r w:rsidR="005148A6" w:rsidRPr="00036E68">
        <w:t xml:space="preserve"> </w:t>
      </w:r>
      <w:r w:rsidRPr="00036E68">
        <w:t>faktūrą už faktiškai ir tinkamai suteiktas Paslaugas.</w:t>
      </w:r>
      <w:r w:rsidR="00433F1E" w:rsidRPr="00036E68">
        <w:t xml:space="preserve"> Paslaugų rezultatų perdavimo – priėmimo akte turi būti įskaityti visi delspinigiai ir</w:t>
      </w:r>
      <w:r w:rsidR="007E1DBE" w:rsidRPr="00036E68">
        <w:t xml:space="preserve"> (ar)</w:t>
      </w:r>
      <w:r w:rsidR="00433F1E" w:rsidRPr="00036E68">
        <w:t xml:space="preserve"> baudos už priimamas paslaugas, jei tokios buvo taikytos.</w:t>
      </w:r>
    </w:p>
    <w:p w14:paraId="2990994C" w14:textId="77777777" w:rsidR="00842E22" w:rsidRPr="00036E68" w:rsidRDefault="005148A6" w:rsidP="007626E6">
      <w:pPr>
        <w:tabs>
          <w:tab w:val="left" w:pos="627"/>
        </w:tabs>
        <w:ind w:firstLine="680"/>
        <w:jc w:val="both"/>
      </w:pPr>
      <w:r w:rsidRPr="00036E68">
        <w:t>1</w:t>
      </w:r>
      <w:r w:rsidR="00C14E78" w:rsidRPr="00036E68">
        <w:t>8</w:t>
      </w:r>
      <w:r w:rsidR="00842E22" w:rsidRPr="00036E68">
        <w:t>. Paslaugų teikimo sutartyje nustatyta tvarka ir terminais Teikėjas turi neatlygintinai perduoti Užsakovo nuosavybėn visus Paslaugų teikimo rezultatus, įskaitant, bet neapsiribojant LITEKO</w:t>
      </w:r>
      <w:r w:rsidR="00036E68">
        <w:t>2</w:t>
      </w:r>
      <w:r w:rsidR="00842E22" w:rsidRPr="00036E68">
        <w:t xml:space="preserve"> taikomosios programinės įrangos pakeitimų ir/ar pataisymų išeities kodus, ir su jais susijusias teises, Teikėjo įgytas teikiant Paslaugas ir vykdant paslaugų teikimo sutartį, įskaitant autorines, duomenų bazių gamintojų ir kitas intelektinės ar pramoninės nuosavybės teises, nuo suteiktų Paslaugų rezultatų perdavimo-priėmimo akto pasirašymo momento. </w:t>
      </w:r>
    </w:p>
    <w:p w14:paraId="2B55B5FA" w14:textId="77777777" w:rsidR="00842E22" w:rsidRPr="009E4903" w:rsidRDefault="00C14E78" w:rsidP="007626E6">
      <w:pPr>
        <w:tabs>
          <w:tab w:val="left" w:pos="627"/>
        </w:tabs>
        <w:ind w:firstLine="680"/>
        <w:jc w:val="both"/>
      </w:pPr>
      <w:r w:rsidRPr="009E4903">
        <w:t>19</w:t>
      </w:r>
      <w:r w:rsidR="00842E22" w:rsidRPr="009E4903">
        <w:t>. Teikėjas privalo atliktų LITEKO</w:t>
      </w:r>
      <w:r w:rsidR="001E525E" w:rsidRPr="009E4903">
        <w:t>2</w:t>
      </w:r>
      <w:r w:rsidR="00842E22" w:rsidRPr="009E4903">
        <w:t xml:space="preserve"> taikomosios programinės įrangos pakeitimų ir/ar pataisymų išeities kodus įkelti į LITEKO</w:t>
      </w:r>
      <w:r w:rsidR="001E525E" w:rsidRPr="009E4903">
        <w:t>2</w:t>
      </w:r>
      <w:r w:rsidR="00842E22" w:rsidRPr="009E4903">
        <w:t xml:space="preserve"> išeities kodo valdymo ir versijavimo sistemą, </w:t>
      </w:r>
      <w:r w:rsidR="00842E22" w:rsidRPr="009E4903">
        <w:rPr>
          <w:rFonts w:cs="Calibri"/>
        </w:rPr>
        <w:t>neištrinant sistemoje esančios LITEKO</w:t>
      </w:r>
      <w:r w:rsidR="001E525E" w:rsidRPr="009E4903">
        <w:rPr>
          <w:rFonts w:cs="Calibri"/>
        </w:rPr>
        <w:t>2</w:t>
      </w:r>
      <w:r w:rsidR="00842E22" w:rsidRPr="009E4903">
        <w:rPr>
          <w:rFonts w:cs="Calibri"/>
        </w:rPr>
        <w:t xml:space="preserve"> taikomosios programinės įrangos išeities kodo istorijos, </w:t>
      </w:r>
      <w:r w:rsidR="00842E22" w:rsidRPr="009E4903">
        <w:t>Darbo su LITEKO</w:t>
      </w:r>
      <w:r w:rsidR="001E525E" w:rsidRPr="009E4903">
        <w:t>2</w:t>
      </w:r>
      <w:r w:rsidR="00842E22" w:rsidRPr="009E4903">
        <w:t xml:space="preserve"> išeities kodo valdymo ir versijavimo sistema tvarkos apraše nustatyta tvarka ir vykdyti visas kitas pareigas, numatytas  minėtame tvarkos apraše.</w:t>
      </w:r>
    </w:p>
    <w:p w14:paraId="12330899" w14:textId="5F133C1C" w:rsidR="007D05CD" w:rsidRDefault="005148A6" w:rsidP="007626E6">
      <w:pPr>
        <w:tabs>
          <w:tab w:val="left" w:pos="627"/>
        </w:tabs>
        <w:ind w:firstLine="680"/>
        <w:jc w:val="both"/>
      </w:pPr>
      <w:r w:rsidRPr="00036E68">
        <w:t>2</w:t>
      </w:r>
      <w:r w:rsidR="00C14E78" w:rsidRPr="00036E68">
        <w:t>0</w:t>
      </w:r>
      <w:r w:rsidR="00842E22" w:rsidRPr="00036E68">
        <w:t xml:space="preserve">. </w:t>
      </w:r>
      <w:bookmarkStart w:id="2" w:name="_Hlk170826955"/>
      <w:r w:rsidR="00842E22" w:rsidRPr="00036E68">
        <w:t>Paslaugos teikiamos</w:t>
      </w:r>
      <w:r w:rsidR="00EE2D57">
        <w:t xml:space="preserve"> nuo Sutarties įsigaliojimo dienos</w:t>
      </w:r>
      <w:r w:rsidR="00F7312A">
        <w:t xml:space="preserve"> pagal Techninės specifikacijos 21 punkte nustatytus </w:t>
      </w:r>
      <w:r w:rsidR="006F01E8">
        <w:t>P</w:t>
      </w:r>
      <w:r w:rsidR="007C776C">
        <w:t>aslaugų suteikimo</w:t>
      </w:r>
      <w:r w:rsidR="00F7312A">
        <w:t xml:space="preserve"> terminus,</w:t>
      </w:r>
      <w:r w:rsidR="00842E22" w:rsidRPr="00036E68">
        <w:t xml:space="preserve"> su galimybe pratęsti</w:t>
      </w:r>
      <w:r w:rsidR="00F7312A">
        <w:t xml:space="preserve"> </w:t>
      </w:r>
      <w:r w:rsidR="00484F69">
        <w:t>P</w:t>
      </w:r>
      <w:r w:rsidR="00F7312A">
        <w:t>aslaugų teikimo termin</w:t>
      </w:r>
      <w:r w:rsidR="006F01E8">
        <w:t>us</w:t>
      </w:r>
      <w:r w:rsidR="00842E22" w:rsidRPr="00036E68">
        <w:t xml:space="preserve"> 2 (du) kartus po 6 (šešis) mėnesi</w:t>
      </w:r>
      <w:r w:rsidR="001E32A2" w:rsidRPr="00036E68">
        <w:t>u</w:t>
      </w:r>
      <w:r w:rsidR="00842E22" w:rsidRPr="00036E68">
        <w:t>s.</w:t>
      </w:r>
      <w:r w:rsidR="00EE2D57">
        <w:t xml:space="preserve"> </w:t>
      </w:r>
      <w:r w:rsidR="00842E22" w:rsidRPr="00036E68">
        <w:t xml:space="preserve"> </w:t>
      </w:r>
      <w:bookmarkEnd w:id="2"/>
    </w:p>
    <w:p w14:paraId="7393813E" w14:textId="05C3C297" w:rsidR="00EC007D" w:rsidRDefault="00A76CE0" w:rsidP="00EC007D">
      <w:pPr>
        <w:tabs>
          <w:tab w:val="left" w:pos="627"/>
        </w:tabs>
        <w:ind w:firstLine="680"/>
        <w:jc w:val="both"/>
      </w:pPr>
      <w:r>
        <w:t xml:space="preserve">21. </w:t>
      </w:r>
      <w:bookmarkStart w:id="3" w:name="_Hlk168438803"/>
      <w:r>
        <w:t xml:space="preserve">1 lentelėje Numatomi darbai </w:t>
      </w:r>
      <w:bookmarkStart w:id="4" w:name="_Hlk169604638"/>
      <w:bookmarkStart w:id="5" w:name="_Hlk170827735"/>
      <w:r>
        <w:t>1 punkte</w:t>
      </w:r>
      <w:r w:rsidR="0034494D">
        <w:t xml:space="preserve"> (</w:t>
      </w:r>
      <w:r w:rsidR="0034494D" w:rsidRPr="0034494D">
        <w:t>Bylų skirstymo pakeitimų įgyvendinimas</w:t>
      </w:r>
      <w:r w:rsidR="0034494D">
        <w:t>)</w:t>
      </w:r>
      <w:r w:rsidR="003E7A08">
        <w:t xml:space="preserve"> ir</w:t>
      </w:r>
      <w:r>
        <w:t xml:space="preserve"> 2.1 papunktyje </w:t>
      </w:r>
      <w:r w:rsidR="0034494D">
        <w:t>(</w:t>
      </w:r>
      <w:r w:rsidR="00D36914">
        <w:t>Teismų sistemos reorganizacijos įgyvendinimas</w:t>
      </w:r>
      <w:r w:rsidR="00F51862">
        <w:t xml:space="preserve">: </w:t>
      </w:r>
      <w:r w:rsidR="0034494D" w:rsidRPr="0034494D">
        <w:t xml:space="preserve">1 etapas (atliekama iki LITEKO2 </w:t>
      </w:r>
      <w:r w:rsidR="00237BBF">
        <w:t>eksploatacijos pradžios</w:t>
      </w:r>
      <w:r w:rsidR="0034494D" w:rsidRPr="0034494D">
        <w:t>)</w:t>
      </w:r>
      <w:r w:rsidR="0034494D">
        <w:t xml:space="preserve">) </w:t>
      </w:r>
      <w:r>
        <w:t>įvardinti darbai turi būti atlikti iki 202</w:t>
      </w:r>
      <w:r w:rsidR="00D36914">
        <w:t>5</w:t>
      </w:r>
      <w:r>
        <w:t xml:space="preserve"> m. </w:t>
      </w:r>
      <w:r w:rsidR="00D36914">
        <w:t xml:space="preserve">sausio </w:t>
      </w:r>
      <w:r>
        <w:t>1 d., 2.2 papunktyje</w:t>
      </w:r>
      <w:r w:rsidR="0034494D">
        <w:t xml:space="preserve"> (</w:t>
      </w:r>
      <w:r w:rsidR="00D36914">
        <w:t>Teismų sistemos reorganizacijos įgyvendinimas</w:t>
      </w:r>
      <w:r w:rsidR="00F51862">
        <w:t>:</w:t>
      </w:r>
      <w:r w:rsidR="00D36914">
        <w:t xml:space="preserve"> </w:t>
      </w:r>
      <w:r w:rsidR="0034494D" w:rsidRPr="0034494D">
        <w:t xml:space="preserve">2 etapas (atliekama po LITEKO2 </w:t>
      </w:r>
      <w:r w:rsidR="00237BBF">
        <w:t>eksploatacijos pradžios</w:t>
      </w:r>
      <w:r w:rsidR="00237BBF" w:rsidRPr="0034494D">
        <w:t xml:space="preserve"> </w:t>
      </w:r>
      <w:r w:rsidR="0034494D" w:rsidRPr="0034494D">
        <w:t>pagal iš anksto suderintą datą)</w:t>
      </w:r>
      <w:r w:rsidR="0034494D">
        <w:t>)</w:t>
      </w:r>
      <w:r>
        <w:t xml:space="preserve"> numatyti darbai turi būti atlikti </w:t>
      </w:r>
      <w:bookmarkEnd w:id="4"/>
      <w:r w:rsidR="00D2656F">
        <w:t>iki 2025 m. balandžio 1 d</w:t>
      </w:r>
      <w:r>
        <w:t xml:space="preserve">. </w:t>
      </w:r>
      <w:bookmarkEnd w:id="3"/>
    </w:p>
    <w:p w14:paraId="20F54547" w14:textId="4B1DA8AE" w:rsidR="00EC007D" w:rsidRDefault="00EC007D" w:rsidP="00EC007D">
      <w:pPr>
        <w:tabs>
          <w:tab w:val="left" w:pos="627"/>
        </w:tabs>
        <w:ind w:firstLine="680"/>
        <w:jc w:val="both"/>
      </w:pPr>
      <w:r>
        <w:t xml:space="preserve">22. 1 lentelėje Numatomi darbai numatytos </w:t>
      </w:r>
      <w:r w:rsidR="00226B8A">
        <w:t>P</w:t>
      </w:r>
      <w:r>
        <w:t>aslaugos</w:t>
      </w:r>
      <w:r w:rsidR="00226B8A">
        <w:t xml:space="preserve"> ar jų dalis</w:t>
      </w:r>
      <w:r>
        <w:t xml:space="preserve"> gali būti </w:t>
      </w:r>
      <w:r w:rsidR="00226B8A">
        <w:t>Užsakovo ir Teikėjo rašytiniu susitarimu, nepažeidžiant Viešųjų pirkimų įstatyme numatytų viešųjų pirkimų principų ir pirkimo tikslo keičiami kitais darbais. Keičiami darbai turi būti lygiaverčiai numatytoms Paslaugoms, tokios pačios apimties bei vertės, jiems nereikės papildomų teikėjo žmogiškųjų išteklių.</w:t>
      </w:r>
    </w:p>
    <w:p w14:paraId="592217D8" w14:textId="33AEB99A" w:rsidR="00226B8A" w:rsidRDefault="00226B8A" w:rsidP="00EC007D">
      <w:pPr>
        <w:tabs>
          <w:tab w:val="left" w:pos="627"/>
        </w:tabs>
        <w:ind w:firstLine="680"/>
        <w:jc w:val="both"/>
      </w:pPr>
      <w:r>
        <w:t>23. Pakeitimai, numatyti 22 punkte, gali būti atliekami</w:t>
      </w:r>
      <w:r w:rsidR="00207FEF">
        <w:t xml:space="preserve"> pasikeitus norminių teisės aktų reikalavimams ar</w:t>
      </w:r>
      <w:r>
        <w:t xml:space="preserve"> atsiradus </w:t>
      </w:r>
      <w:r w:rsidR="00207FEF">
        <w:t xml:space="preserve">kitoms </w:t>
      </w:r>
      <w:r>
        <w:t xml:space="preserve">aplinkybėms, kurios tampa žinomos po Sutarties sudarymo, jų atsiradimo pasiūlymo pateikimo ar </w:t>
      </w:r>
      <w:r w:rsidR="00207FEF">
        <w:t>S</w:t>
      </w:r>
      <w:r>
        <w:t xml:space="preserve">utarties sudarymo metu nebuvo galima protingai numatyti ir kontroliuoti, taip pat iš anksto įvertinti ir jų atsiradimo rizikos. </w:t>
      </w:r>
    </w:p>
    <w:bookmarkEnd w:id="5"/>
    <w:p w14:paraId="2EC622CC" w14:textId="77777777" w:rsidR="006551F6" w:rsidRDefault="006551F6" w:rsidP="007626E6">
      <w:pPr>
        <w:tabs>
          <w:tab w:val="left" w:pos="627"/>
        </w:tabs>
        <w:ind w:firstLine="680"/>
        <w:jc w:val="both"/>
      </w:pPr>
    </w:p>
    <w:p w14:paraId="7BAA2B4C" w14:textId="77777777" w:rsidR="00E51A29" w:rsidRDefault="00E51A29" w:rsidP="007626E6">
      <w:pPr>
        <w:tabs>
          <w:tab w:val="left" w:pos="627"/>
        </w:tabs>
        <w:ind w:firstLine="680"/>
        <w:jc w:val="both"/>
      </w:pPr>
    </w:p>
    <w:p w14:paraId="0231B35F" w14:textId="77777777" w:rsidR="006551F6" w:rsidRPr="00036E68" w:rsidRDefault="006551F6" w:rsidP="007626E6">
      <w:pPr>
        <w:tabs>
          <w:tab w:val="left" w:pos="627"/>
        </w:tabs>
        <w:ind w:firstLine="680"/>
        <w:jc w:val="both"/>
      </w:pPr>
      <w:r>
        <w:lastRenderedPageBreak/>
        <w:t>1. lentelė.</w:t>
      </w:r>
      <w:r w:rsidR="00A55F0F">
        <w:t xml:space="preserve"> </w:t>
      </w:r>
      <w:r w:rsidR="00F8478B" w:rsidRPr="00A55F0F">
        <w:rPr>
          <w:b/>
          <w:bCs/>
        </w:rPr>
        <w:t>Numatomi</w:t>
      </w:r>
      <w:r w:rsidRPr="00F8478B">
        <w:rPr>
          <w:b/>
          <w:bCs/>
        </w:rPr>
        <w:t xml:space="preserve"> </w:t>
      </w:r>
      <w:r w:rsidRPr="00D44C01">
        <w:rPr>
          <w:b/>
          <w:bCs/>
        </w:rPr>
        <w:t>darbai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752"/>
      </w:tblGrid>
      <w:tr w:rsidR="009139F9" w14:paraId="63C458FD" w14:textId="77777777" w:rsidTr="00AE01E7">
        <w:tc>
          <w:tcPr>
            <w:tcW w:w="876" w:type="dxa"/>
            <w:shd w:val="clear" w:color="auto" w:fill="auto"/>
          </w:tcPr>
          <w:p w14:paraId="50AC16BD" w14:textId="77777777" w:rsidR="009139F9" w:rsidRDefault="009139F9" w:rsidP="00AE01E7">
            <w:pPr>
              <w:tabs>
                <w:tab w:val="left" w:pos="627"/>
              </w:tabs>
              <w:jc w:val="both"/>
            </w:pPr>
            <w:bookmarkStart w:id="6" w:name="_Hlk167692716"/>
            <w:r>
              <w:t xml:space="preserve">Eil. Nr. </w:t>
            </w:r>
          </w:p>
        </w:tc>
        <w:tc>
          <w:tcPr>
            <w:tcW w:w="8978" w:type="dxa"/>
            <w:shd w:val="clear" w:color="auto" w:fill="auto"/>
          </w:tcPr>
          <w:p w14:paraId="74F12FD1" w14:textId="77777777" w:rsidR="009139F9" w:rsidRDefault="009139F9" w:rsidP="00AE01E7">
            <w:pPr>
              <w:tabs>
                <w:tab w:val="left" w:pos="627"/>
              </w:tabs>
              <w:jc w:val="both"/>
            </w:pPr>
          </w:p>
        </w:tc>
      </w:tr>
      <w:tr w:rsidR="009139F9" w14:paraId="7633A649" w14:textId="77777777" w:rsidTr="00AE01E7">
        <w:tc>
          <w:tcPr>
            <w:tcW w:w="876" w:type="dxa"/>
            <w:shd w:val="clear" w:color="auto" w:fill="auto"/>
          </w:tcPr>
          <w:p w14:paraId="7E96C9AF" w14:textId="77777777" w:rsidR="009139F9" w:rsidRDefault="009139F9" w:rsidP="00AE01E7">
            <w:pPr>
              <w:tabs>
                <w:tab w:val="left" w:pos="627"/>
              </w:tabs>
              <w:jc w:val="both"/>
            </w:pPr>
            <w:r>
              <w:t>1.</w:t>
            </w:r>
          </w:p>
        </w:tc>
        <w:tc>
          <w:tcPr>
            <w:tcW w:w="8978" w:type="dxa"/>
            <w:shd w:val="clear" w:color="auto" w:fill="auto"/>
          </w:tcPr>
          <w:p w14:paraId="79C42E5D" w14:textId="77777777" w:rsidR="009139F9" w:rsidRDefault="009139F9" w:rsidP="00AE01E7">
            <w:pPr>
              <w:tabs>
                <w:tab w:val="left" w:pos="627"/>
              </w:tabs>
              <w:jc w:val="both"/>
              <w:rPr>
                <w:b/>
                <w:bCs/>
              </w:rPr>
            </w:pPr>
            <w:r>
              <w:rPr>
                <w:b/>
                <w:bCs/>
              </w:rPr>
              <w:t>Bylų skirstymo pakeitimų įgyvendinimas</w:t>
            </w:r>
          </w:p>
        </w:tc>
      </w:tr>
      <w:tr w:rsidR="009139F9" w14:paraId="25DEAC1E" w14:textId="77777777" w:rsidTr="00AE01E7">
        <w:tc>
          <w:tcPr>
            <w:tcW w:w="876" w:type="dxa"/>
            <w:shd w:val="clear" w:color="auto" w:fill="auto"/>
          </w:tcPr>
          <w:p w14:paraId="367F2C24" w14:textId="77777777" w:rsidR="009139F9" w:rsidRDefault="009139F9" w:rsidP="00AE01E7">
            <w:pPr>
              <w:tabs>
                <w:tab w:val="left" w:pos="627"/>
              </w:tabs>
              <w:jc w:val="both"/>
            </w:pPr>
            <w:r>
              <w:t xml:space="preserve">1.1. </w:t>
            </w:r>
          </w:p>
        </w:tc>
        <w:tc>
          <w:tcPr>
            <w:tcW w:w="8978" w:type="dxa"/>
            <w:shd w:val="clear" w:color="auto" w:fill="auto"/>
          </w:tcPr>
          <w:p w14:paraId="47CD3107" w14:textId="77777777" w:rsidR="009139F9" w:rsidRDefault="009139F9" w:rsidP="00AE01E7">
            <w:pPr>
              <w:tabs>
                <w:tab w:val="left" w:pos="627"/>
              </w:tabs>
              <w:jc w:val="both"/>
            </w:pPr>
            <w:r>
              <w:t>Naujo bylų skirstymo grupės požymio pridėjimas, numatantis, kad byla skirstytina bendrame krepšelyje</w:t>
            </w:r>
          </w:p>
        </w:tc>
      </w:tr>
      <w:tr w:rsidR="009139F9" w14:paraId="4186E8D9" w14:textId="77777777" w:rsidTr="00AE01E7">
        <w:tc>
          <w:tcPr>
            <w:tcW w:w="876" w:type="dxa"/>
            <w:shd w:val="clear" w:color="auto" w:fill="auto"/>
          </w:tcPr>
          <w:p w14:paraId="6A7DB4D1" w14:textId="77777777" w:rsidR="009139F9" w:rsidRDefault="009139F9" w:rsidP="00AE01E7">
            <w:pPr>
              <w:tabs>
                <w:tab w:val="left" w:pos="627"/>
              </w:tabs>
              <w:jc w:val="both"/>
            </w:pPr>
            <w:r>
              <w:t>1.2.</w:t>
            </w:r>
          </w:p>
        </w:tc>
        <w:tc>
          <w:tcPr>
            <w:tcW w:w="8978" w:type="dxa"/>
            <w:shd w:val="clear" w:color="auto" w:fill="auto"/>
          </w:tcPr>
          <w:p w14:paraId="738E9F6C" w14:textId="77777777" w:rsidR="009139F9" w:rsidRDefault="009139F9" w:rsidP="00AE01E7">
            <w:pPr>
              <w:tabs>
                <w:tab w:val="left" w:pos="627"/>
              </w:tabs>
              <w:jc w:val="both"/>
            </w:pPr>
            <w:r>
              <w:t>Bylų skirstymo iteracijos kūrimas, bylos įtraukimas į skirstymą bendrame krepšelyje (naujai sukūrus bylą ir paredagavus bylos duomenis kortelėje)</w:t>
            </w:r>
          </w:p>
        </w:tc>
      </w:tr>
      <w:tr w:rsidR="009139F9" w14:paraId="65A5C7DF" w14:textId="77777777" w:rsidTr="00AE01E7">
        <w:tc>
          <w:tcPr>
            <w:tcW w:w="876" w:type="dxa"/>
            <w:shd w:val="clear" w:color="auto" w:fill="auto"/>
          </w:tcPr>
          <w:p w14:paraId="6F9F94FC" w14:textId="77777777" w:rsidR="009139F9" w:rsidRDefault="009139F9" w:rsidP="00AE01E7">
            <w:pPr>
              <w:tabs>
                <w:tab w:val="left" w:pos="627"/>
              </w:tabs>
              <w:jc w:val="both"/>
            </w:pPr>
            <w:r>
              <w:t xml:space="preserve">1.3. </w:t>
            </w:r>
          </w:p>
        </w:tc>
        <w:tc>
          <w:tcPr>
            <w:tcW w:w="8978" w:type="dxa"/>
            <w:shd w:val="clear" w:color="auto" w:fill="auto"/>
          </w:tcPr>
          <w:p w14:paraId="582384AD" w14:textId="77777777" w:rsidR="009139F9" w:rsidRDefault="009139F9" w:rsidP="00AE01E7">
            <w:pPr>
              <w:tabs>
                <w:tab w:val="left" w:pos="627"/>
              </w:tabs>
              <w:jc w:val="both"/>
            </w:pPr>
            <w:r>
              <w:t>Bendrame krepšelyje skirstomų bylų sąrašo sukūrimas</w:t>
            </w:r>
          </w:p>
        </w:tc>
      </w:tr>
      <w:tr w:rsidR="009139F9" w14:paraId="2FCA84BA" w14:textId="77777777" w:rsidTr="00AE01E7">
        <w:tc>
          <w:tcPr>
            <w:tcW w:w="876" w:type="dxa"/>
            <w:shd w:val="clear" w:color="auto" w:fill="auto"/>
          </w:tcPr>
          <w:p w14:paraId="23F1ACDA" w14:textId="77777777" w:rsidR="009139F9" w:rsidRDefault="009139F9" w:rsidP="00AE01E7">
            <w:pPr>
              <w:tabs>
                <w:tab w:val="left" w:pos="627"/>
              </w:tabs>
              <w:jc w:val="both"/>
            </w:pPr>
            <w:r>
              <w:t>1.4.</w:t>
            </w:r>
          </w:p>
        </w:tc>
        <w:tc>
          <w:tcPr>
            <w:tcW w:w="8978" w:type="dxa"/>
            <w:shd w:val="clear" w:color="auto" w:fill="auto"/>
          </w:tcPr>
          <w:p w14:paraId="0980DDD2" w14:textId="77777777" w:rsidR="009139F9" w:rsidRDefault="009139F9" w:rsidP="00AE01E7">
            <w:pPr>
              <w:tabs>
                <w:tab w:val="left" w:pos="627"/>
              </w:tabs>
              <w:jc w:val="both"/>
            </w:pPr>
            <w:r>
              <w:t>Bendrųjų skirstymo parametrų formos papildymas, lubų numatymas bendram krepšeliui pagal teismų rūšį</w:t>
            </w:r>
          </w:p>
        </w:tc>
      </w:tr>
      <w:tr w:rsidR="009139F9" w14:paraId="1C655E9F" w14:textId="77777777" w:rsidTr="00AE01E7">
        <w:tc>
          <w:tcPr>
            <w:tcW w:w="876" w:type="dxa"/>
            <w:shd w:val="clear" w:color="auto" w:fill="auto"/>
          </w:tcPr>
          <w:p w14:paraId="07529955" w14:textId="77777777" w:rsidR="009139F9" w:rsidRDefault="009139F9" w:rsidP="00AE01E7">
            <w:pPr>
              <w:tabs>
                <w:tab w:val="left" w:pos="627"/>
              </w:tabs>
              <w:jc w:val="both"/>
            </w:pPr>
            <w:r>
              <w:t xml:space="preserve">1.5. </w:t>
            </w:r>
          </w:p>
        </w:tc>
        <w:tc>
          <w:tcPr>
            <w:tcW w:w="8978" w:type="dxa"/>
            <w:shd w:val="clear" w:color="auto" w:fill="auto"/>
          </w:tcPr>
          <w:p w14:paraId="06D1097B" w14:textId="77777777" w:rsidR="009139F9" w:rsidRDefault="009139F9" w:rsidP="00AE01E7">
            <w:pPr>
              <w:tabs>
                <w:tab w:val="left" w:pos="627"/>
              </w:tabs>
              <w:jc w:val="both"/>
            </w:pPr>
            <w:r>
              <w:t>Bendrame krepšelyje paskirstytų bylų atvaizdavimas teismo paskirtų bylų sąraše, atitinkamas teises turinčio naudotojo darbalaukyje pateikiama informacija apie kitam teismui/rūmams priskirtas tame teisme prieš tai gautas bylas</w:t>
            </w:r>
          </w:p>
        </w:tc>
      </w:tr>
      <w:tr w:rsidR="009139F9" w14:paraId="178F905D" w14:textId="77777777" w:rsidTr="00AE01E7">
        <w:tc>
          <w:tcPr>
            <w:tcW w:w="876" w:type="dxa"/>
            <w:shd w:val="clear" w:color="auto" w:fill="auto"/>
          </w:tcPr>
          <w:p w14:paraId="77EBB04E" w14:textId="77777777" w:rsidR="009139F9" w:rsidRDefault="009139F9" w:rsidP="00AE01E7">
            <w:pPr>
              <w:tabs>
                <w:tab w:val="left" w:pos="627"/>
              </w:tabs>
              <w:jc w:val="both"/>
            </w:pPr>
            <w:r>
              <w:t xml:space="preserve">1.6. </w:t>
            </w:r>
          </w:p>
        </w:tc>
        <w:tc>
          <w:tcPr>
            <w:tcW w:w="8978" w:type="dxa"/>
            <w:shd w:val="clear" w:color="auto" w:fill="auto"/>
          </w:tcPr>
          <w:p w14:paraId="27D7A988" w14:textId="77777777" w:rsidR="009139F9" w:rsidRDefault="009139F9" w:rsidP="00AE01E7">
            <w:pPr>
              <w:tabs>
                <w:tab w:val="left" w:pos="627"/>
              </w:tabs>
              <w:jc w:val="both"/>
            </w:pPr>
            <w:r>
              <w:t>Automatinio bendro krepšelio bylų skirstymo sukūrimas, įtraukiant teisėjus iš visų rūšių teismų ir atsižvelgiant į skirtingas repozitorijas</w:t>
            </w:r>
          </w:p>
        </w:tc>
      </w:tr>
      <w:tr w:rsidR="009139F9" w14:paraId="4DE729EB" w14:textId="77777777" w:rsidTr="00AE01E7">
        <w:tc>
          <w:tcPr>
            <w:tcW w:w="876" w:type="dxa"/>
            <w:shd w:val="clear" w:color="auto" w:fill="auto"/>
          </w:tcPr>
          <w:p w14:paraId="79A1FDF9" w14:textId="77777777" w:rsidR="009139F9" w:rsidRDefault="009139F9" w:rsidP="00AE01E7">
            <w:pPr>
              <w:tabs>
                <w:tab w:val="left" w:pos="627"/>
              </w:tabs>
              <w:jc w:val="both"/>
            </w:pPr>
            <w:r>
              <w:t xml:space="preserve">1.7. </w:t>
            </w:r>
          </w:p>
        </w:tc>
        <w:tc>
          <w:tcPr>
            <w:tcW w:w="8978" w:type="dxa"/>
            <w:shd w:val="clear" w:color="auto" w:fill="auto"/>
          </w:tcPr>
          <w:p w14:paraId="56993084" w14:textId="77777777" w:rsidR="009139F9" w:rsidRDefault="009139F9" w:rsidP="00AE01E7">
            <w:pPr>
              <w:tabs>
                <w:tab w:val="left" w:pos="627"/>
              </w:tabs>
              <w:jc w:val="both"/>
            </w:pPr>
            <w:r>
              <w:t>Skaičiavimų, pritaikytų skirstymui įtraukiant duomenis iš skirtingų repozitorijų, sukūrimas</w:t>
            </w:r>
          </w:p>
        </w:tc>
      </w:tr>
      <w:tr w:rsidR="009139F9" w14:paraId="35E50DDB" w14:textId="77777777" w:rsidTr="00AE01E7">
        <w:tc>
          <w:tcPr>
            <w:tcW w:w="876" w:type="dxa"/>
            <w:shd w:val="clear" w:color="auto" w:fill="auto"/>
          </w:tcPr>
          <w:p w14:paraId="384000C7" w14:textId="77777777" w:rsidR="009139F9" w:rsidRDefault="009139F9" w:rsidP="00AE01E7">
            <w:pPr>
              <w:tabs>
                <w:tab w:val="left" w:pos="627"/>
              </w:tabs>
              <w:jc w:val="both"/>
            </w:pPr>
            <w:r>
              <w:t xml:space="preserve">1.8. </w:t>
            </w:r>
          </w:p>
        </w:tc>
        <w:tc>
          <w:tcPr>
            <w:tcW w:w="8978" w:type="dxa"/>
            <w:shd w:val="clear" w:color="auto" w:fill="auto"/>
          </w:tcPr>
          <w:p w14:paraId="0A6A950F" w14:textId="77777777" w:rsidR="009139F9" w:rsidRDefault="009139F9" w:rsidP="00AE01E7">
            <w:pPr>
              <w:tabs>
                <w:tab w:val="left" w:pos="627"/>
              </w:tabs>
              <w:jc w:val="both"/>
            </w:pPr>
            <w:r>
              <w:t>Skirstymo protokolo suformavimas bendrame krepšelyje paskirstytai bylai</w:t>
            </w:r>
          </w:p>
        </w:tc>
      </w:tr>
      <w:tr w:rsidR="009139F9" w14:paraId="586966CE" w14:textId="77777777" w:rsidTr="00AE01E7">
        <w:tc>
          <w:tcPr>
            <w:tcW w:w="876" w:type="dxa"/>
            <w:shd w:val="clear" w:color="auto" w:fill="auto"/>
          </w:tcPr>
          <w:p w14:paraId="2F51673F" w14:textId="77777777" w:rsidR="009139F9" w:rsidRDefault="009139F9" w:rsidP="00AE01E7">
            <w:pPr>
              <w:tabs>
                <w:tab w:val="left" w:pos="627"/>
              </w:tabs>
              <w:jc w:val="both"/>
            </w:pPr>
            <w:r>
              <w:t>1.9.</w:t>
            </w:r>
          </w:p>
        </w:tc>
        <w:tc>
          <w:tcPr>
            <w:tcW w:w="8978" w:type="dxa"/>
            <w:shd w:val="clear" w:color="auto" w:fill="auto"/>
          </w:tcPr>
          <w:p w14:paraId="60F2A9CF" w14:textId="77777777" w:rsidR="009139F9" w:rsidRDefault="009139F9" w:rsidP="00AE01E7">
            <w:pPr>
              <w:tabs>
                <w:tab w:val="left" w:pos="627"/>
              </w:tabs>
              <w:jc w:val="both"/>
            </w:pPr>
            <w:r>
              <w:t>LITEKO2 sistemos administratoriaus (Nacionalinės teismų administracijos LITEKO2 naudotojo) informavimas apie nepaskirstytas bylas bendrame krepšelyje - darbalaukyje</w:t>
            </w:r>
          </w:p>
        </w:tc>
      </w:tr>
      <w:tr w:rsidR="009139F9" w14:paraId="53F2BDE1" w14:textId="77777777" w:rsidTr="00AE01E7">
        <w:tc>
          <w:tcPr>
            <w:tcW w:w="876" w:type="dxa"/>
            <w:shd w:val="clear" w:color="auto" w:fill="auto"/>
          </w:tcPr>
          <w:p w14:paraId="5E99C94C" w14:textId="77777777" w:rsidR="009139F9" w:rsidRDefault="009139F9" w:rsidP="00AE01E7">
            <w:pPr>
              <w:tabs>
                <w:tab w:val="left" w:pos="627"/>
              </w:tabs>
              <w:jc w:val="both"/>
            </w:pPr>
            <w:r>
              <w:t>1.10.</w:t>
            </w:r>
          </w:p>
        </w:tc>
        <w:tc>
          <w:tcPr>
            <w:tcW w:w="8978" w:type="dxa"/>
            <w:shd w:val="clear" w:color="auto" w:fill="auto"/>
          </w:tcPr>
          <w:p w14:paraId="4CCC47FE" w14:textId="77777777" w:rsidR="009139F9" w:rsidRDefault="009139F9" w:rsidP="00AE01E7">
            <w:pPr>
              <w:tabs>
                <w:tab w:val="left" w:pos="627"/>
              </w:tabs>
              <w:jc w:val="both"/>
            </w:pPr>
            <w:r>
              <w:t xml:space="preserve">Bylos perkėlimas į teisėjo pranešėjo teismą. Pradinio teismo duomenų išsaugojimas naujame bylos atribute. Bylos kopijavimo į kitą repozitoriją funkcionalumas. Apygardų bylų skirstymo atveju, pranešimo apylinkės teismui apie bylai paskirtą teisėją (pranešėją) išsiuntimas. </w:t>
            </w:r>
          </w:p>
        </w:tc>
      </w:tr>
      <w:tr w:rsidR="009139F9" w14:paraId="3C3114E4" w14:textId="77777777" w:rsidTr="00AE01E7">
        <w:tc>
          <w:tcPr>
            <w:tcW w:w="876" w:type="dxa"/>
            <w:shd w:val="clear" w:color="auto" w:fill="auto"/>
          </w:tcPr>
          <w:p w14:paraId="226B3C14" w14:textId="77777777" w:rsidR="009139F9" w:rsidRDefault="009139F9" w:rsidP="00AE01E7">
            <w:pPr>
              <w:tabs>
                <w:tab w:val="left" w:pos="627"/>
              </w:tabs>
              <w:jc w:val="both"/>
            </w:pPr>
            <w:r>
              <w:t>1.11.</w:t>
            </w:r>
          </w:p>
        </w:tc>
        <w:tc>
          <w:tcPr>
            <w:tcW w:w="8978" w:type="dxa"/>
            <w:shd w:val="clear" w:color="auto" w:fill="auto"/>
          </w:tcPr>
          <w:p w14:paraId="06EC8EDB" w14:textId="77777777" w:rsidR="009139F9" w:rsidRDefault="009139F9" w:rsidP="00AE01E7">
            <w:pPr>
              <w:tabs>
                <w:tab w:val="left" w:pos="627"/>
              </w:tabs>
              <w:jc w:val="both"/>
            </w:pPr>
            <w:r>
              <w:t>Naujo bylos numerio suteikimas bylai naujame teisme. Seno bylos numerio išsaugojimas</w:t>
            </w:r>
          </w:p>
        </w:tc>
      </w:tr>
      <w:tr w:rsidR="009139F9" w14:paraId="063B1A27" w14:textId="77777777" w:rsidTr="00AE01E7">
        <w:tc>
          <w:tcPr>
            <w:tcW w:w="876" w:type="dxa"/>
            <w:shd w:val="clear" w:color="auto" w:fill="auto"/>
          </w:tcPr>
          <w:p w14:paraId="41FB448C" w14:textId="77777777" w:rsidR="009139F9" w:rsidRDefault="009139F9" w:rsidP="00AE01E7">
            <w:pPr>
              <w:tabs>
                <w:tab w:val="left" w:pos="627"/>
              </w:tabs>
              <w:jc w:val="both"/>
            </w:pPr>
            <w:r>
              <w:t>1.12.</w:t>
            </w:r>
          </w:p>
        </w:tc>
        <w:tc>
          <w:tcPr>
            <w:tcW w:w="8978" w:type="dxa"/>
            <w:shd w:val="clear" w:color="auto" w:fill="auto"/>
          </w:tcPr>
          <w:p w14:paraId="5F8180E7" w14:textId="77777777" w:rsidR="009139F9" w:rsidRDefault="009139F9" w:rsidP="00AE01E7">
            <w:pPr>
              <w:tabs>
                <w:tab w:val="left" w:pos="627"/>
              </w:tabs>
              <w:jc w:val="both"/>
            </w:pPr>
            <w:r>
              <w:t>Bylos prieigos sutvarkymas naujam teismui paskyrus teisėją pranešėją</w:t>
            </w:r>
          </w:p>
        </w:tc>
      </w:tr>
      <w:tr w:rsidR="009139F9" w14:paraId="3D9D6F76" w14:textId="77777777" w:rsidTr="00AE01E7">
        <w:tc>
          <w:tcPr>
            <w:tcW w:w="876" w:type="dxa"/>
            <w:shd w:val="clear" w:color="auto" w:fill="auto"/>
          </w:tcPr>
          <w:p w14:paraId="246703CA" w14:textId="77777777" w:rsidR="009139F9" w:rsidRDefault="009139F9" w:rsidP="00AE01E7">
            <w:pPr>
              <w:tabs>
                <w:tab w:val="left" w:pos="627"/>
              </w:tabs>
              <w:jc w:val="both"/>
            </w:pPr>
            <w:r>
              <w:t>1.13.</w:t>
            </w:r>
          </w:p>
        </w:tc>
        <w:tc>
          <w:tcPr>
            <w:tcW w:w="8978" w:type="dxa"/>
            <w:shd w:val="clear" w:color="auto" w:fill="auto"/>
          </w:tcPr>
          <w:p w14:paraId="1F092A03" w14:textId="77777777" w:rsidR="009139F9" w:rsidRDefault="009139F9" w:rsidP="00AE01E7">
            <w:pPr>
              <w:tabs>
                <w:tab w:val="left" w:pos="627"/>
              </w:tabs>
              <w:jc w:val="both"/>
            </w:pPr>
            <w:r>
              <w:t>Teisėjų rodiklių objektų kūrimo bylų skirstymo metu optimizavimas</w:t>
            </w:r>
          </w:p>
        </w:tc>
      </w:tr>
      <w:tr w:rsidR="009139F9" w14:paraId="2EE16117" w14:textId="77777777" w:rsidTr="00AE01E7">
        <w:tc>
          <w:tcPr>
            <w:tcW w:w="876" w:type="dxa"/>
            <w:shd w:val="clear" w:color="auto" w:fill="auto"/>
          </w:tcPr>
          <w:p w14:paraId="5BC9C873" w14:textId="77777777" w:rsidR="009139F9" w:rsidRDefault="009139F9" w:rsidP="00AE01E7">
            <w:pPr>
              <w:tabs>
                <w:tab w:val="left" w:pos="627"/>
              </w:tabs>
              <w:jc w:val="both"/>
            </w:pPr>
            <w:r>
              <w:t>1.14.</w:t>
            </w:r>
          </w:p>
        </w:tc>
        <w:tc>
          <w:tcPr>
            <w:tcW w:w="8978" w:type="dxa"/>
            <w:shd w:val="clear" w:color="auto" w:fill="auto"/>
          </w:tcPr>
          <w:p w14:paraId="671BC1A9" w14:textId="77777777" w:rsidR="009139F9" w:rsidRDefault="009139F9" w:rsidP="00AE01E7">
            <w:pPr>
              <w:tabs>
                <w:tab w:val="left" w:pos="627"/>
              </w:tabs>
              <w:jc w:val="both"/>
            </w:pPr>
            <w:r>
              <w:t xml:space="preserve">Sprendimo analizė, projektavimas, testavimas, nuotolinis naujų funkcionalumų pristatymas teismų bendruomenei, naudotojo vadovas </w:t>
            </w:r>
          </w:p>
        </w:tc>
      </w:tr>
      <w:tr w:rsidR="009139F9" w14:paraId="2FF21C9E" w14:textId="77777777" w:rsidTr="00AE01E7">
        <w:tc>
          <w:tcPr>
            <w:tcW w:w="876" w:type="dxa"/>
            <w:shd w:val="clear" w:color="auto" w:fill="auto"/>
          </w:tcPr>
          <w:p w14:paraId="17566A07" w14:textId="77777777" w:rsidR="009139F9" w:rsidRDefault="009139F9" w:rsidP="00AE01E7">
            <w:pPr>
              <w:tabs>
                <w:tab w:val="left" w:pos="627"/>
              </w:tabs>
              <w:jc w:val="both"/>
            </w:pPr>
            <w:r>
              <w:t>2.</w:t>
            </w:r>
          </w:p>
        </w:tc>
        <w:tc>
          <w:tcPr>
            <w:tcW w:w="8978" w:type="dxa"/>
            <w:shd w:val="clear" w:color="auto" w:fill="auto"/>
          </w:tcPr>
          <w:p w14:paraId="692E4AA2" w14:textId="77777777" w:rsidR="009139F9" w:rsidRDefault="009139F9" w:rsidP="00AE01E7">
            <w:pPr>
              <w:tabs>
                <w:tab w:val="left" w:pos="627"/>
              </w:tabs>
              <w:jc w:val="both"/>
              <w:rPr>
                <w:b/>
                <w:bCs/>
              </w:rPr>
            </w:pPr>
            <w:r>
              <w:rPr>
                <w:b/>
                <w:bCs/>
              </w:rPr>
              <w:t>Teismų sistemos reorganizacijos įgyvendinimas</w:t>
            </w:r>
          </w:p>
        </w:tc>
      </w:tr>
      <w:tr w:rsidR="009139F9" w14:paraId="5108F74A" w14:textId="77777777" w:rsidTr="00AE01E7">
        <w:tc>
          <w:tcPr>
            <w:tcW w:w="876" w:type="dxa"/>
            <w:shd w:val="clear" w:color="auto" w:fill="auto"/>
          </w:tcPr>
          <w:p w14:paraId="7640A539" w14:textId="77777777" w:rsidR="009139F9" w:rsidRDefault="009139F9" w:rsidP="00AE01E7">
            <w:pPr>
              <w:tabs>
                <w:tab w:val="left" w:pos="627"/>
              </w:tabs>
              <w:jc w:val="both"/>
            </w:pPr>
            <w:r>
              <w:t>2.1.</w:t>
            </w:r>
          </w:p>
        </w:tc>
        <w:tc>
          <w:tcPr>
            <w:tcW w:w="8978" w:type="dxa"/>
            <w:shd w:val="clear" w:color="auto" w:fill="auto"/>
          </w:tcPr>
          <w:p w14:paraId="290F7505" w14:textId="77777777" w:rsidR="009139F9" w:rsidRDefault="009139F9" w:rsidP="00AE01E7">
            <w:pPr>
              <w:tabs>
                <w:tab w:val="left" w:pos="627"/>
              </w:tabs>
              <w:jc w:val="both"/>
              <w:rPr>
                <w:b/>
                <w:bCs/>
              </w:rPr>
            </w:pPr>
            <w:r>
              <w:rPr>
                <w:b/>
                <w:bCs/>
              </w:rPr>
              <w:t>1 etapas (atliekama iki LITEKO2 eksploatacijos pradžios)</w:t>
            </w:r>
          </w:p>
        </w:tc>
      </w:tr>
      <w:tr w:rsidR="009139F9" w14:paraId="4BF2212D" w14:textId="77777777" w:rsidTr="00AE01E7">
        <w:tc>
          <w:tcPr>
            <w:tcW w:w="876" w:type="dxa"/>
            <w:shd w:val="clear" w:color="auto" w:fill="auto"/>
          </w:tcPr>
          <w:p w14:paraId="6003ADBE" w14:textId="77777777" w:rsidR="009139F9" w:rsidRDefault="009139F9" w:rsidP="00AE01E7">
            <w:pPr>
              <w:tabs>
                <w:tab w:val="left" w:pos="627"/>
              </w:tabs>
              <w:jc w:val="both"/>
            </w:pPr>
            <w:r>
              <w:t>2.1.1.</w:t>
            </w:r>
          </w:p>
        </w:tc>
        <w:tc>
          <w:tcPr>
            <w:tcW w:w="8978" w:type="dxa"/>
            <w:shd w:val="clear" w:color="auto" w:fill="auto"/>
          </w:tcPr>
          <w:p w14:paraId="082D4664" w14:textId="77777777" w:rsidR="009139F9" w:rsidRPr="00783254" w:rsidRDefault="009139F9" w:rsidP="00AE01E7">
            <w:pPr>
              <w:tabs>
                <w:tab w:val="left" w:pos="627"/>
              </w:tabs>
              <w:jc w:val="both"/>
            </w:pPr>
            <w:r w:rsidRPr="00783254">
              <w:t>Teismų</w:t>
            </w:r>
            <w:r>
              <w:t xml:space="preserve"> klasifikatoriaus atnaujinimas</w:t>
            </w:r>
          </w:p>
        </w:tc>
      </w:tr>
      <w:tr w:rsidR="009139F9" w14:paraId="4664D9BF" w14:textId="77777777" w:rsidTr="00AE01E7">
        <w:tc>
          <w:tcPr>
            <w:tcW w:w="876" w:type="dxa"/>
            <w:shd w:val="clear" w:color="auto" w:fill="auto"/>
          </w:tcPr>
          <w:p w14:paraId="22EF93B1" w14:textId="77777777" w:rsidR="009139F9" w:rsidRDefault="009139F9" w:rsidP="00AE01E7">
            <w:pPr>
              <w:tabs>
                <w:tab w:val="left" w:pos="627"/>
              </w:tabs>
              <w:jc w:val="both"/>
            </w:pPr>
            <w:r>
              <w:t>2.1.2.</w:t>
            </w:r>
          </w:p>
        </w:tc>
        <w:tc>
          <w:tcPr>
            <w:tcW w:w="8978" w:type="dxa"/>
            <w:shd w:val="clear" w:color="auto" w:fill="auto"/>
          </w:tcPr>
          <w:p w14:paraId="5C01A6B2" w14:textId="77777777" w:rsidR="009139F9" w:rsidRPr="00783254" w:rsidRDefault="009139F9" w:rsidP="00AE01E7">
            <w:pPr>
              <w:tabs>
                <w:tab w:val="left" w:pos="627"/>
              </w:tabs>
              <w:jc w:val="both"/>
            </w:pPr>
            <w:r>
              <w:t>Duomenų modelio pakeitimų įgyvendinimas</w:t>
            </w:r>
          </w:p>
        </w:tc>
      </w:tr>
      <w:tr w:rsidR="009139F9" w14:paraId="155B1851" w14:textId="77777777" w:rsidTr="00AE01E7">
        <w:tc>
          <w:tcPr>
            <w:tcW w:w="876" w:type="dxa"/>
            <w:shd w:val="clear" w:color="auto" w:fill="auto"/>
          </w:tcPr>
          <w:p w14:paraId="2602617C" w14:textId="77777777" w:rsidR="009139F9" w:rsidRDefault="009139F9" w:rsidP="00AE01E7">
            <w:pPr>
              <w:tabs>
                <w:tab w:val="left" w:pos="627"/>
              </w:tabs>
              <w:jc w:val="both"/>
            </w:pPr>
            <w:r>
              <w:t>2.1.3.</w:t>
            </w:r>
          </w:p>
        </w:tc>
        <w:tc>
          <w:tcPr>
            <w:tcW w:w="8978" w:type="dxa"/>
            <w:shd w:val="clear" w:color="auto" w:fill="auto"/>
          </w:tcPr>
          <w:p w14:paraId="44629781" w14:textId="77777777" w:rsidR="009139F9" w:rsidRDefault="009139F9" w:rsidP="00AE01E7">
            <w:pPr>
              <w:tabs>
                <w:tab w:val="left" w:pos="627"/>
              </w:tabs>
              <w:jc w:val="both"/>
            </w:pPr>
            <w:r>
              <w:t>Bylos / dokumentų ir kitų objektų priskyrimo panaikintiems rūmams išsaugojimas ir atvaizdavimas LITEKO2 formose</w:t>
            </w:r>
          </w:p>
        </w:tc>
      </w:tr>
      <w:tr w:rsidR="009139F9" w14:paraId="530623A8" w14:textId="77777777" w:rsidTr="00AE01E7">
        <w:tc>
          <w:tcPr>
            <w:tcW w:w="876" w:type="dxa"/>
            <w:shd w:val="clear" w:color="auto" w:fill="auto"/>
          </w:tcPr>
          <w:p w14:paraId="62C096D8" w14:textId="77777777" w:rsidR="009139F9" w:rsidRDefault="009139F9" w:rsidP="00AE01E7">
            <w:pPr>
              <w:tabs>
                <w:tab w:val="left" w:pos="627"/>
              </w:tabs>
              <w:jc w:val="both"/>
            </w:pPr>
            <w:r>
              <w:t>2.1.4.</w:t>
            </w:r>
          </w:p>
        </w:tc>
        <w:tc>
          <w:tcPr>
            <w:tcW w:w="8978" w:type="dxa"/>
            <w:shd w:val="clear" w:color="auto" w:fill="auto"/>
          </w:tcPr>
          <w:p w14:paraId="1167B7E2" w14:textId="77777777" w:rsidR="009139F9" w:rsidRDefault="009139F9" w:rsidP="00AE01E7">
            <w:pPr>
              <w:tabs>
                <w:tab w:val="left" w:pos="627"/>
              </w:tabs>
              <w:jc w:val="both"/>
            </w:pPr>
            <w:r>
              <w:t>Bylų / dokumentų / dalyvių paieškų pritaikymas prie naujų teismų struktūrinių pokyčių</w:t>
            </w:r>
          </w:p>
        </w:tc>
      </w:tr>
      <w:tr w:rsidR="009139F9" w14:paraId="74EB98F1" w14:textId="77777777" w:rsidTr="00AE01E7">
        <w:tc>
          <w:tcPr>
            <w:tcW w:w="876" w:type="dxa"/>
            <w:shd w:val="clear" w:color="auto" w:fill="auto"/>
          </w:tcPr>
          <w:p w14:paraId="2D92B39B" w14:textId="77777777" w:rsidR="009139F9" w:rsidRDefault="009139F9" w:rsidP="00AE01E7">
            <w:pPr>
              <w:tabs>
                <w:tab w:val="left" w:pos="627"/>
              </w:tabs>
              <w:jc w:val="both"/>
            </w:pPr>
            <w:r>
              <w:t>2.1.5.</w:t>
            </w:r>
          </w:p>
        </w:tc>
        <w:tc>
          <w:tcPr>
            <w:tcW w:w="8978" w:type="dxa"/>
            <w:shd w:val="clear" w:color="auto" w:fill="auto"/>
          </w:tcPr>
          <w:p w14:paraId="70011766" w14:textId="77777777" w:rsidR="009139F9" w:rsidRDefault="009139F9" w:rsidP="00AE01E7">
            <w:pPr>
              <w:tabs>
                <w:tab w:val="left" w:pos="627"/>
              </w:tabs>
              <w:jc w:val="both"/>
            </w:pPr>
            <w:r>
              <w:t>Bylų skirstymo modulio pakeitimai – teisėjų parinkimo koeficiento skaičiavimas įvertinus iki reformos panaikintuose rūmuose turėtas (paskirtas ir nagrinėjamas) bylas</w:t>
            </w:r>
          </w:p>
        </w:tc>
      </w:tr>
      <w:tr w:rsidR="009139F9" w14:paraId="3F809224" w14:textId="77777777" w:rsidTr="00AE01E7">
        <w:tc>
          <w:tcPr>
            <w:tcW w:w="876" w:type="dxa"/>
            <w:shd w:val="clear" w:color="auto" w:fill="auto"/>
          </w:tcPr>
          <w:p w14:paraId="0D573D2E" w14:textId="77777777" w:rsidR="009139F9" w:rsidRDefault="009139F9" w:rsidP="00AE01E7">
            <w:pPr>
              <w:tabs>
                <w:tab w:val="left" w:pos="627"/>
              </w:tabs>
              <w:jc w:val="both"/>
            </w:pPr>
            <w:r>
              <w:t>2.1.6.</w:t>
            </w:r>
          </w:p>
        </w:tc>
        <w:tc>
          <w:tcPr>
            <w:tcW w:w="8978" w:type="dxa"/>
            <w:shd w:val="clear" w:color="auto" w:fill="auto"/>
          </w:tcPr>
          <w:p w14:paraId="66D2C947" w14:textId="77777777" w:rsidR="009139F9" w:rsidRDefault="009139F9" w:rsidP="00AE01E7">
            <w:pPr>
              <w:tabs>
                <w:tab w:val="left" w:pos="627"/>
              </w:tabs>
              <w:jc w:val="both"/>
            </w:pPr>
            <w:r>
              <w:t>Viešinimo dalies pakeitimai – nuorodų į iki LITEKO2 starto galiojusias viešų paieškų formas pridėjimas</w:t>
            </w:r>
          </w:p>
        </w:tc>
      </w:tr>
      <w:tr w:rsidR="009139F9" w14:paraId="67F932BC" w14:textId="77777777" w:rsidTr="00AE01E7">
        <w:tc>
          <w:tcPr>
            <w:tcW w:w="876" w:type="dxa"/>
            <w:shd w:val="clear" w:color="auto" w:fill="auto"/>
          </w:tcPr>
          <w:p w14:paraId="427357C1" w14:textId="77777777" w:rsidR="009139F9" w:rsidRDefault="009139F9" w:rsidP="00AE01E7">
            <w:pPr>
              <w:tabs>
                <w:tab w:val="left" w:pos="627"/>
              </w:tabs>
              <w:jc w:val="both"/>
            </w:pPr>
            <w:r>
              <w:t>2.1.7.</w:t>
            </w:r>
          </w:p>
        </w:tc>
        <w:tc>
          <w:tcPr>
            <w:tcW w:w="8978" w:type="dxa"/>
            <w:shd w:val="clear" w:color="auto" w:fill="auto"/>
          </w:tcPr>
          <w:p w14:paraId="5DFA576F" w14:textId="77777777" w:rsidR="009139F9" w:rsidRDefault="009139F9" w:rsidP="00AE01E7">
            <w:pPr>
              <w:tabs>
                <w:tab w:val="left" w:pos="627"/>
              </w:tabs>
              <w:jc w:val="both"/>
            </w:pPr>
            <w:r>
              <w:t>Lietuvos teismų elektroninių paslaugų portalo (toliau – EPP) pakeitimai – paieškos formų pritaikymas naujai teismų struktūrai</w:t>
            </w:r>
          </w:p>
        </w:tc>
      </w:tr>
      <w:tr w:rsidR="009139F9" w14:paraId="4574CA0A" w14:textId="77777777" w:rsidTr="00AE01E7">
        <w:tc>
          <w:tcPr>
            <w:tcW w:w="876" w:type="dxa"/>
            <w:shd w:val="clear" w:color="auto" w:fill="auto"/>
          </w:tcPr>
          <w:p w14:paraId="5E1C4856" w14:textId="77777777" w:rsidR="009139F9" w:rsidRDefault="009139F9" w:rsidP="00AE01E7">
            <w:pPr>
              <w:tabs>
                <w:tab w:val="left" w:pos="627"/>
              </w:tabs>
              <w:jc w:val="both"/>
            </w:pPr>
            <w:r>
              <w:t>2.1.8.</w:t>
            </w:r>
          </w:p>
        </w:tc>
        <w:tc>
          <w:tcPr>
            <w:tcW w:w="8978" w:type="dxa"/>
            <w:shd w:val="clear" w:color="auto" w:fill="auto"/>
          </w:tcPr>
          <w:p w14:paraId="7E0FF69C" w14:textId="77777777" w:rsidR="009139F9" w:rsidRDefault="009139F9" w:rsidP="00AE01E7">
            <w:pPr>
              <w:tabs>
                <w:tab w:val="left" w:pos="627"/>
              </w:tabs>
              <w:jc w:val="both"/>
            </w:pPr>
            <w:r>
              <w:t>Integracijų pritaikymas naujoms teismų struktūroms</w:t>
            </w:r>
          </w:p>
        </w:tc>
      </w:tr>
      <w:tr w:rsidR="009139F9" w14:paraId="249EA430" w14:textId="77777777" w:rsidTr="00AE01E7">
        <w:tc>
          <w:tcPr>
            <w:tcW w:w="876" w:type="dxa"/>
            <w:shd w:val="clear" w:color="auto" w:fill="auto"/>
          </w:tcPr>
          <w:p w14:paraId="2C77B5C7" w14:textId="77777777" w:rsidR="009139F9" w:rsidRDefault="009139F9" w:rsidP="00AE01E7">
            <w:pPr>
              <w:tabs>
                <w:tab w:val="left" w:pos="627"/>
              </w:tabs>
              <w:jc w:val="both"/>
            </w:pPr>
            <w:r>
              <w:t>2.1.9.</w:t>
            </w:r>
          </w:p>
        </w:tc>
        <w:tc>
          <w:tcPr>
            <w:tcW w:w="8978" w:type="dxa"/>
            <w:shd w:val="clear" w:color="auto" w:fill="auto"/>
          </w:tcPr>
          <w:p w14:paraId="07856C76" w14:textId="77777777" w:rsidR="009139F9" w:rsidRDefault="009139F9" w:rsidP="00FE3B05">
            <w:pPr>
              <w:tabs>
                <w:tab w:val="left" w:pos="627"/>
              </w:tabs>
              <w:jc w:val="both"/>
            </w:pPr>
            <w:r>
              <w:t>Dokumentų valdymo modulio pakeitimai – sudaryti galimybes tvarkyti panaikintame teisme gautus ir registruotus neprocesinius dokumentus (be naikinimo aktų ir archyvavimo)</w:t>
            </w:r>
          </w:p>
        </w:tc>
      </w:tr>
      <w:tr w:rsidR="009139F9" w14:paraId="1CC38336" w14:textId="77777777" w:rsidTr="00AE01E7">
        <w:tc>
          <w:tcPr>
            <w:tcW w:w="876" w:type="dxa"/>
            <w:shd w:val="clear" w:color="auto" w:fill="auto"/>
          </w:tcPr>
          <w:p w14:paraId="750D9D8D" w14:textId="77777777" w:rsidR="009139F9" w:rsidRDefault="009139F9" w:rsidP="00AE01E7">
            <w:pPr>
              <w:tabs>
                <w:tab w:val="left" w:pos="627"/>
              </w:tabs>
              <w:jc w:val="both"/>
            </w:pPr>
            <w:r>
              <w:t>2.1.10.</w:t>
            </w:r>
          </w:p>
        </w:tc>
        <w:tc>
          <w:tcPr>
            <w:tcW w:w="8978" w:type="dxa"/>
            <w:shd w:val="clear" w:color="auto" w:fill="auto"/>
          </w:tcPr>
          <w:p w14:paraId="26621B71" w14:textId="77777777" w:rsidR="009139F9" w:rsidRDefault="009139F9" w:rsidP="00AE01E7">
            <w:pPr>
              <w:tabs>
                <w:tab w:val="left" w:pos="627"/>
              </w:tabs>
              <w:jc w:val="both"/>
            </w:pPr>
            <w:r>
              <w:t>Migravimo pakeitimai – pritaikyti teismų / teismo rūmų siejimą atnaujintai teismų struktūrai ir visiems migruojamiems objektams</w:t>
            </w:r>
          </w:p>
        </w:tc>
      </w:tr>
      <w:tr w:rsidR="009139F9" w14:paraId="074EDB18" w14:textId="77777777" w:rsidTr="00AE01E7">
        <w:tc>
          <w:tcPr>
            <w:tcW w:w="876" w:type="dxa"/>
            <w:shd w:val="clear" w:color="auto" w:fill="auto"/>
          </w:tcPr>
          <w:p w14:paraId="138D7B32" w14:textId="77777777" w:rsidR="009139F9" w:rsidRDefault="009139F9" w:rsidP="00AE01E7">
            <w:pPr>
              <w:tabs>
                <w:tab w:val="left" w:pos="627"/>
              </w:tabs>
              <w:jc w:val="both"/>
            </w:pPr>
            <w:r>
              <w:t>2.1.11.</w:t>
            </w:r>
          </w:p>
        </w:tc>
        <w:tc>
          <w:tcPr>
            <w:tcW w:w="8978" w:type="dxa"/>
            <w:shd w:val="clear" w:color="auto" w:fill="auto"/>
          </w:tcPr>
          <w:p w14:paraId="35BBF911" w14:textId="77777777" w:rsidR="009139F9" w:rsidRDefault="009139F9" w:rsidP="00AE01E7">
            <w:pPr>
              <w:tabs>
                <w:tab w:val="left" w:pos="627"/>
              </w:tabs>
              <w:jc w:val="both"/>
            </w:pPr>
            <w:r>
              <w:t>Posėdžių tvarkaraščių generavimas pagal patalpų adresą</w:t>
            </w:r>
          </w:p>
        </w:tc>
      </w:tr>
      <w:tr w:rsidR="009139F9" w14:paraId="4D6AF308" w14:textId="77777777" w:rsidTr="00AE01E7">
        <w:tc>
          <w:tcPr>
            <w:tcW w:w="876" w:type="dxa"/>
            <w:shd w:val="clear" w:color="auto" w:fill="auto"/>
          </w:tcPr>
          <w:p w14:paraId="7737D9FE" w14:textId="77777777" w:rsidR="009139F9" w:rsidRDefault="009139F9" w:rsidP="00AE01E7">
            <w:pPr>
              <w:tabs>
                <w:tab w:val="left" w:pos="627"/>
              </w:tabs>
              <w:jc w:val="both"/>
            </w:pPr>
            <w:r>
              <w:t>2.1.12.</w:t>
            </w:r>
          </w:p>
        </w:tc>
        <w:tc>
          <w:tcPr>
            <w:tcW w:w="8978" w:type="dxa"/>
            <w:shd w:val="clear" w:color="auto" w:fill="auto"/>
          </w:tcPr>
          <w:p w14:paraId="34B2E0E8" w14:textId="77777777" w:rsidR="009139F9" w:rsidRDefault="009139F9" w:rsidP="00AE01E7">
            <w:pPr>
              <w:tabs>
                <w:tab w:val="left" w:pos="627"/>
              </w:tabs>
              <w:jc w:val="both"/>
            </w:pPr>
            <w:r>
              <w:t>Bylos nagrinėjimo vietos nustatymas ir panaudojimas dokumentų šablonuose</w:t>
            </w:r>
          </w:p>
        </w:tc>
      </w:tr>
      <w:tr w:rsidR="009139F9" w14:paraId="6F3B0C32" w14:textId="77777777" w:rsidTr="00AE01E7">
        <w:tc>
          <w:tcPr>
            <w:tcW w:w="876" w:type="dxa"/>
            <w:shd w:val="clear" w:color="auto" w:fill="auto"/>
          </w:tcPr>
          <w:p w14:paraId="1AFA5014" w14:textId="77777777" w:rsidR="009139F9" w:rsidRDefault="009139F9" w:rsidP="00AE01E7">
            <w:pPr>
              <w:tabs>
                <w:tab w:val="left" w:pos="627"/>
              </w:tabs>
              <w:jc w:val="both"/>
            </w:pPr>
            <w:r>
              <w:lastRenderedPageBreak/>
              <w:t>2.1.13.</w:t>
            </w:r>
          </w:p>
        </w:tc>
        <w:tc>
          <w:tcPr>
            <w:tcW w:w="8978" w:type="dxa"/>
            <w:shd w:val="clear" w:color="auto" w:fill="auto"/>
          </w:tcPr>
          <w:p w14:paraId="0FDEBE66" w14:textId="77777777" w:rsidR="009139F9" w:rsidRDefault="009139F9" w:rsidP="00AE01E7">
            <w:pPr>
              <w:tabs>
                <w:tab w:val="left" w:pos="627"/>
              </w:tabs>
              <w:jc w:val="both"/>
            </w:pPr>
            <w:r>
              <w:t>EPP pakeitimai – atvaizdavimas paieškos rezultatuose iki reformos išnagrinėjusio teismo</w:t>
            </w:r>
          </w:p>
        </w:tc>
      </w:tr>
      <w:tr w:rsidR="009139F9" w14:paraId="3BDDD249" w14:textId="77777777" w:rsidTr="00AE01E7">
        <w:tc>
          <w:tcPr>
            <w:tcW w:w="876" w:type="dxa"/>
            <w:shd w:val="clear" w:color="auto" w:fill="auto"/>
          </w:tcPr>
          <w:p w14:paraId="474FBC65" w14:textId="77777777" w:rsidR="009139F9" w:rsidRDefault="009139F9" w:rsidP="00AE01E7">
            <w:pPr>
              <w:tabs>
                <w:tab w:val="left" w:pos="627"/>
              </w:tabs>
              <w:jc w:val="both"/>
            </w:pPr>
            <w:r>
              <w:t>2.1.14.</w:t>
            </w:r>
          </w:p>
        </w:tc>
        <w:tc>
          <w:tcPr>
            <w:tcW w:w="8978" w:type="dxa"/>
            <w:shd w:val="clear" w:color="auto" w:fill="auto"/>
          </w:tcPr>
          <w:p w14:paraId="58FB4DA0" w14:textId="77777777" w:rsidR="009139F9" w:rsidRDefault="009139F9" w:rsidP="00AE01E7">
            <w:pPr>
              <w:tabs>
                <w:tab w:val="left" w:pos="627"/>
              </w:tabs>
              <w:jc w:val="both"/>
            </w:pPr>
            <w:r>
              <w:t>EPP pakeitimai – paieškos papildymas pagal raktinius žodžius – ieškoti pagal buvusio teismo pavadinimą</w:t>
            </w:r>
          </w:p>
        </w:tc>
      </w:tr>
      <w:tr w:rsidR="009139F9" w14:paraId="376272D2" w14:textId="77777777" w:rsidTr="00AE01E7">
        <w:tc>
          <w:tcPr>
            <w:tcW w:w="876" w:type="dxa"/>
            <w:shd w:val="clear" w:color="auto" w:fill="auto"/>
          </w:tcPr>
          <w:p w14:paraId="47D90838" w14:textId="77777777" w:rsidR="009139F9" w:rsidRDefault="009139F9" w:rsidP="00AE01E7">
            <w:pPr>
              <w:tabs>
                <w:tab w:val="left" w:pos="627"/>
              </w:tabs>
              <w:jc w:val="both"/>
            </w:pPr>
            <w:r>
              <w:t>2.1.15.</w:t>
            </w:r>
          </w:p>
        </w:tc>
        <w:tc>
          <w:tcPr>
            <w:tcW w:w="8978" w:type="dxa"/>
            <w:shd w:val="clear" w:color="auto" w:fill="auto"/>
          </w:tcPr>
          <w:p w14:paraId="6C1D340B" w14:textId="77777777" w:rsidR="009139F9" w:rsidRDefault="009139F9" w:rsidP="00AE01E7">
            <w:pPr>
              <w:tabs>
                <w:tab w:val="left" w:pos="627"/>
              </w:tabs>
              <w:jc w:val="both"/>
            </w:pPr>
            <w:r>
              <w:t>Papildomos darbalaukio versijos sukūrimas su kitų rūmų teisėjams paskirtų bylų sąrašu, praplečiančiu dokumentų registruotojo darbalaukį, nuotolinis naujų funkcionalumų pristatymas teismų bendruomenei, naudotojo vadovas</w:t>
            </w:r>
          </w:p>
        </w:tc>
      </w:tr>
      <w:tr w:rsidR="009139F9" w14:paraId="1C5F713A" w14:textId="77777777" w:rsidTr="00AE01E7">
        <w:tc>
          <w:tcPr>
            <w:tcW w:w="876" w:type="dxa"/>
            <w:shd w:val="clear" w:color="auto" w:fill="auto"/>
          </w:tcPr>
          <w:p w14:paraId="56DBC09F" w14:textId="77777777" w:rsidR="009139F9" w:rsidRDefault="009139F9" w:rsidP="00AE01E7">
            <w:pPr>
              <w:tabs>
                <w:tab w:val="left" w:pos="627"/>
              </w:tabs>
              <w:jc w:val="both"/>
            </w:pPr>
            <w:r>
              <w:t>2.2.</w:t>
            </w:r>
          </w:p>
        </w:tc>
        <w:tc>
          <w:tcPr>
            <w:tcW w:w="8978" w:type="dxa"/>
            <w:shd w:val="clear" w:color="auto" w:fill="auto"/>
          </w:tcPr>
          <w:p w14:paraId="477987E7" w14:textId="77777777" w:rsidR="009139F9" w:rsidRDefault="009139F9" w:rsidP="00AE01E7">
            <w:pPr>
              <w:tabs>
                <w:tab w:val="left" w:pos="627"/>
              </w:tabs>
              <w:jc w:val="both"/>
            </w:pPr>
            <w:r>
              <w:t xml:space="preserve">2 etapas </w:t>
            </w:r>
            <w:r>
              <w:rPr>
                <w:b/>
                <w:bCs/>
              </w:rPr>
              <w:t>(atliekama per 3 mėnesius po LITEKO2 eksploatacijos pradžios pagal iš anksto suderintą datą)</w:t>
            </w:r>
          </w:p>
        </w:tc>
      </w:tr>
      <w:tr w:rsidR="009139F9" w14:paraId="5C5709F1" w14:textId="77777777" w:rsidTr="00AE01E7">
        <w:tc>
          <w:tcPr>
            <w:tcW w:w="876" w:type="dxa"/>
            <w:shd w:val="clear" w:color="auto" w:fill="auto"/>
          </w:tcPr>
          <w:p w14:paraId="14877C6A" w14:textId="77777777" w:rsidR="009139F9" w:rsidRDefault="009139F9" w:rsidP="00AE01E7">
            <w:pPr>
              <w:tabs>
                <w:tab w:val="left" w:pos="627"/>
              </w:tabs>
              <w:jc w:val="both"/>
            </w:pPr>
            <w:r>
              <w:t>2.2.1.</w:t>
            </w:r>
          </w:p>
        </w:tc>
        <w:tc>
          <w:tcPr>
            <w:tcW w:w="8978" w:type="dxa"/>
            <w:shd w:val="clear" w:color="auto" w:fill="auto"/>
          </w:tcPr>
          <w:p w14:paraId="2CBCA6C8" w14:textId="77777777" w:rsidR="009139F9" w:rsidRDefault="009139F9" w:rsidP="00AE01E7">
            <w:pPr>
              <w:tabs>
                <w:tab w:val="left" w:pos="627"/>
              </w:tabs>
              <w:jc w:val="both"/>
            </w:pPr>
            <w:r>
              <w:t>Statistikos modulio pakeitimai – pritaikyti statistines ataskaitas naujai teismų struktūrai</w:t>
            </w:r>
          </w:p>
        </w:tc>
      </w:tr>
      <w:bookmarkEnd w:id="6"/>
    </w:tbl>
    <w:p w14:paraId="40CE74CE" w14:textId="77777777" w:rsidR="006551F6" w:rsidRPr="00036E68" w:rsidRDefault="006551F6" w:rsidP="007626E6">
      <w:pPr>
        <w:tabs>
          <w:tab w:val="left" w:pos="627"/>
        </w:tabs>
        <w:ind w:firstLine="680"/>
        <w:jc w:val="both"/>
      </w:pPr>
    </w:p>
    <w:p w14:paraId="4B63C705" w14:textId="77777777" w:rsidR="00842E22" w:rsidRDefault="00842E22" w:rsidP="008F675C">
      <w:pPr>
        <w:tabs>
          <w:tab w:val="left" w:pos="627"/>
        </w:tabs>
        <w:jc w:val="center"/>
      </w:pPr>
      <w:r w:rsidRPr="00036E68">
        <w:t>_____________</w:t>
      </w:r>
    </w:p>
    <w:sectPr w:rsidR="00842E22" w:rsidSect="008F675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B96BE" w14:textId="77777777" w:rsidR="006B3E67" w:rsidRDefault="006B3E67" w:rsidP="00232DAB">
      <w:r>
        <w:separator/>
      </w:r>
    </w:p>
  </w:endnote>
  <w:endnote w:type="continuationSeparator" w:id="0">
    <w:p w14:paraId="76DA0ED8" w14:textId="77777777" w:rsidR="006B3E67" w:rsidRDefault="006B3E67" w:rsidP="0023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A0436" w14:textId="77777777" w:rsidR="006B3E67" w:rsidRDefault="006B3E67" w:rsidP="00232DAB">
      <w:r>
        <w:separator/>
      </w:r>
    </w:p>
  </w:footnote>
  <w:footnote w:type="continuationSeparator" w:id="0">
    <w:p w14:paraId="1437E4C9" w14:textId="77777777" w:rsidR="006B3E67" w:rsidRDefault="006B3E67" w:rsidP="0023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22"/>
    <w:rsid w:val="00026DB9"/>
    <w:rsid w:val="0002706B"/>
    <w:rsid w:val="00034948"/>
    <w:rsid w:val="00034AF2"/>
    <w:rsid w:val="00035E34"/>
    <w:rsid w:val="00036E68"/>
    <w:rsid w:val="000471CE"/>
    <w:rsid w:val="00052AC4"/>
    <w:rsid w:val="0008719F"/>
    <w:rsid w:val="00090A5F"/>
    <w:rsid w:val="000C59C4"/>
    <w:rsid w:val="000C5A2C"/>
    <w:rsid w:val="000D443A"/>
    <w:rsid w:val="000E1A2D"/>
    <w:rsid w:val="000E4035"/>
    <w:rsid w:val="000E7074"/>
    <w:rsid w:val="001338B2"/>
    <w:rsid w:val="00143A76"/>
    <w:rsid w:val="0014581E"/>
    <w:rsid w:val="0015144A"/>
    <w:rsid w:val="001645F7"/>
    <w:rsid w:val="00170D57"/>
    <w:rsid w:val="00182BF2"/>
    <w:rsid w:val="00184CE1"/>
    <w:rsid w:val="001C7A8B"/>
    <w:rsid w:val="001D06D8"/>
    <w:rsid w:val="001D6F35"/>
    <w:rsid w:val="001E32A2"/>
    <w:rsid w:val="001E525E"/>
    <w:rsid w:val="001E65EF"/>
    <w:rsid w:val="00207FEF"/>
    <w:rsid w:val="00226B8A"/>
    <w:rsid w:val="00232AA1"/>
    <w:rsid w:val="00232DAB"/>
    <w:rsid w:val="00235094"/>
    <w:rsid w:val="00237BBF"/>
    <w:rsid w:val="00241E1A"/>
    <w:rsid w:val="002427B2"/>
    <w:rsid w:val="00263FAF"/>
    <w:rsid w:val="0028428D"/>
    <w:rsid w:val="002A0107"/>
    <w:rsid w:val="002A7A39"/>
    <w:rsid w:val="002C6539"/>
    <w:rsid w:val="002D00C8"/>
    <w:rsid w:val="002F377C"/>
    <w:rsid w:val="00301906"/>
    <w:rsid w:val="00312073"/>
    <w:rsid w:val="0034494D"/>
    <w:rsid w:val="0034765A"/>
    <w:rsid w:val="003847C3"/>
    <w:rsid w:val="00392390"/>
    <w:rsid w:val="003B1611"/>
    <w:rsid w:val="003B2FCE"/>
    <w:rsid w:val="003E7A08"/>
    <w:rsid w:val="003F40E8"/>
    <w:rsid w:val="00405224"/>
    <w:rsid w:val="00405D81"/>
    <w:rsid w:val="004105CB"/>
    <w:rsid w:val="00414EBF"/>
    <w:rsid w:val="00426A35"/>
    <w:rsid w:val="00433F1E"/>
    <w:rsid w:val="00461A66"/>
    <w:rsid w:val="00470483"/>
    <w:rsid w:val="0047352D"/>
    <w:rsid w:val="004847AE"/>
    <w:rsid w:val="00484F69"/>
    <w:rsid w:val="0048513A"/>
    <w:rsid w:val="00497025"/>
    <w:rsid w:val="004C1708"/>
    <w:rsid w:val="004C44C9"/>
    <w:rsid w:val="004C4D9A"/>
    <w:rsid w:val="004C7EC8"/>
    <w:rsid w:val="004E1163"/>
    <w:rsid w:val="004F4DE1"/>
    <w:rsid w:val="00502AA5"/>
    <w:rsid w:val="005129F0"/>
    <w:rsid w:val="005148A6"/>
    <w:rsid w:val="005204EC"/>
    <w:rsid w:val="00540A20"/>
    <w:rsid w:val="00544588"/>
    <w:rsid w:val="00554A15"/>
    <w:rsid w:val="005645D5"/>
    <w:rsid w:val="00565350"/>
    <w:rsid w:val="00574456"/>
    <w:rsid w:val="00575418"/>
    <w:rsid w:val="005B7C83"/>
    <w:rsid w:val="006154C4"/>
    <w:rsid w:val="00621933"/>
    <w:rsid w:val="00645910"/>
    <w:rsid w:val="00650C0E"/>
    <w:rsid w:val="006551F6"/>
    <w:rsid w:val="00667C7E"/>
    <w:rsid w:val="006939C0"/>
    <w:rsid w:val="006946BD"/>
    <w:rsid w:val="00696873"/>
    <w:rsid w:val="006B3E67"/>
    <w:rsid w:val="006E21AF"/>
    <w:rsid w:val="006E44B6"/>
    <w:rsid w:val="006F01E8"/>
    <w:rsid w:val="006F506D"/>
    <w:rsid w:val="00725964"/>
    <w:rsid w:val="00750510"/>
    <w:rsid w:val="00753078"/>
    <w:rsid w:val="007626E6"/>
    <w:rsid w:val="00762E6C"/>
    <w:rsid w:val="00766E6B"/>
    <w:rsid w:val="00783254"/>
    <w:rsid w:val="00792E84"/>
    <w:rsid w:val="007A6F49"/>
    <w:rsid w:val="007B6C9B"/>
    <w:rsid w:val="007C776C"/>
    <w:rsid w:val="007D05CD"/>
    <w:rsid w:val="007D0DF0"/>
    <w:rsid w:val="007D282B"/>
    <w:rsid w:val="007D7DCD"/>
    <w:rsid w:val="007E1DBE"/>
    <w:rsid w:val="007F3371"/>
    <w:rsid w:val="007F61BD"/>
    <w:rsid w:val="00801D5D"/>
    <w:rsid w:val="00816FCB"/>
    <w:rsid w:val="00821560"/>
    <w:rsid w:val="00842E22"/>
    <w:rsid w:val="00857527"/>
    <w:rsid w:val="008660EC"/>
    <w:rsid w:val="00870F93"/>
    <w:rsid w:val="008754E8"/>
    <w:rsid w:val="0087758C"/>
    <w:rsid w:val="00877B50"/>
    <w:rsid w:val="00886B7F"/>
    <w:rsid w:val="00890843"/>
    <w:rsid w:val="0089413A"/>
    <w:rsid w:val="008C03C8"/>
    <w:rsid w:val="008C13CE"/>
    <w:rsid w:val="008D3571"/>
    <w:rsid w:val="008D3DB9"/>
    <w:rsid w:val="008F5C7D"/>
    <w:rsid w:val="008F675C"/>
    <w:rsid w:val="009139F9"/>
    <w:rsid w:val="0092413A"/>
    <w:rsid w:val="00932A4E"/>
    <w:rsid w:val="00935396"/>
    <w:rsid w:val="0094193D"/>
    <w:rsid w:val="00963B00"/>
    <w:rsid w:val="009776E7"/>
    <w:rsid w:val="009A1632"/>
    <w:rsid w:val="009A5C21"/>
    <w:rsid w:val="009A737B"/>
    <w:rsid w:val="009D1775"/>
    <w:rsid w:val="009E4903"/>
    <w:rsid w:val="009E4CE5"/>
    <w:rsid w:val="009F086C"/>
    <w:rsid w:val="009F4D6D"/>
    <w:rsid w:val="00A37EC1"/>
    <w:rsid w:val="00A46E5F"/>
    <w:rsid w:val="00A471C4"/>
    <w:rsid w:val="00A51EB4"/>
    <w:rsid w:val="00A55F0F"/>
    <w:rsid w:val="00A72ED2"/>
    <w:rsid w:val="00A76CE0"/>
    <w:rsid w:val="00AB2FC5"/>
    <w:rsid w:val="00AB3459"/>
    <w:rsid w:val="00AE391E"/>
    <w:rsid w:val="00AE4708"/>
    <w:rsid w:val="00AF2C30"/>
    <w:rsid w:val="00B047DD"/>
    <w:rsid w:val="00B12813"/>
    <w:rsid w:val="00B25558"/>
    <w:rsid w:val="00B33D78"/>
    <w:rsid w:val="00B5722A"/>
    <w:rsid w:val="00B93F1E"/>
    <w:rsid w:val="00B9615E"/>
    <w:rsid w:val="00BA0AEC"/>
    <w:rsid w:val="00BA2300"/>
    <w:rsid w:val="00BA4CFB"/>
    <w:rsid w:val="00BA72A8"/>
    <w:rsid w:val="00BB4BF4"/>
    <w:rsid w:val="00BD4836"/>
    <w:rsid w:val="00C01C8F"/>
    <w:rsid w:val="00C04882"/>
    <w:rsid w:val="00C14E78"/>
    <w:rsid w:val="00C168A0"/>
    <w:rsid w:val="00C56FC4"/>
    <w:rsid w:val="00C61083"/>
    <w:rsid w:val="00C6612F"/>
    <w:rsid w:val="00C81F98"/>
    <w:rsid w:val="00C85307"/>
    <w:rsid w:val="00C93DC7"/>
    <w:rsid w:val="00CC6EEE"/>
    <w:rsid w:val="00D02F60"/>
    <w:rsid w:val="00D20B33"/>
    <w:rsid w:val="00D245D7"/>
    <w:rsid w:val="00D2656F"/>
    <w:rsid w:val="00D31075"/>
    <w:rsid w:val="00D310FA"/>
    <w:rsid w:val="00D36914"/>
    <w:rsid w:val="00D44C01"/>
    <w:rsid w:val="00D67C42"/>
    <w:rsid w:val="00D72E23"/>
    <w:rsid w:val="00D805FD"/>
    <w:rsid w:val="00DC6275"/>
    <w:rsid w:val="00DD310B"/>
    <w:rsid w:val="00DD365C"/>
    <w:rsid w:val="00DD4763"/>
    <w:rsid w:val="00DE20F9"/>
    <w:rsid w:val="00DF0F74"/>
    <w:rsid w:val="00E12F5C"/>
    <w:rsid w:val="00E16092"/>
    <w:rsid w:val="00E44469"/>
    <w:rsid w:val="00E51A29"/>
    <w:rsid w:val="00E5455A"/>
    <w:rsid w:val="00E60CE3"/>
    <w:rsid w:val="00E82A7B"/>
    <w:rsid w:val="00E833E6"/>
    <w:rsid w:val="00E87741"/>
    <w:rsid w:val="00E95F87"/>
    <w:rsid w:val="00EA245A"/>
    <w:rsid w:val="00EC007D"/>
    <w:rsid w:val="00EC236F"/>
    <w:rsid w:val="00ED3CFD"/>
    <w:rsid w:val="00EE2D57"/>
    <w:rsid w:val="00F07517"/>
    <w:rsid w:val="00F12730"/>
    <w:rsid w:val="00F24540"/>
    <w:rsid w:val="00F46D7E"/>
    <w:rsid w:val="00F51862"/>
    <w:rsid w:val="00F52DA4"/>
    <w:rsid w:val="00F52F97"/>
    <w:rsid w:val="00F70555"/>
    <w:rsid w:val="00F7312A"/>
    <w:rsid w:val="00F83B13"/>
    <w:rsid w:val="00F8478B"/>
    <w:rsid w:val="00F86A5C"/>
    <w:rsid w:val="00F903B9"/>
    <w:rsid w:val="00FC3C44"/>
    <w:rsid w:val="00FE0962"/>
    <w:rsid w:val="00FE3B05"/>
    <w:rsid w:val="00FF1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AAC24"/>
  <w15:docId w15:val="{F54B407C-1D29-4556-A954-029B4CB1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E22"/>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iPriority w:val="99"/>
    <w:rsid w:val="00842E22"/>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uiPriority w:val="99"/>
    <w:rsid w:val="00842E22"/>
    <w:rPr>
      <w:rFonts w:ascii="Times New Roman" w:eastAsia="Times New Roman" w:hAnsi="Times New Roman" w:cs="Times New Roman"/>
      <w:sz w:val="24"/>
      <w:szCs w:val="24"/>
    </w:rPr>
  </w:style>
  <w:style w:type="character" w:styleId="Komentaronuoroda">
    <w:name w:val="annotation reference"/>
    <w:uiPriority w:val="99"/>
    <w:semiHidden/>
    <w:unhideWhenUsed/>
    <w:rsid w:val="003847C3"/>
    <w:rPr>
      <w:sz w:val="16"/>
      <w:szCs w:val="16"/>
    </w:rPr>
  </w:style>
  <w:style w:type="paragraph" w:styleId="Komentarotekstas">
    <w:name w:val="annotation text"/>
    <w:basedOn w:val="prastasis"/>
    <w:link w:val="KomentarotekstasDiagrama"/>
    <w:uiPriority w:val="99"/>
    <w:unhideWhenUsed/>
    <w:rsid w:val="003847C3"/>
    <w:rPr>
      <w:sz w:val="20"/>
      <w:szCs w:val="20"/>
    </w:rPr>
  </w:style>
  <w:style w:type="character" w:customStyle="1" w:styleId="KomentarotekstasDiagrama">
    <w:name w:val="Komentaro tekstas Diagrama"/>
    <w:link w:val="Komentarotekstas"/>
    <w:uiPriority w:val="99"/>
    <w:rsid w:val="003847C3"/>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3847C3"/>
    <w:rPr>
      <w:b/>
      <w:bCs/>
    </w:rPr>
  </w:style>
  <w:style w:type="character" w:customStyle="1" w:styleId="KomentarotemaDiagrama">
    <w:name w:val="Komentaro tema Diagrama"/>
    <w:link w:val="Komentarotema"/>
    <w:uiPriority w:val="99"/>
    <w:semiHidden/>
    <w:rsid w:val="003847C3"/>
    <w:rPr>
      <w:rFonts w:ascii="Times New Roman" w:eastAsia="Times New Roman" w:hAnsi="Times New Roman"/>
      <w:b/>
      <w:bCs/>
      <w:lang w:val="lt-LT"/>
    </w:rPr>
  </w:style>
  <w:style w:type="paragraph" w:styleId="Debesliotekstas">
    <w:name w:val="Balloon Text"/>
    <w:basedOn w:val="prastasis"/>
    <w:link w:val="DebesliotekstasDiagrama"/>
    <w:uiPriority w:val="99"/>
    <w:semiHidden/>
    <w:unhideWhenUsed/>
    <w:rsid w:val="003847C3"/>
    <w:rPr>
      <w:rFonts w:ascii="Segoe UI" w:hAnsi="Segoe UI" w:cs="Segoe UI"/>
      <w:sz w:val="18"/>
      <w:szCs w:val="18"/>
    </w:rPr>
  </w:style>
  <w:style w:type="character" w:customStyle="1" w:styleId="DebesliotekstasDiagrama">
    <w:name w:val="Debesėlio tekstas Diagrama"/>
    <w:link w:val="Debesliotekstas"/>
    <w:uiPriority w:val="99"/>
    <w:semiHidden/>
    <w:rsid w:val="003847C3"/>
    <w:rPr>
      <w:rFonts w:ascii="Segoe UI" w:eastAsia="Times New Roman" w:hAnsi="Segoe UI" w:cs="Segoe UI"/>
      <w:sz w:val="18"/>
      <w:szCs w:val="18"/>
      <w:lang w:val="lt-LT"/>
    </w:rPr>
  </w:style>
  <w:style w:type="table" w:styleId="Lentelstinklelis">
    <w:name w:val="Table Grid"/>
    <w:basedOn w:val="prastojilentel"/>
    <w:uiPriority w:val="59"/>
    <w:rsid w:val="00E5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2DAB"/>
    <w:pPr>
      <w:tabs>
        <w:tab w:val="center" w:pos="4680"/>
        <w:tab w:val="right" w:pos="9360"/>
      </w:tabs>
    </w:pPr>
  </w:style>
  <w:style w:type="character" w:customStyle="1" w:styleId="AntratsDiagrama">
    <w:name w:val="Antraštės Diagrama"/>
    <w:link w:val="Antrats"/>
    <w:uiPriority w:val="99"/>
    <w:rsid w:val="00232DAB"/>
    <w:rPr>
      <w:rFonts w:ascii="Times New Roman" w:eastAsia="Times New Roman" w:hAnsi="Times New Roman"/>
      <w:sz w:val="24"/>
      <w:szCs w:val="24"/>
      <w:lang w:val="lt-LT"/>
    </w:rPr>
  </w:style>
  <w:style w:type="paragraph" w:styleId="Porat">
    <w:name w:val="footer"/>
    <w:basedOn w:val="prastasis"/>
    <w:link w:val="PoratDiagrama"/>
    <w:uiPriority w:val="99"/>
    <w:unhideWhenUsed/>
    <w:rsid w:val="00232DAB"/>
    <w:pPr>
      <w:tabs>
        <w:tab w:val="center" w:pos="4680"/>
        <w:tab w:val="right" w:pos="9360"/>
      </w:tabs>
    </w:pPr>
  </w:style>
  <w:style w:type="character" w:customStyle="1" w:styleId="PoratDiagrama">
    <w:name w:val="Poraštė Diagrama"/>
    <w:link w:val="Porat"/>
    <w:uiPriority w:val="99"/>
    <w:rsid w:val="00232DAB"/>
    <w:rPr>
      <w:rFonts w:ascii="Times New Roman" w:eastAsia="Times New Roman" w:hAnsi="Times New Roman"/>
      <w:sz w:val="24"/>
      <w:szCs w:val="24"/>
      <w:lang w:val="lt-LT"/>
    </w:rPr>
  </w:style>
  <w:style w:type="paragraph" w:styleId="Pataisymai">
    <w:name w:val="Revision"/>
    <w:hidden/>
    <w:uiPriority w:val="99"/>
    <w:semiHidden/>
    <w:rsid w:val="000D443A"/>
    <w:rPr>
      <w:rFonts w:ascii="Times New Roman" w:eastAsia="Times New Roman" w:hAnsi="Times New Roman"/>
      <w:sz w:val="24"/>
      <w:szCs w:val="24"/>
      <w:lang w:eastAsia="en-US"/>
    </w:rPr>
  </w:style>
  <w:style w:type="character" w:customStyle="1" w:styleId="cf01">
    <w:name w:val="cf01"/>
    <w:rsid w:val="001E52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B39D-B55D-482F-AFF4-1CEB8A9F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1786</Words>
  <Characters>10185</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4</cp:revision>
  <dcterms:created xsi:type="dcterms:W3CDTF">2024-07-11T07:08:00Z</dcterms:created>
  <dcterms:modified xsi:type="dcterms:W3CDTF">2024-11-06T09:38:00Z</dcterms:modified>
</cp:coreProperties>
</file>