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51B5B" w14:textId="0CC2F68F" w:rsidR="00067713" w:rsidRPr="004625BC" w:rsidRDefault="004166A4">
      <w:pPr>
        <w:rPr>
          <w:rFonts w:ascii="Bai Jamjuree Medium" w:hAnsi="Bai Jamjuree Medium" w:cs="Bai Jamjuree Medium"/>
        </w:rPr>
      </w:pPr>
      <w:r w:rsidRPr="004625BC">
        <w:rPr>
          <w:rFonts w:ascii="Bai Jamjuree Medium" w:hAnsi="Bai Jamjuree Medium" w:cs="Bai Jamjuree Medium"/>
          <w:noProof/>
          <w:color w:val="104761"/>
          <w:lang w:val="en-US"/>
        </w:rPr>
        <w:drawing>
          <wp:anchor distT="0" distB="0" distL="114300" distR="114300" simplePos="0" relativeHeight="251658240" behindDoc="1" locked="0" layoutInCell="1" allowOverlap="1" wp14:anchorId="2E7995E8" wp14:editId="5028F35D">
            <wp:simplePos x="0" y="0"/>
            <wp:positionH relativeFrom="page">
              <wp:posOffset>-488315</wp:posOffset>
            </wp:positionH>
            <wp:positionV relativeFrom="paragraph">
              <wp:posOffset>-1143000</wp:posOffset>
            </wp:positionV>
            <wp:extent cx="7598859" cy="10753344"/>
            <wp:effectExtent l="0" t="0" r="2540" b="0"/>
            <wp:wrapNone/>
            <wp:docPr id="20152061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8599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598859" cy="10753344"/>
                    </a:xfrm>
                    <a:prstGeom prst="rect">
                      <a:avLst/>
                    </a:prstGeom>
                  </pic:spPr>
                </pic:pic>
              </a:graphicData>
            </a:graphic>
            <wp14:sizeRelH relativeFrom="margin">
              <wp14:pctWidth>0</wp14:pctWidth>
            </wp14:sizeRelH>
            <wp14:sizeRelV relativeFrom="margin">
              <wp14:pctHeight>0</wp14:pctHeight>
            </wp14:sizeRelV>
          </wp:anchor>
        </w:drawing>
      </w:r>
    </w:p>
    <w:p w14:paraId="584D7907" w14:textId="77777777" w:rsidR="004166A4" w:rsidRPr="00031E19" w:rsidRDefault="004166A4" w:rsidP="004166A4">
      <w:pPr>
        <w:tabs>
          <w:tab w:val="left" w:pos="6824"/>
        </w:tabs>
        <w:jc w:val="center"/>
        <w:rPr>
          <w:rFonts w:ascii="Times New Roman" w:eastAsia="Helvetica" w:hAnsi="Times New Roman" w:cs="Times New Roman"/>
          <w:b/>
          <w:caps/>
          <w:color w:val="003E51"/>
          <w:kern w:val="24"/>
        </w:rPr>
      </w:pPr>
      <w:r w:rsidRPr="00031E19">
        <w:rPr>
          <w:rFonts w:ascii="Times New Roman" w:eastAsia="Helvetica" w:hAnsi="Times New Roman" w:cs="Times New Roman"/>
          <w:b/>
          <w:caps/>
          <w:color w:val="003E51"/>
          <w:kern w:val="24"/>
        </w:rPr>
        <w:t xml:space="preserve">TECHNINĖ SPECIFIKACIJA (TS) </w:t>
      </w:r>
    </w:p>
    <w:p w14:paraId="2F28E25A" w14:textId="77777777" w:rsidR="004166A4" w:rsidRPr="00031E19" w:rsidRDefault="004166A4" w:rsidP="004166A4">
      <w:pPr>
        <w:pStyle w:val="ListParagraph"/>
        <w:numPr>
          <w:ilvl w:val="0"/>
          <w:numId w:val="2"/>
        </w:numPr>
        <w:pBdr>
          <w:top w:val="single" w:sz="4" w:space="1" w:color="auto"/>
          <w:bottom w:val="single" w:sz="4" w:space="1" w:color="auto"/>
        </w:pBdr>
        <w:tabs>
          <w:tab w:val="left" w:pos="360"/>
        </w:tabs>
        <w:suppressAutoHyphens/>
        <w:autoSpaceDN w:val="0"/>
        <w:spacing w:before="240" w:after="60" w:line="240" w:lineRule="auto"/>
        <w:ind w:left="0" w:firstLine="0"/>
        <w:contextualSpacing w:val="0"/>
        <w:textAlignment w:val="baseline"/>
        <w:rPr>
          <w:rFonts w:ascii="Times New Roman" w:eastAsia="Arial" w:hAnsi="Times New Roman" w:cs="Times New Roman"/>
          <w:b/>
        </w:rPr>
      </w:pPr>
      <w:r w:rsidRPr="00031E19">
        <w:rPr>
          <w:rFonts w:ascii="Times New Roman" w:eastAsia="Arial" w:hAnsi="Times New Roman" w:cs="Times New Roman"/>
          <w:b/>
        </w:rPr>
        <w:t>SĄVOKOS IR SUTRUMPINIMAI</w:t>
      </w:r>
    </w:p>
    <w:p w14:paraId="4E80643F" w14:textId="3590EDF7" w:rsidR="004166A4" w:rsidRPr="00031E19" w:rsidRDefault="004166A4" w:rsidP="00031E19">
      <w:pPr>
        <w:pStyle w:val="ListParagraph"/>
        <w:tabs>
          <w:tab w:val="left" w:pos="567"/>
        </w:tabs>
        <w:suppressAutoHyphens/>
        <w:autoSpaceDN w:val="0"/>
        <w:spacing w:before="60" w:after="60" w:line="240" w:lineRule="auto"/>
        <w:ind w:left="0"/>
        <w:contextualSpacing w:val="0"/>
        <w:jc w:val="both"/>
        <w:textAlignment w:val="baseline"/>
        <w:rPr>
          <w:rFonts w:ascii="Times New Roman" w:hAnsi="Times New Roman" w:cs="Times New Roman"/>
        </w:rPr>
      </w:pPr>
      <w:r w:rsidRPr="00031E19">
        <w:rPr>
          <w:rFonts w:ascii="Times New Roman" w:eastAsia="Arial" w:hAnsi="Times New Roman" w:cs="Times New Roman"/>
          <w:b/>
        </w:rPr>
        <w:t xml:space="preserve">Pirkėjas </w:t>
      </w:r>
      <w:r w:rsidRPr="00031E19">
        <w:rPr>
          <w:rFonts w:ascii="Times New Roman" w:eastAsia="Arial" w:hAnsi="Times New Roman" w:cs="Times New Roman"/>
        </w:rPr>
        <w:t xml:space="preserve">– </w:t>
      </w:r>
      <w:r w:rsidRPr="00031E19">
        <w:rPr>
          <w:rFonts w:ascii="Times New Roman" w:hAnsi="Times New Roman" w:cs="Times New Roman"/>
        </w:rPr>
        <w:t xml:space="preserve">AB KN </w:t>
      </w:r>
      <w:proofErr w:type="spellStart"/>
      <w:r w:rsidRPr="00031E19">
        <w:rPr>
          <w:rFonts w:ascii="Times New Roman" w:hAnsi="Times New Roman" w:cs="Times New Roman"/>
        </w:rPr>
        <w:t>Energies</w:t>
      </w:r>
      <w:proofErr w:type="spellEnd"/>
      <w:r w:rsidRPr="00031E19">
        <w:rPr>
          <w:rFonts w:ascii="Times New Roman" w:hAnsi="Times New Roman" w:cs="Times New Roman"/>
        </w:rPr>
        <w:t xml:space="preserve"> (toliau</w:t>
      </w:r>
      <w:r w:rsidR="003B4329">
        <w:rPr>
          <w:rFonts w:ascii="Times New Roman" w:hAnsi="Times New Roman" w:cs="Times New Roman"/>
        </w:rPr>
        <w:t xml:space="preserve"> </w:t>
      </w:r>
      <w:r w:rsidR="009B00E7">
        <w:rPr>
          <w:rFonts w:ascii="Times New Roman" w:hAnsi="Times New Roman" w:cs="Times New Roman"/>
        </w:rPr>
        <w:t>–</w:t>
      </w:r>
      <w:r w:rsidRPr="00031E19">
        <w:rPr>
          <w:rFonts w:ascii="Times New Roman" w:hAnsi="Times New Roman" w:cs="Times New Roman"/>
        </w:rPr>
        <w:t xml:space="preserve"> KN).</w:t>
      </w:r>
    </w:p>
    <w:p w14:paraId="2E929EA7" w14:textId="77777777" w:rsidR="004166A4" w:rsidRPr="00031E19" w:rsidRDefault="004166A4" w:rsidP="00031E19">
      <w:pPr>
        <w:tabs>
          <w:tab w:val="left" w:pos="567"/>
        </w:tabs>
        <w:suppressAutoHyphens/>
        <w:autoSpaceDN w:val="0"/>
        <w:spacing w:before="60" w:after="60" w:line="240" w:lineRule="auto"/>
        <w:jc w:val="both"/>
        <w:textAlignment w:val="baseline"/>
        <w:rPr>
          <w:rFonts w:ascii="Times New Roman" w:hAnsi="Times New Roman" w:cs="Times New Roman"/>
        </w:rPr>
      </w:pPr>
      <w:r w:rsidRPr="00031E19">
        <w:rPr>
          <w:rFonts w:ascii="Times New Roman" w:eastAsia="Arial" w:hAnsi="Times New Roman" w:cs="Times New Roman"/>
          <w:b/>
        </w:rPr>
        <w:t>Tiekėjas</w:t>
      </w:r>
      <w:r w:rsidRPr="00031E19">
        <w:rPr>
          <w:rFonts w:ascii="Times New Roman" w:hAnsi="Times New Roman" w:cs="Times New Roman"/>
          <w:b/>
        </w:rPr>
        <w:t xml:space="preserve"> </w:t>
      </w:r>
      <w:r w:rsidRPr="00031E19">
        <w:rPr>
          <w:rFonts w:ascii="Times New Roman" w:eastAsia="Arial" w:hAnsi="Times New Roman" w:cs="Times New Roman"/>
        </w:rPr>
        <w:t>– ūkio subjektas, kitos organizacijos ir jų padaliniai ar tokių asmenų grupė, su kuriuo Pirkėjas sudaro Sutartį.</w:t>
      </w:r>
    </w:p>
    <w:p w14:paraId="3AF4DB4B" w14:textId="77777777" w:rsidR="00031E19" w:rsidRDefault="004166A4" w:rsidP="00031E19">
      <w:pPr>
        <w:pStyle w:val="ListParagraph"/>
        <w:tabs>
          <w:tab w:val="left" w:pos="567"/>
        </w:tabs>
        <w:suppressAutoHyphens/>
        <w:autoSpaceDN w:val="0"/>
        <w:spacing w:before="60" w:after="60" w:line="240" w:lineRule="auto"/>
        <w:ind w:left="0"/>
        <w:contextualSpacing w:val="0"/>
        <w:jc w:val="both"/>
        <w:textAlignment w:val="baseline"/>
        <w:rPr>
          <w:rFonts w:ascii="Times New Roman" w:eastAsia="Arial" w:hAnsi="Times New Roman" w:cs="Times New Roman"/>
        </w:rPr>
      </w:pPr>
      <w:r w:rsidRPr="00031E19">
        <w:rPr>
          <w:rFonts w:ascii="Times New Roman" w:eastAsia="Arial" w:hAnsi="Times New Roman" w:cs="Times New Roman"/>
          <w:b/>
        </w:rPr>
        <w:t>Sutartis</w:t>
      </w:r>
      <w:r w:rsidRPr="00031E19">
        <w:rPr>
          <w:rFonts w:ascii="Times New Roman" w:eastAsia="Arial" w:hAnsi="Times New Roman" w:cs="Times New Roman"/>
        </w:rPr>
        <w:t xml:space="preserve"> – Sutartis, sudaroma tarp Tiekėjo ir Pirkėjo dėl Pirkimo objekto</w:t>
      </w:r>
      <w:r w:rsidR="00031E19">
        <w:rPr>
          <w:rFonts w:ascii="Times New Roman" w:eastAsia="Arial" w:hAnsi="Times New Roman" w:cs="Times New Roman"/>
        </w:rPr>
        <w:t>.</w:t>
      </w:r>
    </w:p>
    <w:p w14:paraId="46A21506" w14:textId="57ADF8B3" w:rsidR="004166A4" w:rsidRPr="004064B6" w:rsidRDefault="004166A4" w:rsidP="00031E19">
      <w:pPr>
        <w:pStyle w:val="ListParagraph"/>
        <w:tabs>
          <w:tab w:val="left" w:pos="567"/>
        </w:tabs>
        <w:suppressAutoHyphens/>
        <w:autoSpaceDN w:val="0"/>
        <w:spacing w:before="60" w:after="60" w:line="240" w:lineRule="auto"/>
        <w:ind w:left="0"/>
        <w:contextualSpacing w:val="0"/>
        <w:jc w:val="both"/>
        <w:textAlignment w:val="baseline"/>
        <w:rPr>
          <w:rFonts w:ascii="Times New Roman" w:hAnsi="Times New Roman" w:cs="Times New Roman"/>
        </w:rPr>
      </w:pPr>
      <w:r w:rsidRPr="009700D8">
        <w:rPr>
          <w:rFonts w:ascii="Times New Roman" w:eastAsia="Arial" w:hAnsi="Times New Roman" w:cs="Times New Roman"/>
          <w:b/>
        </w:rPr>
        <w:t>Pir</w:t>
      </w:r>
      <w:r w:rsidR="00031E19">
        <w:rPr>
          <w:rFonts w:ascii="Times New Roman" w:eastAsia="Arial" w:hAnsi="Times New Roman" w:cs="Times New Roman"/>
          <w:b/>
        </w:rPr>
        <w:t>kim</w:t>
      </w:r>
      <w:r w:rsidRPr="009700D8">
        <w:rPr>
          <w:rFonts w:ascii="Times New Roman" w:eastAsia="Arial" w:hAnsi="Times New Roman" w:cs="Times New Roman"/>
          <w:b/>
        </w:rPr>
        <w:t xml:space="preserve">o objektas – </w:t>
      </w:r>
      <w:r w:rsidR="007768CB">
        <w:rPr>
          <w:rFonts w:ascii="Times New Roman" w:hAnsi="Times New Roman" w:cs="Times New Roman"/>
        </w:rPr>
        <w:t>p</w:t>
      </w:r>
      <w:r w:rsidRPr="004064B6">
        <w:rPr>
          <w:rFonts w:ascii="Times New Roman" w:hAnsi="Times New Roman" w:cs="Times New Roman"/>
        </w:rPr>
        <w:t>aslaugos.</w:t>
      </w:r>
    </w:p>
    <w:p w14:paraId="530D5508" w14:textId="77777777" w:rsidR="004166A4" w:rsidRPr="004064B6" w:rsidRDefault="004166A4" w:rsidP="004166A4">
      <w:pPr>
        <w:pStyle w:val="ListParagraph"/>
        <w:numPr>
          <w:ilvl w:val="0"/>
          <w:numId w:val="2"/>
        </w:numPr>
        <w:pBdr>
          <w:top w:val="single" w:sz="4" w:space="1" w:color="auto"/>
          <w:bottom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rPr>
      </w:pPr>
      <w:r w:rsidRPr="004064B6">
        <w:rPr>
          <w:rFonts w:ascii="Times New Roman" w:eastAsia="Arial" w:hAnsi="Times New Roman" w:cs="Times New Roman"/>
          <w:b/>
        </w:rPr>
        <w:t xml:space="preserve">PIRKIMO OBJEKTAS </w:t>
      </w:r>
    </w:p>
    <w:p w14:paraId="4183E32E" w14:textId="7E50E6C0" w:rsidR="004166A4" w:rsidRPr="00920112" w:rsidRDefault="00920112" w:rsidP="004064B6">
      <w:pPr>
        <w:tabs>
          <w:tab w:val="left" w:pos="540"/>
          <w:tab w:val="left" w:pos="720"/>
        </w:tabs>
        <w:suppressAutoHyphens/>
        <w:autoSpaceDN w:val="0"/>
        <w:spacing w:before="60" w:after="60"/>
        <w:jc w:val="both"/>
        <w:textAlignment w:val="baseline"/>
        <w:rPr>
          <w:rFonts w:ascii="Times New Roman" w:hAnsi="Times New Roman" w:cs="Times New Roman"/>
        </w:rPr>
      </w:pPr>
      <w:bookmarkStart w:id="0" w:name="_Hlk34729843"/>
      <w:bookmarkStart w:id="1" w:name="_Hlk35513769"/>
      <w:r w:rsidRPr="005D3BA1">
        <w:rPr>
          <w:rStyle w:val="cf01"/>
          <w:rFonts w:ascii="Times New Roman" w:hAnsi="Times New Roman" w:cs="Times New Roman"/>
          <w:sz w:val="22"/>
          <w:szCs w:val="22"/>
        </w:rPr>
        <w:t>Teršimo incidentų likvidavimo ir tikslinių priemonių bei personalo nuolatinio dislokavimo ir parengties paslaugos</w:t>
      </w:r>
      <w:r w:rsidR="00BC2D0A" w:rsidRPr="007C3EA1">
        <w:rPr>
          <w:rStyle w:val="cf01"/>
          <w:rFonts w:ascii="Times New Roman" w:hAnsi="Times New Roman" w:cs="Times New Roman"/>
          <w:sz w:val="22"/>
          <w:szCs w:val="22"/>
        </w:rPr>
        <w:t xml:space="preserve">, </w:t>
      </w:r>
      <w:r w:rsidR="00AC72A1" w:rsidRPr="007C3EA1">
        <w:rPr>
          <w:rStyle w:val="cf01"/>
          <w:rFonts w:ascii="Times New Roman" w:hAnsi="Times New Roman" w:cs="Times New Roman"/>
          <w:sz w:val="22"/>
          <w:szCs w:val="22"/>
        </w:rPr>
        <w:t xml:space="preserve">kurios </w:t>
      </w:r>
      <w:r w:rsidR="00BC2D0A" w:rsidRPr="007C3EA1">
        <w:rPr>
          <w:rStyle w:val="cf01"/>
          <w:rFonts w:ascii="Times New Roman" w:hAnsi="Times New Roman" w:cs="Times New Roman"/>
          <w:sz w:val="22"/>
          <w:szCs w:val="22"/>
        </w:rPr>
        <w:t xml:space="preserve">susideda iš </w:t>
      </w:r>
      <w:r w:rsidR="00AC72A1" w:rsidRPr="005D3BA1">
        <w:rPr>
          <w:rStyle w:val="cf01"/>
          <w:rFonts w:ascii="Times New Roman" w:hAnsi="Times New Roman" w:cs="Times New Roman"/>
          <w:sz w:val="22"/>
          <w:szCs w:val="22"/>
        </w:rPr>
        <w:t>nuolatinio tiks</w:t>
      </w:r>
      <w:r w:rsidR="00132C5C">
        <w:rPr>
          <w:rStyle w:val="cf01"/>
          <w:rFonts w:ascii="Times New Roman" w:hAnsi="Times New Roman" w:cs="Times New Roman"/>
          <w:sz w:val="22"/>
          <w:szCs w:val="22"/>
        </w:rPr>
        <w:t>l</w:t>
      </w:r>
      <w:r w:rsidR="00AC72A1" w:rsidRPr="005D3BA1">
        <w:rPr>
          <w:rStyle w:val="cf01"/>
          <w:rFonts w:ascii="Times New Roman" w:hAnsi="Times New Roman" w:cs="Times New Roman"/>
          <w:sz w:val="22"/>
          <w:szCs w:val="22"/>
        </w:rPr>
        <w:t xml:space="preserve">inių priemonių </w:t>
      </w:r>
      <w:r w:rsidR="007C3EA1" w:rsidRPr="005D3BA1">
        <w:rPr>
          <w:rStyle w:val="cf01"/>
          <w:rFonts w:ascii="Times New Roman" w:hAnsi="Times New Roman" w:cs="Times New Roman"/>
          <w:sz w:val="22"/>
          <w:szCs w:val="22"/>
        </w:rPr>
        <w:t xml:space="preserve">bei personalo </w:t>
      </w:r>
      <w:r w:rsidR="00AC72A1" w:rsidRPr="005D3BA1">
        <w:rPr>
          <w:rStyle w:val="cf01"/>
          <w:rFonts w:ascii="Times New Roman" w:hAnsi="Times New Roman" w:cs="Times New Roman"/>
          <w:sz w:val="22"/>
          <w:szCs w:val="22"/>
        </w:rPr>
        <w:t>dislokavim</w:t>
      </w:r>
      <w:r w:rsidR="007C3EA1" w:rsidRPr="005D3BA1">
        <w:rPr>
          <w:rStyle w:val="cf01"/>
          <w:rFonts w:ascii="Times New Roman" w:hAnsi="Times New Roman" w:cs="Times New Roman"/>
          <w:sz w:val="22"/>
          <w:szCs w:val="22"/>
        </w:rPr>
        <w:t>o bei teršimo incidentų likvidavimo</w:t>
      </w:r>
      <w:r w:rsidR="00AE2928">
        <w:rPr>
          <w:rStyle w:val="cf01"/>
          <w:rFonts w:ascii="Times New Roman" w:hAnsi="Times New Roman" w:cs="Times New Roman"/>
          <w:sz w:val="22"/>
          <w:szCs w:val="22"/>
        </w:rPr>
        <w:t xml:space="preserve"> esant poreikiui (įvykus incidentui)</w:t>
      </w:r>
      <w:r w:rsidRPr="007C3EA1">
        <w:rPr>
          <w:rFonts w:ascii="Times New Roman" w:eastAsia="Arial" w:hAnsi="Times New Roman" w:cs="Times New Roman"/>
          <w:shd w:val="clear" w:color="auto" w:fill="FFFFFF" w:themeFill="background1"/>
        </w:rPr>
        <w:t>.</w:t>
      </w:r>
    </w:p>
    <w:p w14:paraId="7BAF3C4A" w14:textId="049F370A" w:rsidR="004166A4" w:rsidRPr="00920112" w:rsidRDefault="004166A4" w:rsidP="004064B6">
      <w:pPr>
        <w:tabs>
          <w:tab w:val="left" w:pos="567"/>
        </w:tabs>
        <w:suppressAutoHyphens/>
        <w:autoSpaceDN w:val="0"/>
        <w:spacing w:before="60" w:after="60"/>
        <w:jc w:val="both"/>
        <w:textAlignment w:val="baseline"/>
        <w:rPr>
          <w:rFonts w:ascii="Times New Roman" w:hAnsi="Times New Roman" w:cs="Times New Roman"/>
          <w:color w:val="7030A0"/>
        </w:rPr>
      </w:pPr>
      <w:r w:rsidRPr="00920112">
        <w:rPr>
          <w:rFonts w:ascii="Times New Roman" w:hAnsi="Times New Roman" w:cs="Times New Roman"/>
        </w:rPr>
        <w:t xml:space="preserve">Pirkimo objektas į dalis neskaidomas. </w:t>
      </w:r>
    </w:p>
    <w:bookmarkEnd w:id="0"/>
    <w:bookmarkEnd w:id="1"/>
    <w:p w14:paraId="0CA8E842" w14:textId="77777777" w:rsidR="004166A4" w:rsidRPr="004064B6" w:rsidRDefault="004166A4" w:rsidP="004166A4">
      <w:pPr>
        <w:pStyle w:val="ListParagraph"/>
        <w:numPr>
          <w:ilvl w:val="1"/>
          <w:numId w:val="2"/>
        </w:numPr>
        <w:pBdr>
          <w:top w:val="single" w:sz="4" w:space="1" w:color="auto"/>
          <w:bottom w:val="single" w:sz="4" w:space="1" w:color="auto"/>
        </w:pBdr>
        <w:suppressAutoHyphens/>
        <w:autoSpaceDN w:val="0"/>
        <w:spacing w:before="240" w:after="60" w:line="240" w:lineRule="auto"/>
        <w:ind w:left="426" w:hanging="437"/>
        <w:contextualSpacing w:val="0"/>
        <w:textAlignment w:val="baseline"/>
        <w:rPr>
          <w:rFonts w:ascii="Times New Roman" w:eastAsia="Arial" w:hAnsi="Times New Roman" w:cs="Times New Roman"/>
          <w:b/>
        </w:rPr>
      </w:pPr>
      <w:r w:rsidRPr="004064B6">
        <w:rPr>
          <w:rFonts w:ascii="Times New Roman" w:eastAsia="Arial" w:hAnsi="Times New Roman" w:cs="Times New Roman"/>
          <w:b/>
        </w:rPr>
        <w:t>ESAMA SITUACIJA</w:t>
      </w:r>
    </w:p>
    <w:p w14:paraId="0CBE4756" w14:textId="5BDBF857" w:rsidR="00CD4934" w:rsidRPr="004064B6" w:rsidRDefault="00CD4934" w:rsidP="009700D8">
      <w:pPr>
        <w:pStyle w:val="ListParagraph"/>
        <w:pBdr>
          <w:bottom w:val="single" w:sz="4" w:space="1" w:color="auto"/>
        </w:pBdr>
        <w:suppressAutoHyphens/>
        <w:autoSpaceDN w:val="0"/>
        <w:spacing w:after="0" w:line="240" w:lineRule="auto"/>
        <w:ind w:left="0"/>
        <w:contextualSpacing w:val="0"/>
        <w:textAlignment w:val="baseline"/>
        <w:rPr>
          <w:rFonts w:ascii="Times New Roman" w:hAnsi="Times New Roman" w:cs="Times New Roman"/>
        </w:rPr>
      </w:pPr>
      <w:bookmarkStart w:id="2" w:name="_Ref128047619"/>
      <w:r w:rsidRPr="004064B6">
        <w:rPr>
          <w:rFonts w:ascii="Times New Roman" w:eastAsia="Arial" w:hAnsi="Times New Roman" w:cs="Times New Roman"/>
        </w:rPr>
        <w:t xml:space="preserve">Pirkėjas siekia įsigyti </w:t>
      </w:r>
      <w:r w:rsidR="00FF326D">
        <w:rPr>
          <w:rFonts w:ascii="Times New Roman" w:eastAsia="Arial" w:hAnsi="Times New Roman" w:cs="Times New Roman"/>
        </w:rPr>
        <w:t xml:space="preserve">paslaugas </w:t>
      </w:r>
      <w:r w:rsidRPr="004064B6">
        <w:rPr>
          <w:rFonts w:ascii="Times New Roman" w:eastAsia="Arial" w:hAnsi="Times New Roman" w:cs="Times New Roman"/>
        </w:rPr>
        <w:t>Lietuvos Respublikos Klaipėdos jūrų uosto teritorijoje</w:t>
      </w:r>
      <w:r w:rsidR="00943B92" w:rsidRPr="004064B6">
        <w:rPr>
          <w:rFonts w:ascii="Times New Roman" w:eastAsia="Arial" w:hAnsi="Times New Roman" w:cs="Times New Roman"/>
        </w:rPr>
        <w:t>:</w:t>
      </w:r>
      <w:r w:rsidRPr="004064B6">
        <w:rPr>
          <w:rFonts w:ascii="Times New Roman" w:eastAsia="Arial" w:hAnsi="Times New Roman" w:cs="Times New Roman"/>
        </w:rPr>
        <w:t xml:space="preserve"> </w:t>
      </w:r>
    </w:p>
    <w:p w14:paraId="35C74DED" w14:textId="41FE5F72" w:rsidR="002D28F7" w:rsidRPr="002D28F7" w:rsidRDefault="004166A4" w:rsidP="00B05667">
      <w:pPr>
        <w:pStyle w:val="ListParagraph"/>
        <w:numPr>
          <w:ilvl w:val="3"/>
          <w:numId w:val="10"/>
        </w:numPr>
        <w:pBdr>
          <w:bottom w:val="single" w:sz="4" w:space="4" w:color="auto"/>
        </w:pBdr>
        <w:tabs>
          <w:tab w:val="left" w:pos="1134"/>
        </w:tabs>
        <w:suppressAutoHyphens/>
        <w:autoSpaceDN w:val="0"/>
        <w:spacing w:after="0" w:line="240" w:lineRule="auto"/>
        <w:textAlignment w:val="baseline"/>
        <w:rPr>
          <w:rFonts w:ascii="Times New Roman" w:eastAsia="Arial" w:hAnsi="Times New Roman" w:cs="Times New Roman"/>
        </w:rPr>
      </w:pPr>
      <w:bookmarkStart w:id="3" w:name="_Hlk35516371"/>
      <w:bookmarkStart w:id="4" w:name="_Ref128049782"/>
      <w:bookmarkEnd w:id="2"/>
      <w:r w:rsidRPr="004064B6">
        <w:rPr>
          <w:rFonts w:ascii="Times New Roman" w:eastAsia="Arial" w:hAnsi="Times New Roman" w:cs="Times New Roman"/>
        </w:rPr>
        <w:t xml:space="preserve">Burių g. </w:t>
      </w:r>
      <w:r w:rsidR="002D28F7" w:rsidRPr="002D28F7">
        <w:rPr>
          <w:rFonts w:ascii="Times New Roman" w:eastAsia="Arial" w:hAnsi="Times New Roman" w:cs="Times New Roman"/>
        </w:rPr>
        <w:t>19, LT-92276 Klaipėda (KSEPT) ties eksploatuojamomis krantinėmis: Nr.1, 1a, 2 ir 30 m pločio akvatorijos juostoje prie Užsakovo eksploatuojamų krantinių;</w:t>
      </w:r>
    </w:p>
    <w:p w14:paraId="7A4102B8" w14:textId="2D6A29B9" w:rsidR="002D28F7" w:rsidRPr="004261F3" w:rsidRDefault="002D28F7" w:rsidP="00B05667">
      <w:pPr>
        <w:pStyle w:val="ListParagraph"/>
        <w:numPr>
          <w:ilvl w:val="3"/>
          <w:numId w:val="10"/>
        </w:numPr>
        <w:pBdr>
          <w:bottom w:val="single" w:sz="4" w:space="4" w:color="auto"/>
        </w:pBdr>
        <w:tabs>
          <w:tab w:val="left" w:pos="1134"/>
        </w:tabs>
        <w:suppressAutoHyphens/>
        <w:autoSpaceDN w:val="0"/>
        <w:spacing w:after="0" w:line="240" w:lineRule="auto"/>
        <w:textAlignment w:val="baseline"/>
        <w:rPr>
          <w:rFonts w:ascii="Times New Roman" w:eastAsia="Arial" w:hAnsi="Times New Roman" w:cs="Times New Roman"/>
        </w:rPr>
      </w:pPr>
      <w:r w:rsidRPr="002D28F7">
        <w:rPr>
          <w:rFonts w:ascii="Times New Roman" w:eastAsia="Arial" w:hAnsi="Times New Roman" w:cs="Times New Roman"/>
        </w:rPr>
        <w:t>Kairių g. 23, Klaipėda (Kiaulės nugaros sala) (SGDT) ties eksploatuojama krantine 157 ir 30 m pločio akvatorijos juostoje prie Užsakovo eksploatuojamos krantinės</w:t>
      </w:r>
      <w:r w:rsidR="00EF18E0">
        <w:rPr>
          <w:rFonts w:ascii="Times New Roman" w:eastAsia="Arial" w:hAnsi="Times New Roman" w:cs="Times New Roman"/>
        </w:rPr>
        <w:t>.</w:t>
      </w:r>
    </w:p>
    <w:bookmarkEnd w:id="3"/>
    <w:bookmarkEnd w:id="4"/>
    <w:p w14:paraId="4FD8E00D" w14:textId="34C9FC21" w:rsidR="004166A4" w:rsidRPr="009700D8" w:rsidRDefault="004166A4" w:rsidP="00031E19">
      <w:pPr>
        <w:pStyle w:val="ListParagraph"/>
        <w:numPr>
          <w:ilvl w:val="0"/>
          <w:numId w:val="2"/>
        </w:numPr>
        <w:pBdr>
          <w:top w:val="single" w:sz="4" w:space="1" w:color="auto"/>
          <w:bottom w:val="single" w:sz="4" w:space="1" w:color="auto"/>
        </w:pBdr>
        <w:tabs>
          <w:tab w:val="left" w:pos="426"/>
        </w:tabs>
        <w:suppressAutoHyphens/>
        <w:autoSpaceDN w:val="0"/>
        <w:spacing w:before="240" w:after="60" w:line="240" w:lineRule="auto"/>
        <w:ind w:left="0" w:firstLine="0"/>
        <w:contextualSpacing w:val="0"/>
        <w:textAlignment w:val="baseline"/>
        <w:rPr>
          <w:rFonts w:ascii="Times New Roman" w:eastAsia="Arial" w:hAnsi="Times New Roman" w:cs="Times New Roman"/>
          <w:b/>
        </w:rPr>
      </w:pPr>
      <w:r w:rsidRPr="009700D8">
        <w:rPr>
          <w:rFonts w:ascii="Times New Roman" w:eastAsia="Arial" w:hAnsi="Times New Roman" w:cs="Times New Roman"/>
          <w:b/>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9075"/>
      </w:tblGrid>
      <w:tr w:rsidR="004166A4" w:rsidRPr="004625BC" w14:paraId="118C1550" w14:textId="77777777" w:rsidTr="38262879">
        <w:trPr>
          <w:trHeight w:val="411"/>
          <w:jc w:val="center"/>
        </w:trPr>
        <w:tc>
          <w:tcPr>
            <w:tcW w:w="5000" w:type="pct"/>
            <w:gridSpan w:val="2"/>
            <w:shd w:val="clear" w:color="auto" w:fill="AFD1CA"/>
            <w:vAlign w:val="center"/>
          </w:tcPr>
          <w:p w14:paraId="4E1833E7" w14:textId="264EABA8" w:rsidR="004166A4" w:rsidRPr="00B05667" w:rsidRDefault="00920112" w:rsidP="00031E19">
            <w:pPr>
              <w:pStyle w:val="ListParagraph"/>
              <w:keepLines/>
              <w:widowControl w:val="0"/>
              <w:jc w:val="center"/>
              <w:rPr>
                <w:b/>
                <w:bCs/>
                <w:sz w:val="24"/>
                <w:szCs w:val="24"/>
              </w:rPr>
            </w:pPr>
            <w:r w:rsidRPr="00B05667">
              <w:rPr>
                <w:rStyle w:val="cf01"/>
                <w:rFonts w:ascii="Times New Roman" w:eastAsiaTheme="majorEastAsia" w:hAnsi="Times New Roman" w:cs="Times New Roman"/>
                <w:b/>
                <w:bCs/>
                <w:sz w:val="24"/>
                <w:szCs w:val="24"/>
              </w:rPr>
              <w:t>Teršimo incidentų likvidavimo ir tikslinių priemonių bei personalo nuolatinio dislokavimo ir parengties paslaugos</w:t>
            </w:r>
            <w:r w:rsidRPr="00B05667">
              <w:rPr>
                <w:rFonts w:eastAsia="Arial"/>
                <w:b/>
                <w:bCs/>
                <w:sz w:val="24"/>
                <w:szCs w:val="24"/>
              </w:rPr>
              <w:t xml:space="preserve"> </w:t>
            </w:r>
          </w:p>
        </w:tc>
      </w:tr>
      <w:tr w:rsidR="004166A4" w:rsidRPr="004625BC" w14:paraId="7D5D4E48" w14:textId="77777777" w:rsidTr="38262879">
        <w:trPr>
          <w:trHeight w:val="404"/>
          <w:jc w:val="center"/>
        </w:trPr>
        <w:tc>
          <w:tcPr>
            <w:tcW w:w="5000" w:type="pct"/>
            <w:gridSpan w:val="2"/>
            <w:tcBorders>
              <w:bottom w:val="single" w:sz="4" w:space="0" w:color="000000" w:themeColor="text1"/>
            </w:tcBorders>
            <w:shd w:val="clear" w:color="auto" w:fill="FFFFFF" w:themeFill="background1"/>
            <w:vAlign w:val="center"/>
          </w:tcPr>
          <w:p w14:paraId="461A6339" w14:textId="77777777" w:rsidR="004166A4" w:rsidRPr="00B05667" w:rsidRDefault="004166A4" w:rsidP="0050578B">
            <w:pPr>
              <w:keepLines/>
              <w:widowControl w:val="0"/>
              <w:jc w:val="center"/>
              <w:rPr>
                <w:b/>
                <w:color w:val="FF0000"/>
                <w:sz w:val="24"/>
                <w:szCs w:val="24"/>
              </w:rPr>
            </w:pPr>
            <w:r w:rsidRPr="00B05667">
              <w:rPr>
                <w:b/>
                <w:color w:val="000000"/>
                <w:sz w:val="24"/>
                <w:szCs w:val="24"/>
              </w:rPr>
              <w:t xml:space="preserve">Pirkimo objektui taikomas žaliasis kriterijus </w:t>
            </w:r>
          </w:p>
        </w:tc>
      </w:tr>
      <w:tr w:rsidR="004166A4" w:rsidRPr="004625BC" w14:paraId="7528D163" w14:textId="77777777" w:rsidTr="38262879">
        <w:trPr>
          <w:trHeight w:val="304"/>
          <w:jc w:val="center"/>
        </w:trPr>
        <w:tc>
          <w:tcPr>
            <w:tcW w:w="290" w:type="pct"/>
            <w:tcBorders>
              <w:top w:val="single" w:sz="4" w:space="0" w:color="000000" w:themeColor="text1"/>
              <w:bottom w:val="single" w:sz="4" w:space="0" w:color="auto"/>
            </w:tcBorders>
            <w:vAlign w:val="center"/>
          </w:tcPr>
          <w:p w14:paraId="7F91126B" w14:textId="77777777" w:rsidR="004166A4" w:rsidRPr="009700D8" w:rsidRDefault="004166A4" w:rsidP="004166A4">
            <w:pPr>
              <w:pStyle w:val="ListParagraph"/>
              <w:keepLines/>
              <w:widowControl w:val="0"/>
              <w:numPr>
                <w:ilvl w:val="1"/>
                <w:numId w:val="5"/>
              </w:numPr>
              <w:tabs>
                <w:tab w:val="left" w:pos="284"/>
                <w:tab w:val="left" w:pos="457"/>
                <w:tab w:val="left" w:pos="5779"/>
              </w:tabs>
              <w:autoSpaceDN w:val="0"/>
              <w:spacing w:before="60" w:after="60"/>
              <w:ind w:left="316" w:hanging="284"/>
              <w:textAlignment w:val="baseline"/>
              <w:rPr>
                <w:rFonts w:eastAsia="Arial"/>
                <w:b/>
                <w:sz w:val="22"/>
                <w:szCs w:val="22"/>
              </w:rPr>
            </w:pPr>
          </w:p>
        </w:tc>
        <w:tc>
          <w:tcPr>
            <w:tcW w:w="4710" w:type="pct"/>
            <w:tcBorders>
              <w:top w:val="single" w:sz="4" w:space="0" w:color="000000" w:themeColor="text1"/>
              <w:bottom w:val="single" w:sz="4" w:space="0" w:color="auto"/>
            </w:tcBorders>
            <w:vAlign w:val="center"/>
          </w:tcPr>
          <w:p w14:paraId="2593ECEA" w14:textId="54CE78DD" w:rsidR="00C050ED" w:rsidRPr="009700D8" w:rsidRDefault="00C050ED" w:rsidP="0050578B">
            <w:pPr>
              <w:keepLines/>
              <w:widowControl w:val="0"/>
              <w:jc w:val="both"/>
              <w:rPr>
                <w:sz w:val="22"/>
                <w:szCs w:val="22"/>
              </w:rPr>
            </w:pPr>
            <w:r w:rsidRPr="009700D8">
              <w:rPr>
                <w:rFonts w:asciiTheme="minorHAnsi" w:hAnsiTheme="minorHAnsi" w:cstheme="minorBidi"/>
              </w:rPr>
              <w:t xml:space="preserve">1.1.1. mažinti popieriaus sunaudojimą, atsisakyti nebūtino dokumentų kopijavimo ir spausdinimo, rengiama dokumentacija, paslaugų perdavimo– priėmimo aktai Pirkėjui turi būti pateikti tik elektroniniu formatu, o dokumentacija, kuri turi būti pasirašoma ir </w:t>
            </w:r>
            <w:r w:rsidR="00554E05" w:rsidRPr="009700D8">
              <w:rPr>
                <w:rFonts w:asciiTheme="minorHAnsi" w:hAnsiTheme="minorHAnsi" w:cstheme="minorBidi"/>
              </w:rPr>
              <w:t xml:space="preserve">paslaugų </w:t>
            </w:r>
            <w:r w:rsidRPr="009700D8">
              <w:rPr>
                <w:rFonts w:asciiTheme="minorHAnsi" w:hAnsiTheme="minorHAnsi" w:cstheme="minorBidi"/>
              </w:rPr>
              <w:t>perdavimo– priėmimo aktai turi būti pasirašomi elektroniniu parašu. Esant būtinybei spausdinti, naudojamas perdirbtas popierius, kuris atitinka žaliojo pirkimo reikalavimus, patvirtintus Lietuvos Respublikos aplinkos ministro 2011 m. birželio 28 d. įsakyme Nr. D1-508 „Dėl Aplinkos apsaugos kriterijų</w:t>
            </w:r>
            <w:r w:rsidR="00227391">
              <w:rPr>
                <w:rFonts w:asciiTheme="minorHAnsi" w:hAnsiTheme="minorHAnsi" w:cstheme="minorBidi"/>
              </w:rPr>
              <w:t xml:space="preserve"> taikymo</w:t>
            </w:r>
            <w:r w:rsidR="00F35E63">
              <w:rPr>
                <w:rFonts w:asciiTheme="minorHAnsi" w:hAnsiTheme="minorHAnsi" w:cstheme="minorBidi"/>
              </w:rPr>
              <w:t>, vykdant žaliuosius pirkimus</w:t>
            </w:r>
            <w:r w:rsidRPr="009700D8">
              <w:rPr>
                <w:rFonts w:asciiTheme="minorHAnsi" w:hAnsiTheme="minorHAnsi" w:cstheme="minorBidi"/>
              </w:rPr>
              <w:t xml:space="preserve">, tvarkos aprašo patvirtinimo“ (toliau – </w:t>
            </w:r>
            <w:r w:rsidR="00736688">
              <w:rPr>
                <w:rFonts w:asciiTheme="minorHAnsi" w:hAnsiTheme="minorHAnsi" w:cstheme="minorBidi"/>
              </w:rPr>
              <w:t>Aprašas</w:t>
            </w:r>
            <w:r w:rsidRPr="009700D8">
              <w:rPr>
                <w:rFonts w:asciiTheme="minorHAnsi" w:hAnsiTheme="minorHAnsi" w:cstheme="minorBidi"/>
              </w:rPr>
              <w:t xml:space="preserve">); </w:t>
            </w:r>
          </w:p>
          <w:p w14:paraId="5D4B19B6" w14:textId="47506F10" w:rsidR="00C050ED" w:rsidRPr="009700D8" w:rsidRDefault="00C050ED" w:rsidP="0050578B">
            <w:pPr>
              <w:keepLines/>
              <w:widowControl w:val="0"/>
              <w:jc w:val="both"/>
              <w:rPr>
                <w:sz w:val="22"/>
                <w:szCs w:val="22"/>
              </w:rPr>
            </w:pPr>
            <w:r w:rsidRPr="009700D8">
              <w:rPr>
                <w:rFonts w:asciiTheme="minorHAnsi" w:hAnsiTheme="minorHAnsi" w:cstheme="minorBidi"/>
              </w:rPr>
              <w:t>1.1.2. siekti, kad paslaugoms teikti būtų sunaudojama mažiau gamtos išteklių ir taip būtų laikomasi</w:t>
            </w:r>
            <w:r w:rsidR="00736688">
              <w:rPr>
                <w:rFonts w:asciiTheme="minorHAnsi" w:hAnsiTheme="minorHAnsi" w:cstheme="minorBidi"/>
              </w:rPr>
              <w:t xml:space="preserve"> </w:t>
            </w:r>
            <w:r w:rsidRPr="009700D8">
              <w:rPr>
                <w:rFonts w:asciiTheme="minorHAnsi" w:hAnsiTheme="minorHAnsi" w:cstheme="minorBidi"/>
              </w:rPr>
              <w:t>Apraš</w:t>
            </w:r>
            <w:r w:rsidR="00736688">
              <w:rPr>
                <w:rFonts w:asciiTheme="minorHAnsi" w:hAnsiTheme="minorHAnsi" w:cstheme="minorBidi"/>
              </w:rPr>
              <w:t>o</w:t>
            </w:r>
            <w:r w:rsidRPr="009700D8">
              <w:rPr>
                <w:rFonts w:asciiTheme="minorHAnsi" w:hAnsiTheme="minorHAnsi" w:cstheme="minorBidi"/>
              </w:rPr>
              <w:t xml:space="preserve"> 4.4.</w:t>
            </w:r>
            <w:r w:rsidR="007A7DC9">
              <w:rPr>
                <w:rFonts w:asciiTheme="minorHAnsi" w:hAnsiTheme="minorHAnsi" w:cstheme="minorBidi"/>
              </w:rPr>
              <w:t>4</w:t>
            </w:r>
            <w:r w:rsidRPr="009700D8">
              <w:rPr>
                <w:rFonts w:asciiTheme="minorHAnsi" w:hAnsiTheme="minorHAnsi" w:cstheme="minorBidi"/>
              </w:rPr>
              <w:t xml:space="preserve"> punkte nustatyto aplinkosauginio principo, t. y.: </w:t>
            </w:r>
          </w:p>
          <w:p w14:paraId="7AC1B610" w14:textId="66238B51" w:rsidR="00C050ED" w:rsidRPr="009700D8" w:rsidRDefault="00C050ED" w:rsidP="0050578B">
            <w:pPr>
              <w:keepLines/>
              <w:widowControl w:val="0"/>
              <w:jc w:val="both"/>
              <w:rPr>
                <w:sz w:val="22"/>
                <w:szCs w:val="22"/>
              </w:rPr>
            </w:pPr>
            <w:r w:rsidRPr="009700D8">
              <w:rPr>
                <w:rFonts w:asciiTheme="minorHAnsi" w:hAnsiTheme="minorHAnsi" w:cstheme="minorBidi"/>
              </w:rPr>
              <w:t xml:space="preserve">1.1.2.1. siekti, kad Tiekėjo specialistai, teikiantys paslaugas, atvykimui į </w:t>
            </w:r>
            <w:r w:rsidR="0031605E">
              <w:rPr>
                <w:rFonts w:asciiTheme="minorHAnsi" w:hAnsiTheme="minorHAnsi" w:cstheme="minorBidi"/>
              </w:rPr>
              <w:t>Paslaugų teikimo</w:t>
            </w:r>
            <w:r w:rsidRPr="009700D8">
              <w:rPr>
                <w:rFonts w:asciiTheme="minorHAnsi" w:hAnsiTheme="minorHAnsi" w:cstheme="minorBidi"/>
              </w:rPr>
              <w:t xml:space="preserve"> vietą rinktųsi netaršias transporto priemones, kurios atitinka žaliojo pirkimo reikalavimus, patvirtintus A</w:t>
            </w:r>
            <w:r w:rsidR="0031605E">
              <w:rPr>
                <w:rFonts w:asciiTheme="minorHAnsi" w:hAnsiTheme="minorHAnsi" w:cstheme="minorBidi"/>
              </w:rPr>
              <w:t>praše</w:t>
            </w:r>
            <w:r w:rsidRPr="009700D8">
              <w:rPr>
                <w:rFonts w:asciiTheme="minorHAnsi" w:hAnsiTheme="minorHAnsi" w:cstheme="minorBidi"/>
              </w:rPr>
              <w:t xml:space="preserve">; </w:t>
            </w:r>
          </w:p>
          <w:p w14:paraId="539E582F" w14:textId="7CA49D88" w:rsidR="00C050ED" w:rsidRPr="009700D8" w:rsidRDefault="00C050ED" w:rsidP="0050578B">
            <w:pPr>
              <w:keepLines/>
              <w:widowControl w:val="0"/>
              <w:jc w:val="both"/>
              <w:rPr>
                <w:sz w:val="22"/>
                <w:szCs w:val="22"/>
              </w:rPr>
            </w:pPr>
            <w:r w:rsidRPr="009700D8">
              <w:rPr>
                <w:rFonts w:asciiTheme="minorHAnsi" w:hAnsiTheme="minorHAnsi" w:cstheme="minorBidi"/>
              </w:rPr>
              <w:t>1.1.2.2. siekti, kad būtų pasirenkamas optimalus maršrutas Tiekėjo specialistų atvykimui į</w:t>
            </w:r>
            <w:r w:rsidR="0031605E">
              <w:rPr>
                <w:rFonts w:asciiTheme="minorHAnsi" w:hAnsiTheme="minorHAnsi" w:cstheme="minorBidi"/>
              </w:rPr>
              <w:t xml:space="preserve"> </w:t>
            </w:r>
            <w:r w:rsidR="007768CB">
              <w:rPr>
                <w:rFonts w:asciiTheme="minorHAnsi" w:hAnsiTheme="minorHAnsi" w:cstheme="minorBidi"/>
              </w:rPr>
              <w:t>p</w:t>
            </w:r>
            <w:r w:rsidR="0031605E">
              <w:rPr>
                <w:rFonts w:asciiTheme="minorHAnsi" w:hAnsiTheme="minorHAnsi" w:cstheme="minorBidi"/>
              </w:rPr>
              <w:t>aslaugų teikimo</w:t>
            </w:r>
            <w:r w:rsidRPr="009700D8">
              <w:rPr>
                <w:rFonts w:asciiTheme="minorHAnsi" w:hAnsiTheme="minorHAnsi" w:cstheme="minorBidi"/>
              </w:rPr>
              <w:t xml:space="preserve"> vietą; </w:t>
            </w:r>
          </w:p>
          <w:p w14:paraId="1A6D5B9D" w14:textId="6F93F9DE" w:rsidR="00C050ED" w:rsidRPr="009700D8" w:rsidRDefault="00C050ED" w:rsidP="0050578B">
            <w:pPr>
              <w:keepLines/>
              <w:widowControl w:val="0"/>
              <w:jc w:val="both"/>
              <w:rPr>
                <w:sz w:val="22"/>
                <w:szCs w:val="22"/>
              </w:rPr>
            </w:pPr>
            <w:r w:rsidRPr="009700D8">
              <w:rPr>
                <w:rFonts w:asciiTheme="minorHAnsi" w:hAnsiTheme="minorHAnsi" w:cstheme="minorBidi"/>
              </w:rPr>
              <w:t xml:space="preserve">1.1.2.3. siekti, kad </w:t>
            </w:r>
            <w:r w:rsidR="007768CB">
              <w:rPr>
                <w:rFonts w:asciiTheme="minorHAnsi" w:hAnsiTheme="minorHAnsi" w:cstheme="minorBidi"/>
              </w:rPr>
              <w:t>p</w:t>
            </w:r>
            <w:r w:rsidRPr="009700D8">
              <w:rPr>
                <w:rFonts w:asciiTheme="minorHAnsi" w:hAnsiTheme="minorHAnsi" w:cstheme="minorBidi"/>
              </w:rPr>
              <w:t xml:space="preserve">aslaugoms teikti būtų pasiūlytas arčiausiai numatomos </w:t>
            </w:r>
            <w:r w:rsidR="007768CB">
              <w:rPr>
                <w:rFonts w:asciiTheme="minorHAnsi" w:hAnsiTheme="minorHAnsi" w:cstheme="minorBidi"/>
              </w:rPr>
              <w:t>p</w:t>
            </w:r>
            <w:r w:rsidR="0031605E">
              <w:rPr>
                <w:rFonts w:asciiTheme="minorHAnsi" w:hAnsiTheme="minorHAnsi" w:cstheme="minorBidi"/>
              </w:rPr>
              <w:t>aslaugų</w:t>
            </w:r>
            <w:r w:rsidRPr="009700D8">
              <w:rPr>
                <w:rFonts w:asciiTheme="minorHAnsi" w:hAnsiTheme="minorHAnsi" w:cstheme="minorBidi"/>
              </w:rPr>
              <w:t xml:space="preserve"> vykdymo vietos esantis specialistas; </w:t>
            </w:r>
          </w:p>
          <w:p w14:paraId="7B7C9338" w14:textId="1AE5A2B3" w:rsidR="004166A4" w:rsidRPr="009700D8" w:rsidRDefault="00C050ED" w:rsidP="0050578B">
            <w:pPr>
              <w:keepLines/>
              <w:widowControl w:val="0"/>
              <w:jc w:val="both"/>
              <w:rPr>
                <w:sz w:val="22"/>
                <w:szCs w:val="22"/>
              </w:rPr>
            </w:pPr>
            <w:r w:rsidRPr="009700D8">
              <w:rPr>
                <w:rFonts w:asciiTheme="minorHAnsi" w:hAnsiTheme="minorHAnsi" w:cstheme="minorBidi"/>
              </w:rPr>
              <w:t xml:space="preserve">1.1.2.4. siekti, kad </w:t>
            </w:r>
            <w:r w:rsidR="007768CB">
              <w:rPr>
                <w:rFonts w:asciiTheme="minorHAnsi" w:hAnsiTheme="minorHAnsi" w:cstheme="minorBidi"/>
              </w:rPr>
              <w:t>p</w:t>
            </w:r>
            <w:r w:rsidRPr="009700D8">
              <w:rPr>
                <w:rFonts w:asciiTheme="minorHAnsi" w:hAnsiTheme="minorHAnsi" w:cstheme="minorBidi"/>
              </w:rPr>
              <w:t>aslaugų teikimui būtų sunaudojama mažiau elektros energijos ir (ar) naudojami atsinaujinantys, ekologiški energijos išteklia</w:t>
            </w:r>
            <w:r w:rsidR="006E726A">
              <w:rPr>
                <w:rFonts w:asciiTheme="minorHAnsi" w:hAnsiTheme="minorHAnsi" w:cstheme="minorBidi"/>
              </w:rPr>
              <w:t>i</w:t>
            </w:r>
            <w:r w:rsidR="00AE5ADB">
              <w:rPr>
                <w:rFonts w:asciiTheme="minorHAnsi" w:hAnsiTheme="minorHAnsi" w:cstheme="minorBidi"/>
              </w:rPr>
              <w:t>.</w:t>
            </w:r>
          </w:p>
        </w:tc>
      </w:tr>
      <w:tr w:rsidR="004166A4" w:rsidRPr="004625BC" w14:paraId="4F1C2C8F" w14:textId="77777777" w:rsidTr="38262879">
        <w:trPr>
          <w:trHeight w:val="417"/>
          <w:jc w:val="center"/>
        </w:trPr>
        <w:tc>
          <w:tcPr>
            <w:tcW w:w="5000" w:type="pct"/>
            <w:gridSpan w:val="2"/>
            <w:shd w:val="clear" w:color="auto" w:fill="FFFFFF" w:themeFill="background1"/>
            <w:vAlign w:val="center"/>
          </w:tcPr>
          <w:p w14:paraId="616086B1" w14:textId="77777777" w:rsidR="004166A4" w:rsidRPr="00031E19" w:rsidRDefault="004166A4" w:rsidP="0050578B">
            <w:pPr>
              <w:widowControl w:val="0"/>
              <w:jc w:val="center"/>
              <w:rPr>
                <w:b/>
                <w:color w:val="156082" w:themeColor="accent1"/>
                <w:sz w:val="22"/>
                <w:szCs w:val="22"/>
              </w:rPr>
            </w:pPr>
            <w:r w:rsidRPr="00031E19">
              <w:rPr>
                <w:rFonts w:asciiTheme="minorHAnsi" w:hAnsiTheme="minorHAnsi" w:cstheme="minorBidi"/>
                <w:b/>
              </w:rPr>
              <w:t>Reikalavimai dėl atitikties nacionalinio saugumo interesams</w:t>
            </w:r>
          </w:p>
        </w:tc>
      </w:tr>
      <w:tr w:rsidR="004166A4" w:rsidRPr="004625BC" w14:paraId="5F78D4A0" w14:textId="77777777" w:rsidTr="38262879">
        <w:trPr>
          <w:trHeight w:val="318"/>
          <w:jc w:val="center"/>
        </w:trPr>
        <w:tc>
          <w:tcPr>
            <w:tcW w:w="290" w:type="pct"/>
          </w:tcPr>
          <w:p w14:paraId="06E6583F" w14:textId="77777777" w:rsidR="004166A4" w:rsidRPr="00031E19" w:rsidRDefault="004166A4" w:rsidP="004166A4">
            <w:pPr>
              <w:pStyle w:val="ListParagraph"/>
              <w:keepLines/>
              <w:widowControl w:val="0"/>
              <w:numPr>
                <w:ilvl w:val="1"/>
                <w:numId w:val="5"/>
              </w:numPr>
              <w:tabs>
                <w:tab w:val="left" w:pos="284"/>
                <w:tab w:val="left" w:pos="457"/>
                <w:tab w:val="left" w:pos="5779"/>
              </w:tabs>
              <w:autoSpaceDN w:val="0"/>
              <w:spacing w:before="60" w:after="60"/>
              <w:ind w:left="316" w:hanging="284"/>
              <w:textAlignment w:val="baseline"/>
              <w:rPr>
                <w:color w:val="FF0000"/>
                <w:sz w:val="22"/>
                <w:szCs w:val="22"/>
              </w:rPr>
            </w:pPr>
          </w:p>
        </w:tc>
        <w:tc>
          <w:tcPr>
            <w:tcW w:w="4710" w:type="pct"/>
            <w:vAlign w:val="center"/>
          </w:tcPr>
          <w:p w14:paraId="4DD42AC0" w14:textId="77777777" w:rsidR="004166A4" w:rsidRPr="00031E19" w:rsidRDefault="004166A4" w:rsidP="0050578B">
            <w:pPr>
              <w:widowControl w:val="0"/>
              <w:rPr>
                <w:sz w:val="22"/>
                <w:szCs w:val="22"/>
              </w:rPr>
            </w:pPr>
            <w:r w:rsidRPr="00031E19">
              <w:rPr>
                <w:rFonts w:asciiTheme="minorHAnsi" w:hAnsiTheme="minorHAnsi" w:cstheme="minorBidi"/>
              </w:rPr>
              <w:t>Netaikomi.</w:t>
            </w:r>
          </w:p>
        </w:tc>
      </w:tr>
      <w:tr w:rsidR="004166A4" w:rsidRPr="004625BC" w14:paraId="600E1023" w14:textId="77777777" w:rsidTr="38262879">
        <w:trPr>
          <w:jc w:val="center"/>
        </w:trPr>
        <w:tc>
          <w:tcPr>
            <w:tcW w:w="5000" w:type="pct"/>
            <w:gridSpan w:val="2"/>
            <w:vAlign w:val="center"/>
          </w:tcPr>
          <w:p w14:paraId="3BAFBDB8" w14:textId="77777777" w:rsidR="004166A4" w:rsidRPr="00031E19" w:rsidRDefault="004166A4" w:rsidP="0050578B">
            <w:pPr>
              <w:widowControl w:val="0"/>
              <w:jc w:val="center"/>
              <w:rPr>
                <w:color w:val="FF0000"/>
                <w:sz w:val="22"/>
                <w:szCs w:val="22"/>
              </w:rPr>
            </w:pPr>
            <w:r w:rsidRPr="00031E19">
              <w:rPr>
                <w:rFonts w:asciiTheme="minorHAnsi" w:hAnsiTheme="minorHAnsi" w:cstheme="minorBidi"/>
                <w:b/>
              </w:rPr>
              <w:t xml:space="preserve">Paslaugos turi būti teikiamos vadovaujantis šiais norminiais dokumentais: </w:t>
            </w:r>
          </w:p>
        </w:tc>
      </w:tr>
      <w:tr w:rsidR="004166A4" w:rsidRPr="004625BC" w14:paraId="56923103" w14:textId="77777777" w:rsidTr="38262879">
        <w:trPr>
          <w:jc w:val="center"/>
        </w:trPr>
        <w:tc>
          <w:tcPr>
            <w:tcW w:w="290" w:type="pct"/>
            <w:vAlign w:val="center"/>
          </w:tcPr>
          <w:p w14:paraId="168DF5D2" w14:textId="77777777" w:rsidR="004166A4" w:rsidRPr="00031E19" w:rsidRDefault="004166A4" w:rsidP="004166A4">
            <w:pPr>
              <w:pStyle w:val="ListParagraph"/>
              <w:keepLines/>
              <w:widowControl w:val="0"/>
              <w:numPr>
                <w:ilvl w:val="1"/>
                <w:numId w:val="5"/>
              </w:numPr>
              <w:tabs>
                <w:tab w:val="left" w:pos="284"/>
                <w:tab w:val="left" w:pos="457"/>
                <w:tab w:val="left" w:pos="5779"/>
              </w:tabs>
              <w:autoSpaceDN w:val="0"/>
              <w:spacing w:before="60" w:after="60"/>
              <w:ind w:left="316" w:hanging="284"/>
              <w:textAlignment w:val="baseline"/>
              <w:rPr>
                <w:color w:val="FF0000"/>
                <w:sz w:val="22"/>
                <w:szCs w:val="22"/>
              </w:rPr>
            </w:pPr>
          </w:p>
        </w:tc>
        <w:tc>
          <w:tcPr>
            <w:tcW w:w="4710" w:type="pct"/>
            <w:vAlign w:val="center"/>
          </w:tcPr>
          <w:p w14:paraId="5F1C2A5E" w14:textId="5F175A90" w:rsidR="004166A4" w:rsidRPr="00DA7685" w:rsidRDefault="00712915" w:rsidP="0050578B">
            <w:pPr>
              <w:widowControl w:val="0"/>
              <w:jc w:val="both"/>
              <w:rPr>
                <w:color w:val="FF0000"/>
                <w:sz w:val="22"/>
                <w:szCs w:val="22"/>
              </w:rPr>
            </w:pPr>
            <w:r>
              <w:rPr>
                <w:rFonts w:asciiTheme="minorHAnsi" w:hAnsiTheme="minorHAnsi" w:cstheme="minorBidi"/>
                <w:color w:val="000000"/>
              </w:rPr>
              <w:t xml:space="preserve">Lietuvos Respublikos </w:t>
            </w:r>
            <w:r w:rsidR="00E02C3C">
              <w:rPr>
                <w:rFonts w:asciiTheme="minorHAnsi" w:hAnsiTheme="minorHAnsi" w:cstheme="minorBidi"/>
                <w:color w:val="000000"/>
              </w:rPr>
              <w:t>k</w:t>
            </w:r>
            <w:r w:rsidR="004166A4" w:rsidRPr="00DA7685">
              <w:rPr>
                <w:rFonts w:asciiTheme="minorHAnsi" w:hAnsiTheme="minorHAnsi" w:cstheme="minorBidi"/>
                <w:color w:val="000000"/>
              </w:rPr>
              <w:t xml:space="preserve">rašto apsaugos ministro, </w:t>
            </w:r>
            <w:r w:rsidR="00087A90">
              <w:rPr>
                <w:rFonts w:asciiTheme="minorHAnsi" w:hAnsiTheme="minorHAnsi" w:cstheme="minorBidi"/>
                <w:color w:val="000000"/>
              </w:rPr>
              <w:t xml:space="preserve">Lietuvos Respublikos </w:t>
            </w:r>
            <w:r w:rsidR="00E02C3C">
              <w:rPr>
                <w:rFonts w:asciiTheme="minorHAnsi" w:hAnsiTheme="minorHAnsi" w:cstheme="minorBidi"/>
                <w:color w:val="000000"/>
              </w:rPr>
              <w:t>a</w:t>
            </w:r>
            <w:r w:rsidR="004166A4" w:rsidRPr="00DA7685">
              <w:rPr>
                <w:rFonts w:asciiTheme="minorHAnsi" w:hAnsiTheme="minorHAnsi" w:cstheme="minorBidi"/>
                <w:color w:val="000000"/>
              </w:rPr>
              <w:t xml:space="preserve">plinkos ministro ir </w:t>
            </w:r>
            <w:r w:rsidR="00A5354D">
              <w:rPr>
                <w:rFonts w:asciiTheme="minorHAnsi" w:hAnsiTheme="minorHAnsi" w:cstheme="minorBidi"/>
                <w:color w:val="000000"/>
              </w:rPr>
              <w:t xml:space="preserve">Lietuvos Respublikos </w:t>
            </w:r>
            <w:r w:rsidR="004166A4" w:rsidRPr="00DA7685">
              <w:rPr>
                <w:rFonts w:asciiTheme="minorHAnsi" w:hAnsiTheme="minorHAnsi" w:cstheme="minorBidi"/>
                <w:color w:val="000000"/>
              </w:rPr>
              <w:t xml:space="preserve">vidaus reikalų ministro 2009 m. lapkričio 9 d. įsakymu Nr. V-1044/D1-673/1V-596 patvirtintu </w:t>
            </w:r>
            <w:hyperlink r:id="rId11" w:history="1">
              <w:r w:rsidR="004166A4" w:rsidRPr="00DA7685">
                <w:rPr>
                  <w:rStyle w:val="Hyperlink"/>
                  <w:rFonts w:asciiTheme="minorHAnsi" w:hAnsiTheme="minorHAnsi" w:cstheme="minorBidi"/>
                </w:rPr>
                <w:t>Teršimo incidentų likvidavimo jūros rajone darbų planu</w:t>
              </w:r>
            </w:hyperlink>
            <w:r w:rsidR="004166A4" w:rsidRPr="00DA7685">
              <w:rPr>
                <w:rFonts w:asciiTheme="minorHAnsi" w:hAnsiTheme="minorHAnsi" w:cstheme="minorBidi"/>
                <w:color w:val="000000"/>
              </w:rPr>
              <w:t>.</w:t>
            </w:r>
          </w:p>
        </w:tc>
      </w:tr>
      <w:tr w:rsidR="004166A4" w:rsidRPr="004625BC" w14:paraId="60B534F0" w14:textId="77777777" w:rsidTr="38262879">
        <w:trPr>
          <w:jc w:val="center"/>
        </w:trPr>
        <w:tc>
          <w:tcPr>
            <w:tcW w:w="5000" w:type="pct"/>
            <w:gridSpan w:val="2"/>
          </w:tcPr>
          <w:p w14:paraId="416F2A43" w14:textId="08178632" w:rsidR="004166A4" w:rsidRPr="00031E19" w:rsidRDefault="00C050ED" w:rsidP="0050578B">
            <w:pPr>
              <w:widowControl w:val="0"/>
              <w:jc w:val="center"/>
              <w:rPr>
                <w:sz w:val="22"/>
                <w:szCs w:val="22"/>
              </w:rPr>
            </w:pPr>
            <w:r w:rsidRPr="00031E19">
              <w:rPr>
                <w:rFonts w:asciiTheme="minorHAnsi" w:hAnsiTheme="minorHAnsi" w:cstheme="minorBidi"/>
                <w:b/>
              </w:rPr>
              <w:lastRenderedPageBreak/>
              <w:t>Reikalavimai Tiekėju</w:t>
            </w:r>
            <w:r w:rsidR="00627353" w:rsidRPr="00031E19">
              <w:rPr>
                <w:rFonts w:asciiTheme="minorHAnsi" w:hAnsiTheme="minorHAnsi" w:cstheme="minorBidi"/>
                <w:b/>
              </w:rPr>
              <w:t>i</w:t>
            </w:r>
          </w:p>
        </w:tc>
      </w:tr>
      <w:tr w:rsidR="004166A4" w:rsidRPr="004625BC" w14:paraId="692EA271" w14:textId="77777777" w:rsidTr="38262879">
        <w:trPr>
          <w:jc w:val="center"/>
        </w:trPr>
        <w:tc>
          <w:tcPr>
            <w:tcW w:w="290" w:type="pct"/>
          </w:tcPr>
          <w:p w14:paraId="22BCCAE8" w14:textId="77777777" w:rsidR="004166A4" w:rsidRPr="00031E19" w:rsidRDefault="004166A4" w:rsidP="004166A4">
            <w:pPr>
              <w:pStyle w:val="ListParagraph"/>
              <w:keepLines/>
              <w:widowControl w:val="0"/>
              <w:numPr>
                <w:ilvl w:val="1"/>
                <w:numId w:val="5"/>
              </w:numPr>
              <w:tabs>
                <w:tab w:val="left" w:pos="284"/>
                <w:tab w:val="left" w:pos="457"/>
                <w:tab w:val="left" w:pos="5779"/>
              </w:tabs>
              <w:autoSpaceDN w:val="0"/>
              <w:spacing w:before="60" w:after="60"/>
              <w:ind w:left="316" w:hanging="284"/>
              <w:textAlignment w:val="baseline"/>
              <w:rPr>
                <w:color w:val="FF0000"/>
                <w:sz w:val="22"/>
                <w:szCs w:val="22"/>
              </w:rPr>
            </w:pPr>
          </w:p>
        </w:tc>
        <w:tc>
          <w:tcPr>
            <w:tcW w:w="4710" w:type="pct"/>
            <w:vAlign w:val="center"/>
          </w:tcPr>
          <w:p w14:paraId="3FC0F974" w14:textId="223FA19B" w:rsidR="004166A4" w:rsidRPr="004133D9" w:rsidRDefault="009C1F5C" w:rsidP="00B05667">
            <w:pPr>
              <w:widowControl w:val="0"/>
              <w:jc w:val="both"/>
              <w:rPr>
                <w:sz w:val="22"/>
                <w:szCs w:val="22"/>
              </w:rPr>
            </w:pPr>
            <w:r>
              <w:t>Teikti tinkamas ir Sutarties reikalavimus atitinkančias paslaugas ne ilgiau, kaip 36 (trisdešimt šešis) mėnesius</w:t>
            </w:r>
            <w:r w:rsidR="005745FC">
              <w:t>, ir esant Pirkėjo nurodymui nedelsiant</w:t>
            </w:r>
            <w:r w:rsidR="00265ECD">
              <w:t xml:space="preserve"> ir operatyviai</w:t>
            </w:r>
            <w:r w:rsidR="005745FC">
              <w:t xml:space="preserve"> suteikti </w:t>
            </w:r>
            <w:r w:rsidR="00BF2EAC">
              <w:t xml:space="preserve">TS </w:t>
            </w:r>
            <w:r w:rsidR="00BF2EAC" w:rsidRPr="00B05667">
              <w:t>2.1 p. nurodyt</w:t>
            </w:r>
            <w:r w:rsidR="00BF2EAC">
              <w:t>ų objektų apimtyje</w:t>
            </w:r>
            <w:r w:rsidR="00336194">
              <w:t xml:space="preserve"> taršos likvidavimo paslaugas</w:t>
            </w:r>
            <w:r w:rsidR="00A2581E">
              <w:t xml:space="preserve">, </w:t>
            </w:r>
            <w:r w:rsidR="00E84DED">
              <w:t>per</w:t>
            </w:r>
            <w:r w:rsidR="00A2581E">
              <w:t xml:space="preserve"> ne ilgesnius nei </w:t>
            </w:r>
            <w:r w:rsidR="00E84DED">
              <w:t xml:space="preserve"> </w:t>
            </w:r>
            <w:r w:rsidR="002177A7">
              <w:t>TS</w:t>
            </w:r>
            <w:r w:rsidR="00DF195A">
              <w:t xml:space="preserve"> </w:t>
            </w:r>
            <w:r w:rsidR="00DF195A" w:rsidRPr="00B05667">
              <w:t>3 skyriaus</w:t>
            </w:r>
            <w:r w:rsidR="002177A7">
              <w:t xml:space="preserve"> </w:t>
            </w:r>
            <w:r w:rsidR="00921DDE">
              <w:t>1.5 p.</w:t>
            </w:r>
            <w:r w:rsidR="00A2581E">
              <w:t xml:space="preserve"> nurodytus terminus</w:t>
            </w:r>
            <w:r w:rsidR="00336194">
              <w:t xml:space="preserve">. </w:t>
            </w:r>
          </w:p>
        </w:tc>
      </w:tr>
      <w:tr w:rsidR="004166A4" w:rsidRPr="004625BC" w14:paraId="4913C207" w14:textId="77777777" w:rsidTr="38262879">
        <w:trPr>
          <w:jc w:val="center"/>
        </w:trPr>
        <w:tc>
          <w:tcPr>
            <w:tcW w:w="290" w:type="pct"/>
          </w:tcPr>
          <w:p w14:paraId="3D1AB7F2" w14:textId="77777777" w:rsidR="004166A4" w:rsidRPr="00031E19" w:rsidRDefault="004166A4" w:rsidP="004166A4">
            <w:pPr>
              <w:pStyle w:val="ListParagraph"/>
              <w:keepLines/>
              <w:widowControl w:val="0"/>
              <w:numPr>
                <w:ilvl w:val="1"/>
                <w:numId w:val="5"/>
              </w:numPr>
              <w:tabs>
                <w:tab w:val="left" w:pos="284"/>
                <w:tab w:val="left" w:pos="457"/>
                <w:tab w:val="left" w:pos="5779"/>
              </w:tabs>
              <w:autoSpaceDN w:val="0"/>
              <w:spacing w:before="60" w:after="60"/>
              <w:ind w:left="316" w:hanging="284"/>
              <w:textAlignment w:val="baseline"/>
              <w:rPr>
                <w:color w:val="FF0000"/>
                <w:sz w:val="22"/>
                <w:szCs w:val="22"/>
              </w:rPr>
            </w:pPr>
          </w:p>
        </w:tc>
        <w:tc>
          <w:tcPr>
            <w:tcW w:w="4710" w:type="pct"/>
            <w:vAlign w:val="center"/>
          </w:tcPr>
          <w:p w14:paraId="450F9229" w14:textId="77777777" w:rsidR="004166A4" w:rsidRPr="007768CB" w:rsidRDefault="004166A4" w:rsidP="0050578B">
            <w:pPr>
              <w:autoSpaceDN w:val="0"/>
              <w:jc w:val="both"/>
            </w:pPr>
            <w:r w:rsidRPr="007768CB">
              <w:t>Tiekėjo įsipareigojimai:</w:t>
            </w:r>
          </w:p>
          <w:p w14:paraId="2A3C4036" w14:textId="384D476B" w:rsidR="0011656E" w:rsidRPr="007768CB" w:rsidRDefault="0011656E" w:rsidP="007768CB">
            <w:pPr>
              <w:pStyle w:val="ListParagraph"/>
              <w:numPr>
                <w:ilvl w:val="0"/>
                <w:numId w:val="6"/>
              </w:numPr>
              <w:tabs>
                <w:tab w:val="left" w:pos="323"/>
              </w:tabs>
              <w:autoSpaceDN w:val="0"/>
              <w:ind w:left="0" w:firstLine="0"/>
              <w:jc w:val="both"/>
            </w:pPr>
            <w:r w:rsidRPr="007768CB">
              <w:t xml:space="preserve">užtikrinti nuolatinį įrenginių, laivų, kvalifikuoto personalo dislokavimą bei nepertraukiamą parengtį visą </w:t>
            </w:r>
            <w:r w:rsidR="00C121E5" w:rsidRPr="007768CB">
              <w:t>S</w:t>
            </w:r>
            <w:r w:rsidRPr="007768CB">
              <w:t>utarties galiojimo laikotarpį</w:t>
            </w:r>
            <w:r w:rsidR="009940A0" w:rsidRPr="007768CB">
              <w:t>;</w:t>
            </w:r>
          </w:p>
          <w:p w14:paraId="73A46B86" w14:textId="07B9A7F2" w:rsidR="00EC1870" w:rsidRPr="007768CB" w:rsidRDefault="0011656E" w:rsidP="007768CB">
            <w:pPr>
              <w:pStyle w:val="ListParagraph"/>
              <w:numPr>
                <w:ilvl w:val="0"/>
                <w:numId w:val="6"/>
              </w:numPr>
              <w:tabs>
                <w:tab w:val="left" w:pos="323"/>
              </w:tabs>
              <w:autoSpaceDN w:val="0"/>
              <w:ind w:left="0" w:firstLine="0"/>
              <w:jc w:val="both"/>
            </w:pPr>
            <w:r w:rsidRPr="007768CB">
              <w:t>turėti įmonės vadovo paskirtą darbuotoją – budintį dispečerį, kuris įvykus incidentui telkia reikiamas pajėgas vadovauja produktų išsiliejimo likvidavimo operacijom</w:t>
            </w:r>
            <w:r w:rsidR="007F6BD2" w:rsidRPr="007768CB">
              <w:t>;</w:t>
            </w:r>
          </w:p>
          <w:p w14:paraId="57685D60" w14:textId="79797530" w:rsidR="000B66D2" w:rsidRPr="00B05667" w:rsidRDefault="004166A4" w:rsidP="00B05667">
            <w:pPr>
              <w:pStyle w:val="ListParagraph"/>
              <w:numPr>
                <w:ilvl w:val="0"/>
                <w:numId w:val="6"/>
              </w:numPr>
              <w:tabs>
                <w:tab w:val="left" w:pos="322"/>
                <w:tab w:val="left" w:pos="462"/>
                <w:tab w:val="left" w:pos="5779"/>
              </w:tabs>
              <w:autoSpaceDN w:val="0"/>
              <w:ind w:left="0" w:firstLine="0"/>
              <w:jc w:val="both"/>
            </w:pPr>
            <w:r>
              <w:t>gavus Pirkėjo pranešimą (žodinį arba rašytinį), teikiamą budinčiam dispečeriui telefonu ir (ar) el. paštu arba</w:t>
            </w:r>
            <w:r w:rsidR="003504CD">
              <w:t xml:space="preserve"> gavus</w:t>
            </w:r>
            <w:r>
              <w:t xml:space="preserve"> </w:t>
            </w:r>
            <w:r w:rsidR="008F3FF0">
              <w:t xml:space="preserve">pranešimą ar </w:t>
            </w:r>
            <w:r>
              <w:t>informaciją apie pastebėtą taršą 30</w:t>
            </w:r>
            <w:r w:rsidR="00C121E5">
              <w:t xml:space="preserve"> (trisdešimt)</w:t>
            </w:r>
            <w:r>
              <w:t xml:space="preserve"> metrų pločio juostoje prie Pirkėjo eksploatuojamų krantinių</w:t>
            </w:r>
            <w:r w:rsidR="005A76F0">
              <w:t xml:space="preserve"> (TS </w:t>
            </w:r>
            <w:r w:rsidR="007768CB">
              <w:t>2.1 punkte nurodytų objektų)</w:t>
            </w:r>
            <w:r>
              <w:t xml:space="preserve">, </w:t>
            </w:r>
            <w:r w:rsidR="00477615">
              <w:t xml:space="preserve">operatyviai ir </w:t>
            </w:r>
            <w:r>
              <w:t xml:space="preserve">nedelsiant pradėti vykdyti numatytus </w:t>
            </w:r>
            <w:r w:rsidR="007768CB">
              <w:t xml:space="preserve">pagal Sutartį </w:t>
            </w:r>
            <w:r>
              <w:t xml:space="preserve">įsipareigojimus ir </w:t>
            </w:r>
            <w:r w:rsidR="007768CB">
              <w:t xml:space="preserve">teikti </w:t>
            </w:r>
            <w:r w:rsidR="00477615">
              <w:t xml:space="preserve">taršos likvidavimo </w:t>
            </w:r>
            <w:r w:rsidR="007768CB">
              <w:t>p</w:t>
            </w:r>
            <w:r w:rsidR="00E04C89">
              <w:t>aslaugas</w:t>
            </w:r>
            <w:r w:rsidR="000B66D2">
              <w:t xml:space="preserve">, nedelsiant įvertinti situaciją ir imtis </w:t>
            </w:r>
            <w:r w:rsidR="00E73199">
              <w:t>reikiamų atsakomųjų veiksmų, kad būtų išvengta taršos ir (ar) iki minimumo sumažintas taršos poveikis;</w:t>
            </w:r>
          </w:p>
          <w:p w14:paraId="67A49307" w14:textId="4391B08B" w:rsidR="004166A4" w:rsidRPr="00343945" w:rsidRDefault="004166A4" w:rsidP="00B05667">
            <w:pPr>
              <w:pStyle w:val="ListParagraph"/>
              <w:numPr>
                <w:ilvl w:val="0"/>
                <w:numId w:val="6"/>
              </w:numPr>
              <w:tabs>
                <w:tab w:val="left" w:pos="322"/>
                <w:tab w:val="left" w:pos="462"/>
                <w:tab w:val="left" w:pos="5779"/>
              </w:tabs>
              <w:autoSpaceDN w:val="0"/>
              <w:ind w:left="0" w:firstLine="0"/>
              <w:jc w:val="both"/>
            </w:pPr>
            <w:r w:rsidRPr="00343945">
              <w:t xml:space="preserve">bet kuriuo paros metu atsiųsti pajėgas, suteikti techniką bei įrangą, kitą techninę ar informacinę pagalbą, reikalingą įsipareigojimams ir </w:t>
            </w:r>
            <w:r w:rsidR="007768CB" w:rsidRPr="00343945">
              <w:t>p</w:t>
            </w:r>
            <w:r w:rsidR="00872D33" w:rsidRPr="00343945">
              <w:t xml:space="preserve">aslaugoms </w:t>
            </w:r>
            <w:r w:rsidRPr="00343945">
              <w:t xml:space="preserve">vykdyti 30 </w:t>
            </w:r>
            <w:r w:rsidR="001F2484" w:rsidRPr="00343945">
              <w:t xml:space="preserve">(trisdešimt) </w:t>
            </w:r>
            <w:r w:rsidRPr="00343945">
              <w:t>metrų pločio akvatorijos juostoje prie Pirkėjo eksploatuojamų krantinių ar Pirkėjo nurodytoje teritorijoje, kurioje užfiksuota tarša;</w:t>
            </w:r>
          </w:p>
          <w:p w14:paraId="11DBAE43" w14:textId="13F14714" w:rsidR="004166A4" w:rsidRPr="00343945" w:rsidRDefault="004166A4" w:rsidP="00B05667">
            <w:pPr>
              <w:pStyle w:val="ListParagraph"/>
              <w:numPr>
                <w:ilvl w:val="0"/>
                <w:numId w:val="6"/>
              </w:numPr>
              <w:tabs>
                <w:tab w:val="left" w:pos="322"/>
                <w:tab w:val="left" w:pos="462"/>
                <w:tab w:val="left" w:pos="5779"/>
              </w:tabs>
              <w:autoSpaceDN w:val="0"/>
              <w:ind w:left="0" w:firstLine="0"/>
              <w:jc w:val="both"/>
            </w:pPr>
            <w:r w:rsidRPr="00343945">
              <w:t xml:space="preserve">gavus pranešimą ar informaciją apie incidentą į teritoriją, kurioje užfiksuota tarša, išvykti ne vėliau kaip per 30 </w:t>
            </w:r>
            <w:r w:rsidR="00CE240B" w:rsidRPr="00343945">
              <w:t xml:space="preserve">(trisdešimt) </w:t>
            </w:r>
            <w:r w:rsidRPr="00343945">
              <w:t xml:space="preserve">minučių ir ne vėliau kaip per 1 </w:t>
            </w:r>
            <w:r w:rsidR="00CE240B" w:rsidRPr="00343945">
              <w:t xml:space="preserve">(vieną) </w:t>
            </w:r>
            <w:r w:rsidRPr="00343945">
              <w:t>valandą nuo išvykimo pasiekti incidento vietą;</w:t>
            </w:r>
          </w:p>
          <w:p w14:paraId="33B8E821" w14:textId="2A407FC4" w:rsidR="004166A4" w:rsidRPr="00B05667" w:rsidRDefault="004166A4" w:rsidP="007768CB">
            <w:pPr>
              <w:numPr>
                <w:ilvl w:val="0"/>
                <w:numId w:val="6"/>
              </w:numPr>
              <w:tabs>
                <w:tab w:val="left" w:pos="462"/>
                <w:tab w:val="left" w:pos="993"/>
              </w:tabs>
              <w:autoSpaceDN w:val="0"/>
              <w:ind w:left="0" w:firstLine="0"/>
              <w:jc w:val="both"/>
            </w:pPr>
            <w:r w:rsidRPr="00343945">
              <w:t>organizuoti</w:t>
            </w:r>
            <w:r w:rsidRPr="007768CB">
              <w:t xml:space="preserve"> bendrus Tiekėjo ir Pirkėjo praktinius mokymus ir pratybas</w:t>
            </w:r>
            <w:r w:rsidR="00180302">
              <w:t xml:space="preserve">, pagal </w:t>
            </w:r>
            <w:r w:rsidR="00D36513">
              <w:t xml:space="preserve">Užsakovo </w:t>
            </w:r>
            <w:r w:rsidR="0006745B">
              <w:t>kiekvienais metas pare</w:t>
            </w:r>
            <w:r w:rsidR="00F72DAF">
              <w:t>ngtą,</w:t>
            </w:r>
            <w:r w:rsidR="0006745B">
              <w:t xml:space="preserve"> suderintą su Tiekėju</w:t>
            </w:r>
            <w:r w:rsidR="00F72DAF">
              <w:t xml:space="preserve"> ir </w:t>
            </w:r>
            <w:r w:rsidR="00880817">
              <w:t xml:space="preserve">Užsakovo </w:t>
            </w:r>
            <w:r w:rsidR="00F72DAF">
              <w:t>patvirtintą</w:t>
            </w:r>
            <w:r w:rsidR="0006745B">
              <w:t xml:space="preserve"> Pratybų planą</w:t>
            </w:r>
            <w:r w:rsidR="00880817">
              <w:t>;</w:t>
            </w:r>
          </w:p>
          <w:p w14:paraId="57ADFEC5" w14:textId="477BB81A" w:rsidR="004166A4" w:rsidRPr="00B05667" w:rsidRDefault="000D721A" w:rsidP="007768CB">
            <w:pPr>
              <w:numPr>
                <w:ilvl w:val="0"/>
                <w:numId w:val="6"/>
              </w:numPr>
              <w:tabs>
                <w:tab w:val="left" w:pos="462"/>
                <w:tab w:val="left" w:pos="993"/>
              </w:tabs>
              <w:autoSpaceDN w:val="0"/>
              <w:ind w:left="0" w:firstLine="0"/>
              <w:jc w:val="both"/>
            </w:pPr>
            <w:r>
              <w:t>v</w:t>
            </w:r>
            <w:r w:rsidR="004166A4" w:rsidRPr="007768CB">
              <w:t>ykdyti L</w:t>
            </w:r>
            <w:r w:rsidR="00D854A5">
              <w:t xml:space="preserve">ietuvos Respublikos </w:t>
            </w:r>
            <w:r w:rsidR="004166A4" w:rsidRPr="007768CB">
              <w:t>ir Europos Sąjungos (toliau – ES) tesisės aktų reikalavimus</w:t>
            </w:r>
            <w:r w:rsidR="00D854A5">
              <w:t xml:space="preserve">, susijusius su </w:t>
            </w:r>
            <w:r w:rsidR="00880817">
              <w:t xml:space="preserve">tinkamu </w:t>
            </w:r>
            <w:r w:rsidR="00D854A5">
              <w:t>paslaugų teikimu</w:t>
            </w:r>
            <w:r w:rsidR="004166A4" w:rsidRPr="007768CB">
              <w:t>.</w:t>
            </w:r>
          </w:p>
        </w:tc>
      </w:tr>
    </w:tbl>
    <w:p w14:paraId="6F8F272E" w14:textId="77777777" w:rsidR="004166A4" w:rsidRPr="00031E19" w:rsidRDefault="004166A4" w:rsidP="004166A4">
      <w:pPr>
        <w:pStyle w:val="ListParagraph"/>
        <w:numPr>
          <w:ilvl w:val="1"/>
          <w:numId w:val="2"/>
        </w:numPr>
        <w:pBdr>
          <w:top w:val="single" w:sz="4" w:space="1" w:color="auto"/>
          <w:bottom w:val="single" w:sz="4" w:space="1" w:color="auto"/>
        </w:pBdr>
        <w:tabs>
          <w:tab w:val="left" w:pos="426"/>
        </w:tabs>
        <w:suppressAutoHyphens/>
        <w:autoSpaceDN w:val="0"/>
        <w:spacing w:before="240" w:after="60" w:line="240" w:lineRule="auto"/>
        <w:ind w:left="0" w:firstLine="0"/>
        <w:contextualSpacing w:val="0"/>
        <w:textAlignment w:val="baseline"/>
        <w:rPr>
          <w:rFonts w:ascii="Times New Roman" w:eastAsia="Arial" w:hAnsi="Times New Roman" w:cs="Times New Roman"/>
          <w:b/>
        </w:rPr>
      </w:pPr>
      <w:r w:rsidRPr="00031E19">
        <w:rPr>
          <w:rFonts w:ascii="Times New Roman" w:eastAsia="Arial" w:hAnsi="Times New Roman" w:cs="Times New Roman"/>
          <w:b/>
        </w:rPr>
        <w:t xml:space="preserve"> PIRKIMO OBJEKTO APRAŠYMAS </w:t>
      </w:r>
    </w:p>
    <w:p w14:paraId="21BEC8E6" w14:textId="74534C00" w:rsidR="00C050ED" w:rsidRPr="00031E19" w:rsidRDefault="00C050ED" w:rsidP="00C050ED">
      <w:pPr>
        <w:pStyle w:val="ListParagraph"/>
        <w:pBdr>
          <w:top w:val="single" w:sz="4" w:space="1" w:color="auto"/>
          <w:bottom w:val="single" w:sz="4" w:space="1" w:color="auto"/>
        </w:pBdr>
        <w:tabs>
          <w:tab w:val="left" w:pos="426"/>
        </w:tabs>
        <w:suppressAutoHyphens/>
        <w:autoSpaceDN w:val="0"/>
        <w:spacing w:before="240" w:after="60" w:line="240" w:lineRule="auto"/>
        <w:ind w:left="0"/>
        <w:contextualSpacing w:val="0"/>
        <w:textAlignment w:val="baseline"/>
        <w:rPr>
          <w:rFonts w:ascii="Times New Roman" w:eastAsia="Arial" w:hAnsi="Times New Roman" w:cs="Times New Roman"/>
        </w:rPr>
      </w:pPr>
      <w:r w:rsidRPr="00031E19">
        <w:rPr>
          <w:rFonts w:ascii="Times New Roman" w:eastAsia="Arial" w:hAnsi="Times New Roman" w:cs="Times New Roman"/>
        </w:rPr>
        <w:t>Likviduojant įvykusius įvairaus masto teršimo (naftos ir jos produktų, kitų teršiančių cheminių medžiagų išsiliejimo ar kitokios vandens taršos) incidentus uosto akvatorijoje, turi būti organizuojam</w:t>
      </w:r>
      <w:r w:rsidR="00250312" w:rsidRPr="00031E19">
        <w:rPr>
          <w:rFonts w:ascii="Times New Roman" w:eastAsia="Arial" w:hAnsi="Times New Roman" w:cs="Times New Roman"/>
        </w:rPr>
        <w:t>os</w:t>
      </w:r>
      <w:r w:rsidR="00A90BAE" w:rsidRPr="009940A0">
        <w:rPr>
          <w:rFonts w:ascii="Times New Roman" w:eastAsia="Arial" w:hAnsi="Times New Roman" w:cs="Times New Roman"/>
        </w:rPr>
        <w:t xml:space="preserve"> </w:t>
      </w:r>
      <w:r w:rsidRPr="00031E19">
        <w:rPr>
          <w:rFonts w:ascii="Times New Roman" w:eastAsia="Arial" w:hAnsi="Times New Roman" w:cs="Times New Roman"/>
        </w:rPr>
        <w:t>ir atliekam</w:t>
      </w:r>
      <w:r w:rsidR="00250312" w:rsidRPr="00031E19">
        <w:rPr>
          <w:rFonts w:ascii="Times New Roman" w:eastAsia="Arial" w:hAnsi="Times New Roman" w:cs="Times New Roman"/>
        </w:rPr>
        <w:t>os</w:t>
      </w:r>
      <w:r w:rsidRPr="009940A0" w:rsidDel="00250312">
        <w:rPr>
          <w:rFonts w:ascii="Times New Roman" w:eastAsia="Arial" w:hAnsi="Times New Roman" w:cs="Times New Roman"/>
        </w:rPr>
        <w:t xml:space="preserve"> </w:t>
      </w:r>
      <w:r w:rsidRPr="00031E19">
        <w:rPr>
          <w:rFonts w:ascii="Times New Roman" w:eastAsia="Arial" w:hAnsi="Times New Roman" w:cs="Times New Roman"/>
        </w:rPr>
        <w:t>toki</w:t>
      </w:r>
      <w:r w:rsidR="00250312" w:rsidRPr="00031E19">
        <w:rPr>
          <w:rFonts w:ascii="Times New Roman" w:eastAsia="Arial" w:hAnsi="Times New Roman" w:cs="Times New Roman"/>
        </w:rPr>
        <w:t>os</w:t>
      </w:r>
      <w:r w:rsidR="00A90BAE" w:rsidRPr="009940A0">
        <w:rPr>
          <w:rFonts w:ascii="Times New Roman" w:eastAsia="Arial" w:hAnsi="Times New Roman" w:cs="Times New Roman"/>
        </w:rPr>
        <w:t xml:space="preserve"> </w:t>
      </w:r>
      <w:r w:rsidR="00250312" w:rsidRPr="00031E19">
        <w:rPr>
          <w:rFonts w:ascii="Times New Roman" w:eastAsia="Arial" w:hAnsi="Times New Roman" w:cs="Times New Roman"/>
        </w:rPr>
        <w:t>paslaugos</w:t>
      </w:r>
      <w:r w:rsidRPr="00031E19">
        <w:rPr>
          <w:rFonts w:ascii="Times New Roman" w:eastAsia="Arial" w:hAnsi="Times New Roman" w:cs="Times New Roman"/>
        </w:rPr>
        <w:t xml:space="preserve">: </w:t>
      </w:r>
    </w:p>
    <w:p w14:paraId="0F4D05D1" w14:textId="77777777" w:rsidR="00C050ED" w:rsidRPr="00031E19" w:rsidRDefault="00C050ED" w:rsidP="00C050ED">
      <w:pPr>
        <w:pStyle w:val="ListParagraph"/>
        <w:pBdr>
          <w:top w:val="single" w:sz="4" w:space="1" w:color="auto"/>
          <w:bottom w:val="single" w:sz="4" w:space="1" w:color="auto"/>
        </w:pBdr>
        <w:tabs>
          <w:tab w:val="left" w:pos="426"/>
        </w:tabs>
        <w:suppressAutoHyphens/>
        <w:autoSpaceDN w:val="0"/>
        <w:spacing w:after="0" w:line="240" w:lineRule="auto"/>
        <w:ind w:left="0" w:firstLine="284"/>
        <w:contextualSpacing w:val="0"/>
        <w:textAlignment w:val="baseline"/>
        <w:rPr>
          <w:rFonts w:ascii="Times New Roman" w:eastAsia="Arial" w:hAnsi="Times New Roman" w:cs="Times New Roman"/>
        </w:rPr>
      </w:pPr>
      <w:r w:rsidRPr="00031E19">
        <w:rPr>
          <w:rFonts w:ascii="Times New Roman" w:eastAsia="Arial" w:hAnsi="Times New Roman" w:cs="Times New Roman"/>
        </w:rPr>
        <w:t xml:space="preserve">• naftos ir jos produktų ir kitų teršalų sulaikymas ir užterštos zonos lokalizavimas </w:t>
      </w:r>
      <w:proofErr w:type="spellStart"/>
      <w:r w:rsidRPr="00031E19">
        <w:rPr>
          <w:rFonts w:ascii="Times New Roman" w:eastAsia="Arial" w:hAnsi="Times New Roman" w:cs="Times New Roman"/>
        </w:rPr>
        <w:t>boninėmis</w:t>
      </w:r>
      <w:proofErr w:type="spellEnd"/>
      <w:r w:rsidRPr="00031E19">
        <w:rPr>
          <w:rFonts w:ascii="Times New Roman" w:eastAsia="Arial" w:hAnsi="Times New Roman" w:cs="Times New Roman"/>
        </w:rPr>
        <w:t xml:space="preserve"> užtvaromis; </w:t>
      </w:r>
    </w:p>
    <w:p w14:paraId="219415F7" w14:textId="77777777" w:rsidR="00C050ED" w:rsidRPr="00031E19" w:rsidRDefault="00C050ED" w:rsidP="00C050ED">
      <w:pPr>
        <w:pStyle w:val="ListParagraph"/>
        <w:pBdr>
          <w:top w:val="single" w:sz="4" w:space="1" w:color="auto"/>
          <w:bottom w:val="single" w:sz="4" w:space="1" w:color="auto"/>
        </w:pBdr>
        <w:tabs>
          <w:tab w:val="left" w:pos="426"/>
        </w:tabs>
        <w:suppressAutoHyphens/>
        <w:autoSpaceDN w:val="0"/>
        <w:spacing w:after="0" w:line="240" w:lineRule="auto"/>
        <w:ind w:left="0" w:firstLine="284"/>
        <w:contextualSpacing w:val="0"/>
        <w:textAlignment w:val="baseline"/>
        <w:rPr>
          <w:rFonts w:ascii="Times New Roman" w:eastAsia="Arial" w:hAnsi="Times New Roman" w:cs="Times New Roman"/>
        </w:rPr>
      </w:pPr>
      <w:r w:rsidRPr="00031E19">
        <w:rPr>
          <w:rFonts w:ascii="Times New Roman" w:eastAsia="Arial" w:hAnsi="Times New Roman" w:cs="Times New Roman"/>
        </w:rPr>
        <w:t>• naftos ir jos produktų ir kitų teršalų mechaninis surinkimas nuo vandens paviršiaus;</w:t>
      </w:r>
    </w:p>
    <w:p w14:paraId="2B49676A" w14:textId="491B77FA" w:rsidR="00C050ED" w:rsidRPr="00031E19" w:rsidRDefault="00C050ED" w:rsidP="00C050ED">
      <w:pPr>
        <w:pStyle w:val="ListParagraph"/>
        <w:pBdr>
          <w:top w:val="single" w:sz="4" w:space="1" w:color="auto"/>
          <w:bottom w:val="single" w:sz="4" w:space="1" w:color="auto"/>
        </w:pBdr>
        <w:tabs>
          <w:tab w:val="left" w:pos="426"/>
        </w:tabs>
        <w:suppressAutoHyphens/>
        <w:autoSpaceDN w:val="0"/>
        <w:spacing w:after="0" w:line="240" w:lineRule="auto"/>
        <w:ind w:left="0" w:firstLine="284"/>
        <w:contextualSpacing w:val="0"/>
        <w:textAlignment w:val="baseline"/>
        <w:rPr>
          <w:rFonts w:ascii="Times New Roman" w:eastAsia="Arial" w:hAnsi="Times New Roman" w:cs="Times New Roman"/>
        </w:rPr>
      </w:pPr>
      <w:r w:rsidRPr="00031E19">
        <w:rPr>
          <w:rFonts w:ascii="Times New Roman" w:eastAsia="Arial" w:hAnsi="Times New Roman" w:cs="Times New Roman"/>
        </w:rPr>
        <w:t>• naudojama kita technika ir įrenginiai teršimo incidentams likviduoti.</w:t>
      </w:r>
    </w:p>
    <w:p w14:paraId="61DEF04B" w14:textId="77777777" w:rsidR="004166A4" w:rsidRPr="00031E19" w:rsidRDefault="004166A4" w:rsidP="004166A4">
      <w:pPr>
        <w:pStyle w:val="ListParagraph"/>
        <w:numPr>
          <w:ilvl w:val="0"/>
          <w:numId w:val="2"/>
        </w:numPr>
        <w:pBdr>
          <w:top w:val="single" w:sz="4" w:space="1" w:color="auto"/>
          <w:bottom w:val="single" w:sz="4" w:space="1" w:color="auto"/>
          <w:between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rPr>
      </w:pPr>
      <w:r w:rsidRPr="00031E19">
        <w:rPr>
          <w:rFonts w:ascii="Times New Roman" w:eastAsia="Arial" w:hAnsi="Times New Roman" w:cs="Times New Roman"/>
          <w:b/>
        </w:rPr>
        <w:t xml:space="preserve">PIRKIMO OBJEKTO APIMTYS </w:t>
      </w:r>
    </w:p>
    <w:p w14:paraId="40B54C55" w14:textId="5310C3F8" w:rsidR="004166A4" w:rsidRPr="00716C68" w:rsidRDefault="004166A4" w:rsidP="004166A4">
      <w:pPr>
        <w:pStyle w:val="ListParagraph"/>
        <w:numPr>
          <w:ilvl w:val="1"/>
          <w:numId w:val="2"/>
        </w:numPr>
        <w:pBdr>
          <w:top w:val="single" w:sz="4" w:space="1" w:color="auto"/>
          <w:bottom w:val="single" w:sz="4" w:space="1" w:color="auto"/>
          <w:between w:val="single" w:sz="4" w:space="1" w:color="auto"/>
        </w:pBdr>
        <w:tabs>
          <w:tab w:val="left" w:pos="426"/>
        </w:tabs>
        <w:suppressAutoHyphens/>
        <w:autoSpaceDN w:val="0"/>
        <w:spacing w:after="60" w:line="240" w:lineRule="auto"/>
        <w:ind w:left="0" w:firstLine="0"/>
        <w:contextualSpacing w:val="0"/>
        <w:textAlignment w:val="baseline"/>
        <w:rPr>
          <w:rFonts w:ascii="Times New Roman" w:hAnsi="Times New Roman" w:cs="Times New Roman"/>
          <w:b/>
        </w:rPr>
      </w:pPr>
      <w:r w:rsidRPr="00716C68">
        <w:rPr>
          <w:rFonts w:ascii="Times New Roman" w:hAnsi="Times New Roman" w:cs="Times New Roman"/>
          <w:b/>
        </w:rPr>
        <w:t>Taikoma kainodara:</w:t>
      </w:r>
    </w:p>
    <w:p w14:paraId="15DA5100" w14:textId="6D203900" w:rsidR="00716C68" w:rsidRPr="00ED775C" w:rsidRDefault="00C050ED" w:rsidP="003B183F">
      <w:pPr>
        <w:tabs>
          <w:tab w:val="left" w:pos="709"/>
        </w:tabs>
        <w:spacing w:after="0"/>
        <w:ind w:firstLine="426"/>
        <w:rPr>
          <w:rFonts w:ascii="Bai Jamjuree Medium" w:hAnsi="Bai Jamjuree Medium" w:cs="Bai Jamjuree Medium"/>
          <w:sz w:val="20"/>
          <w:szCs w:val="20"/>
          <w:highlight w:val="red"/>
        </w:rPr>
      </w:pPr>
      <w:r w:rsidRPr="00AF32B7">
        <w:rPr>
          <w:rFonts w:ascii="Segoe UI Symbol" w:eastAsia="MS Gothic" w:hAnsi="Segoe UI Symbol" w:cs="Segoe UI Symbol"/>
          <w:b/>
          <w:bCs/>
        </w:rPr>
        <w:t>☒</w:t>
      </w:r>
      <w:r w:rsidR="000B2664">
        <w:rPr>
          <w:rFonts w:ascii="Times New Roman" w:hAnsi="Times New Roman" w:cs="Times New Roman"/>
          <w:b/>
          <w:bCs/>
        </w:rPr>
        <w:t>fiksuoto įkainio</w:t>
      </w:r>
      <w:r w:rsidR="00E4248F">
        <w:rPr>
          <w:rFonts w:ascii="Times New Roman" w:hAnsi="Times New Roman" w:cs="Times New Roman"/>
          <w:b/>
          <w:bCs/>
        </w:rPr>
        <w:t xml:space="preserve"> kainodara.</w:t>
      </w:r>
    </w:p>
    <w:p w14:paraId="778335B1" w14:textId="77777777" w:rsidR="00031E19" w:rsidRPr="00031E19" w:rsidRDefault="00031E19" w:rsidP="004166A4">
      <w:pPr>
        <w:spacing w:after="0"/>
        <w:ind w:firstLine="426"/>
        <w:rPr>
          <w:rFonts w:ascii="Times New Roman" w:hAnsi="Times New Roman" w:cs="Times New Roman"/>
        </w:rPr>
      </w:pPr>
    </w:p>
    <w:p w14:paraId="65636434" w14:textId="705295C8" w:rsidR="004166A4" w:rsidRPr="00031E19" w:rsidRDefault="00E62F22" w:rsidP="003B5074">
      <w:pPr>
        <w:pStyle w:val="ListParagraph"/>
        <w:numPr>
          <w:ilvl w:val="1"/>
          <w:numId w:val="2"/>
        </w:numPr>
        <w:pBdr>
          <w:between w:val="single" w:sz="4" w:space="1" w:color="auto"/>
        </w:pBdr>
        <w:tabs>
          <w:tab w:val="left" w:pos="426"/>
        </w:tabs>
        <w:suppressAutoHyphens/>
        <w:autoSpaceDN w:val="0"/>
        <w:spacing w:after="120" w:line="240" w:lineRule="auto"/>
        <w:ind w:left="0" w:firstLine="0"/>
        <w:contextualSpacing w:val="0"/>
        <w:jc w:val="both"/>
        <w:textAlignment w:val="baseline"/>
        <w:rPr>
          <w:rFonts w:ascii="Times New Roman" w:hAnsi="Times New Roman" w:cs="Times New Roman"/>
          <w:b/>
        </w:rPr>
      </w:pPr>
      <w:r w:rsidRPr="00031E19">
        <w:rPr>
          <w:rFonts w:ascii="Times New Roman" w:hAnsi="Times New Roman" w:cs="Times New Roman"/>
          <w:b/>
        </w:rPr>
        <w:t xml:space="preserve"> Nurodytas preliminarus planuojamas įsigyti kiekis. Pirkėjas numato, bet neįsipareigoja per </w:t>
      </w:r>
      <w:r w:rsidR="009F666B">
        <w:rPr>
          <w:rFonts w:ascii="Times New Roman" w:hAnsi="Times New Roman" w:cs="Times New Roman"/>
          <w:b/>
        </w:rPr>
        <w:t>S</w:t>
      </w:r>
      <w:r w:rsidRPr="00031E19">
        <w:rPr>
          <w:rFonts w:ascii="Times New Roman" w:hAnsi="Times New Roman" w:cs="Times New Roman"/>
          <w:b/>
        </w:rPr>
        <w:t xml:space="preserve">utarties galiojimo laikotarpį nupirkti paslaugų ne daugiau kaip už </w:t>
      </w:r>
      <w:r w:rsidR="00E4248F">
        <w:rPr>
          <w:rFonts w:ascii="Times New Roman" w:hAnsi="Times New Roman" w:cs="Times New Roman"/>
          <w:b/>
          <w:color w:val="000000" w:themeColor="text1"/>
        </w:rPr>
        <w:t>30</w:t>
      </w:r>
      <w:r w:rsidR="00E4248F" w:rsidRPr="00031E19">
        <w:rPr>
          <w:rFonts w:ascii="Times New Roman" w:hAnsi="Times New Roman" w:cs="Times New Roman"/>
          <w:b/>
          <w:color w:val="000000" w:themeColor="text1"/>
        </w:rPr>
        <w:t> </w:t>
      </w:r>
      <w:r w:rsidRPr="00031E19">
        <w:rPr>
          <w:rFonts w:ascii="Times New Roman" w:hAnsi="Times New Roman" w:cs="Times New Roman"/>
          <w:b/>
          <w:color w:val="000000" w:themeColor="text1"/>
        </w:rPr>
        <w:t xml:space="preserve">000,00 </w:t>
      </w:r>
      <w:r w:rsidR="009F666B">
        <w:rPr>
          <w:rFonts w:ascii="Times New Roman" w:hAnsi="Times New Roman" w:cs="Times New Roman"/>
          <w:b/>
          <w:color w:val="000000" w:themeColor="text1"/>
        </w:rPr>
        <w:t xml:space="preserve">(trisdešimt tūkstančių) </w:t>
      </w:r>
      <w:r w:rsidRPr="00031E19">
        <w:rPr>
          <w:rFonts w:ascii="Times New Roman" w:hAnsi="Times New Roman" w:cs="Times New Roman"/>
          <w:b/>
          <w:color w:val="000000" w:themeColor="text1"/>
        </w:rPr>
        <w:t xml:space="preserve">EUR be PVM. Paslaugos </w:t>
      </w:r>
      <w:r w:rsidRPr="00031E19">
        <w:rPr>
          <w:rFonts w:ascii="Times New Roman" w:hAnsi="Times New Roman" w:cs="Times New Roman"/>
          <w:b/>
        </w:rPr>
        <w:t>bus perkamos pagal poreikį (nurodyti kiekiai gali didėti arba mažėti).</w:t>
      </w:r>
    </w:p>
    <w:tbl>
      <w:tblPr>
        <w:tblStyle w:val="TableGrid1"/>
        <w:tblW w:w="5000" w:type="pct"/>
        <w:tblLook w:val="04A0" w:firstRow="1" w:lastRow="0" w:firstColumn="1" w:lastColumn="0" w:noHBand="0" w:noVBand="1"/>
      </w:tblPr>
      <w:tblGrid>
        <w:gridCol w:w="520"/>
        <w:gridCol w:w="4722"/>
        <w:gridCol w:w="2553"/>
        <w:gridCol w:w="1833"/>
      </w:tblGrid>
      <w:tr w:rsidR="004166A4" w:rsidRPr="004625BC" w14:paraId="0F6517D1" w14:textId="77777777" w:rsidTr="38262879">
        <w:tc>
          <w:tcPr>
            <w:tcW w:w="270" w:type="pct"/>
            <w:vAlign w:val="center"/>
          </w:tcPr>
          <w:p w14:paraId="310814D4" w14:textId="77777777" w:rsidR="004166A4" w:rsidRPr="00031E19" w:rsidRDefault="004166A4" w:rsidP="0050578B">
            <w:pPr>
              <w:spacing w:before="60" w:after="60"/>
              <w:jc w:val="center"/>
              <w:rPr>
                <w:rFonts w:eastAsiaTheme="minorHAnsi"/>
                <w:b/>
                <w:color w:val="FF0000"/>
                <w:sz w:val="22"/>
                <w:szCs w:val="22"/>
              </w:rPr>
            </w:pPr>
            <w:r w:rsidRPr="00031E19">
              <w:rPr>
                <w:rFonts w:asciiTheme="minorHAnsi" w:hAnsiTheme="minorHAnsi" w:cstheme="minorBidi"/>
                <w:b/>
              </w:rPr>
              <w:t>Eil. Nr.</w:t>
            </w:r>
          </w:p>
        </w:tc>
        <w:tc>
          <w:tcPr>
            <w:tcW w:w="2452" w:type="pct"/>
            <w:vAlign w:val="center"/>
          </w:tcPr>
          <w:p w14:paraId="1E13DF1C" w14:textId="77777777" w:rsidR="004166A4" w:rsidRPr="00031E19" w:rsidRDefault="004166A4" w:rsidP="0050578B">
            <w:pPr>
              <w:spacing w:before="60" w:after="60"/>
              <w:jc w:val="center"/>
              <w:rPr>
                <w:rFonts w:eastAsiaTheme="minorHAnsi"/>
                <w:b/>
                <w:sz w:val="22"/>
                <w:szCs w:val="22"/>
              </w:rPr>
            </w:pPr>
            <w:r w:rsidRPr="00031E19">
              <w:rPr>
                <w:rFonts w:asciiTheme="minorHAnsi" w:hAnsiTheme="minorHAnsi" w:cstheme="minorBidi"/>
                <w:b/>
              </w:rPr>
              <w:t>Pavadinimas</w:t>
            </w:r>
          </w:p>
        </w:tc>
        <w:tc>
          <w:tcPr>
            <w:tcW w:w="1326" w:type="pct"/>
            <w:vAlign w:val="center"/>
          </w:tcPr>
          <w:p w14:paraId="7B6303B2" w14:textId="77777777" w:rsidR="004166A4" w:rsidRPr="00031E19" w:rsidRDefault="004166A4" w:rsidP="0050578B">
            <w:pPr>
              <w:spacing w:before="60" w:after="60"/>
              <w:jc w:val="center"/>
              <w:rPr>
                <w:b/>
                <w:sz w:val="22"/>
                <w:szCs w:val="22"/>
              </w:rPr>
            </w:pPr>
            <w:r w:rsidRPr="00031E19">
              <w:rPr>
                <w:rFonts w:asciiTheme="minorHAnsi" w:hAnsiTheme="minorHAnsi" w:cstheme="minorBidi"/>
                <w:b/>
              </w:rPr>
              <w:t>Mato vnt.</w:t>
            </w:r>
          </w:p>
        </w:tc>
        <w:tc>
          <w:tcPr>
            <w:tcW w:w="952" w:type="pct"/>
            <w:vAlign w:val="center"/>
          </w:tcPr>
          <w:p w14:paraId="2091AB4B" w14:textId="77777777" w:rsidR="004166A4" w:rsidRPr="00031E19" w:rsidRDefault="004166A4" w:rsidP="0050578B">
            <w:pPr>
              <w:spacing w:before="60" w:after="60"/>
              <w:jc w:val="center"/>
              <w:rPr>
                <w:b/>
                <w:sz w:val="22"/>
                <w:szCs w:val="22"/>
              </w:rPr>
            </w:pPr>
            <w:r w:rsidRPr="00031E19">
              <w:rPr>
                <w:rFonts w:asciiTheme="minorHAnsi" w:hAnsiTheme="minorHAnsi" w:cstheme="minorBidi"/>
                <w:b/>
              </w:rPr>
              <w:t>Preliminarus kiekis</w:t>
            </w:r>
          </w:p>
        </w:tc>
      </w:tr>
      <w:tr w:rsidR="004166A4" w:rsidRPr="004625BC" w14:paraId="0959992C" w14:textId="77777777" w:rsidTr="38262879">
        <w:tc>
          <w:tcPr>
            <w:tcW w:w="270" w:type="pct"/>
          </w:tcPr>
          <w:p w14:paraId="344F6FEA" w14:textId="77777777" w:rsidR="004166A4" w:rsidRPr="00031E19" w:rsidRDefault="004166A4" w:rsidP="0050578B">
            <w:pPr>
              <w:spacing w:before="60" w:after="60"/>
              <w:jc w:val="center"/>
              <w:rPr>
                <w:rFonts w:eastAsiaTheme="minorHAnsi"/>
                <w:sz w:val="22"/>
                <w:szCs w:val="22"/>
              </w:rPr>
            </w:pPr>
            <w:r w:rsidRPr="00031E19">
              <w:rPr>
                <w:rFonts w:asciiTheme="minorHAnsi" w:hAnsiTheme="minorHAnsi" w:cstheme="minorBidi"/>
              </w:rPr>
              <w:t>1.</w:t>
            </w:r>
          </w:p>
        </w:tc>
        <w:tc>
          <w:tcPr>
            <w:tcW w:w="2452" w:type="pct"/>
            <w:vAlign w:val="center"/>
          </w:tcPr>
          <w:p w14:paraId="66852651" w14:textId="3347A4B3" w:rsidR="004166A4" w:rsidRPr="00031E19" w:rsidRDefault="00807C89" w:rsidP="00031E19">
            <w:pPr>
              <w:spacing w:before="60" w:after="60"/>
              <w:jc w:val="center"/>
              <w:rPr>
                <w:rFonts w:eastAsiaTheme="minorHAnsi"/>
                <w:sz w:val="22"/>
                <w:szCs w:val="22"/>
              </w:rPr>
            </w:pPr>
            <w:r w:rsidRPr="00031E19">
              <w:rPr>
                <w:rFonts w:asciiTheme="minorHAnsi" w:hAnsiTheme="minorHAnsi" w:cstheme="minorBidi"/>
              </w:rPr>
              <w:t>Tikslinių priemonių ir personalo, skirtų incidentams likviduoti, nuolatinio dislokavimo ir parengties paslaugos</w:t>
            </w:r>
          </w:p>
        </w:tc>
        <w:tc>
          <w:tcPr>
            <w:tcW w:w="1326" w:type="pct"/>
            <w:vAlign w:val="center"/>
          </w:tcPr>
          <w:p w14:paraId="1D1BE81D" w14:textId="5E8631E1" w:rsidR="004166A4" w:rsidRPr="00031E19" w:rsidRDefault="00807C89" w:rsidP="0050578B">
            <w:pPr>
              <w:spacing w:before="60" w:after="60"/>
              <w:jc w:val="center"/>
              <w:rPr>
                <w:sz w:val="22"/>
                <w:szCs w:val="22"/>
              </w:rPr>
            </w:pPr>
            <w:r w:rsidRPr="00031E19">
              <w:rPr>
                <w:rFonts w:asciiTheme="minorHAnsi" w:hAnsiTheme="minorHAnsi" w:cstheme="minorBidi"/>
              </w:rPr>
              <w:t>mėn.</w:t>
            </w:r>
          </w:p>
        </w:tc>
        <w:tc>
          <w:tcPr>
            <w:tcW w:w="952" w:type="pct"/>
            <w:vAlign w:val="center"/>
          </w:tcPr>
          <w:p w14:paraId="52A46F95" w14:textId="6AD2AC26" w:rsidR="004166A4" w:rsidRPr="00031E19" w:rsidRDefault="00807C89" w:rsidP="0050578B">
            <w:pPr>
              <w:spacing w:before="60" w:after="60"/>
              <w:jc w:val="center"/>
              <w:rPr>
                <w:sz w:val="22"/>
                <w:szCs w:val="22"/>
              </w:rPr>
            </w:pPr>
            <w:r w:rsidRPr="00031E19">
              <w:rPr>
                <w:rFonts w:asciiTheme="minorHAnsi" w:hAnsiTheme="minorHAnsi" w:cstheme="minorBidi"/>
              </w:rPr>
              <w:t>36</w:t>
            </w:r>
          </w:p>
        </w:tc>
      </w:tr>
      <w:tr w:rsidR="00350C9A" w:rsidRPr="004625BC" w14:paraId="49FB2077" w14:textId="77777777" w:rsidTr="38262879">
        <w:tc>
          <w:tcPr>
            <w:tcW w:w="270" w:type="pct"/>
          </w:tcPr>
          <w:p w14:paraId="721B6D7F" w14:textId="171FE981" w:rsidR="00350C9A" w:rsidRPr="00031E19" w:rsidRDefault="00350C9A" w:rsidP="00350C9A">
            <w:pPr>
              <w:spacing w:before="60" w:after="60"/>
              <w:jc w:val="center"/>
            </w:pPr>
            <w:r>
              <w:t>2.</w:t>
            </w:r>
          </w:p>
        </w:tc>
        <w:tc>
          <w:tcPr>
            <w:tcW w:w="2452" w:type="pct"/>
            <w:vAlign w:val="center"/>
          </w:tcPr>
          <w:p w14:paraId="21448851" w14:textId="3E4DC77D" w:rsidR="00350C9A" w:rsidRPr="00031E19" w:rsidRDefault="00350C9A" w:rsidP="00350C9A">
            <w:pPr>
              <w:spacing w:before="60" w:after="60"/>
              <w:jc w:val="center"/>
            </w:pPr>
            <w:r>
              <w:t>Teršalų lokalizavimo ir surinkimo paslaugos</w:t>
            </w:r>
          </w:p>
        </w:tc>
        <w:tc>
          <w:tcPr>
            <w:tcW w:w="1326" w:type="pct"/>
            <w:vAlign w:val="center"/>
          </w:tcPr>
          <w:p w14:paraId="5D2E438C" w14:textId="48EAE724" w:rsidR="00350C9A" w:rsidRPr="00031E19" w:rsidRDefault="00350C9A" w:rsidP="00350C9A">
            <w:pPr>
              <w:spacing w:before="60" w:after="60"/>
              <w:jc w:val="center"/>
            </w:pPr>
            <w:proofErr w:type="spellStart"/>
            <w:r>
              <w:t>kompl</w:t>
            </w:r>
            <w:proofErr w:type="spellEnd"/>
            <w:r>
              <w:t>.</w:t>
            </w:r>
          </w:p>
        </w:tc>
        <w:tc>
          <w:tcPr>
            <w:tcW w:w="952" w:type="pct"/>
            <w:vAlign w:val="center"/>
          </w:tcPr>
          <w:p w14:paraId="52E22D92" w14:textId="76B23D05" w:rsidR="00350C9A" w:rsidRPr="00031E19" w:rsidRDefault="00350C9A" w:rsidP="00350C9A">
            <w:pPr>
              <w:spacing w:before="60" w:after="60"/>
              <w:jc w:val="center"/>
            </w:pPr>
            <w:r>
              <w:t>1*</w:t>
            </w:r>
          </w:p>
        </w:tc>
      </w:tr>
    </w:tbl>
    <w:p w14:paraId="691DFD9C" w14:textId="77777777" w:rsidR="003039A6" w:rsidRPr="003039A6" w:rsidRDefault="003039A6" w:rsidP="003039A6">
      <w:pPr>
        <w:spacing w:after="0"/>
        <w:rPr>
          <w:rFonts w:ascii="Times New Roman" w:eastAsia="Times New Roman" w:hAnsi="Times New Roman" w:cs="Times New Roman"/>
          <w:sz w:val="20"/>
          <w:szCs w:val="20"/>
        </w:rPr>
      </w:pPr>
      <w:r w:rsidRPr="003039A6">
        <w:rPr>
          <w:rFonts w:ascii="Times New Roman" w:eastAsia="Times New Roman" w:hAnsi="Times New Roman" w:cs="Times New Roman"/>
          <w:sz w:val="20"/>
          <w:szCs w:val="20"/>
        </w:rPr>
        <w:t>*teršalų lokalizavimo ir surinkimo paslaugų kiekių sąrašas pateiktas Pasiūlymo formos 3 priede.</w:t>
      </w:r>
    </w:p>
    <w:p w14:paraId="265B0884" w14:textId="77777777" w:rsidR="003039A6" w:rsidRPr="003039A6" w:rsidRDefault="003039A6" w:rsidP="003039A6">
      <w:pPr>
        <w:spacing w:after="0"/>
        <w:rPr>
          <w:rFonts w:ascii="Times New Roman" w:eastAsia="Times New Roman" w:hAnsi="Times New Roman" w:cs="Times New Roman"/>
          <w:sz w:val="20"/>
          <w:szCs w:val="20"/>
        </w:rPr>
      </w:pPr>
    </w:p>
    <w:p w14:paraId="42E4401E" w14:textId="167920BF" w:rsidR="003039A6" w:rsidRPr="003B183F" w:rsidRDefault="003039A6" w:rsidP="00B05667">
      <w:pPr>
        <w:spacing w:after="0"/>
        <w:jc w:val="both"/>
        <w:rPr>
          <w:rFonts w:ascii="Times New Roman" w:eastAsia="Times New Roman" w:hAnsi="Times New Roman" w:cs="Times New Roman"/>
          <w:sz w:val="20"/>
          <w:szCs w:val="20"/>
        </w:rPr>
      </w:pPr>
      <w:r w:rsidRPr="003039A6">
        <w:rPr>
          <w:rFonts w:ascii="Times New Roman" w:eastAsia="Times New Roman" w:hAnsi="Times New Roman" w:cs="Times New Roman"/>
          <w:sz w:val="20"/>
          <w:szCs w:val="20"/>
        </w:rPr>
        <w:t xml:space="preserve">Pirkėjas turi teisę įsigyti </w:t>
      </w:r>
      <w:r w:rsidRPr="003B183F">
        <w:rPr>
          <w:rFonts w:ascii="Times New Roman" w:eastAsia="Times New Roman" w:hAnsi="Times New Roman" w:cs="Times New Roman"/>
          <w:sz w:val="20"/>
          <w:szCs w:val="20"/>
        </w:rPr>
        <w:t xml:space="preserve">Sutartyje nenumatytas, tačiau su Sutarties dalyku susijusias paslaugas (toliau – nenumatytos paslaugos), kurių bendra vertė per visą Sutarties galiojimo laikotarpį negali viršyti 10 </w:t>
      </w:r>
      <w:r w:rsidR="003A3FA9">
        <w:rPr>
          <w:rFonts w:ascii="Times New Roman" w:eastAsia="Times New Roman" w:hAnsi="Times New Roman" w:cs="Times New Roman"/>
          <w:sz w:val="20"/>
          <w:szCs w:val="20"/>
        </w:rPr>
        <w:t xml:space="preserve">(dešimt) </w:t>
      </w:r>
      <w:r w:rsidRPr="003B183F">
        <w:rPr>
          <w:rFonts w:ascii="Times New Roman" w:eastAsia="Times New Roman" w:hAnsi="Times New Roman" w:cs="Times New Roman"/>
          <w:sz w:val="20"/>
          <w:szCs w:val="20"/>
        </w:rPr>
        <w:t xml:space="preserve">procentų Sutarties kainos.  Nenumatytų paslaugų įsigijimų kaina yra įskaičiuota į Sutarties maksimalią kainą. Sutarties maksimalia kaina laikoma Sutarties kaina su 10 </w:t>
      </w:r>
      <w:r w:rsidR="003A3FA9">
        <w:rPr>
          <w:rFonts w:ascii="Times New Roman" w:eastAsia="Times New Roman" w:hAnsi="Times New Roman" w:cs="Times New Roman"/>
          <w:sz w:val="20"/>
          <w:szCs w:val="20"/>
        </w:rPr>
        <w:t xml:space="preserve">(dešimt) </w:t>
      </w:r>
      <w:r w:rsidRPr="003B183F">
        <w:rPr>
          <w:rFonts w:ascii="Times New Roman" w:eastAsia="Times New Roman" w:hAnsi="Times New Roman" w:cs="Times New Roman"/>
          <w:sz w:val="20"/>
          <w:szCs w:val="20"/>
        </w:rPr>
        <w:t>procentų nenumatytoms paslaugoms.</w:t>
      </w:r>
    </w:p>
    <w:p w14:paraId="3D0BCAC2" w14:textId="77777777" w:rsidR="004166A4" w:rsidRPr="003B183F" w:rsidRDefault="004166A4" w:rsidP="004166A4">
      <w:pPr>
        <w:pStyle w:val="ListParagraph"/>
        <w:numPr>
          <w:ilvl w:val="0"/>
          <w:numId w:val="2"/>
        </w:numPr>
        <w:pBdr>
          <w:top w:val="single" w:sz="4" w:space="1" w:color="auto"/>
          <w:bottom w:val="single" w:sz="4" w:space="1" w:color="auto"/>
          <w:between w:val="single" w:sz="4" w:space="1" w:color="auto"/>
        </w:pBdr>
        <w:tabs>
          <w:tab w:val="left" w:pos="284"/>
        </w:tabs>
        <w:suppressAutoHyphens/>
        <w:autoSpaceDN w:val="0"/>
        <w:spacing w:before="240" w:after="60" w:line="240" w:lineRule="auto"/>
        <w:ind w:left="0" w:firstLine="0"/>
        <w:contextualSpacing w:val="0"/>
        <w:textAlignment w:val="baseline"/>
        <w:rPr>
          <w:rFonts w:ascii="Times New Roman" w:eastAsia="Arial" w:hAnsi="Times New Roman" w:cs="Times New Roman"/>
          <w:b/>
        </w:rPr>
      </w:pPr>
      <w:r w:rsidRPr="003B183F">
        <w:rPr>
          <w:rFonts w:ascii="Times New Roman" w:eastAsia="Arial" w:hAnsi="Times New Roman" w:cs="Times New Roman"/>
          <w:b/>
        </w:rPr>
        <w:lastRenderedPageBreak/>
        <w:t>SUTARTIES VYKDYMO TVARKA IR TERMINAI</w:t>
      </w:r>
    </w:p>
    <w:p w14:paraId="086E3811" w14:textId="77777777" w:rsidR="004166A4" w:rsidRPr="003B183F" w:rsidRDefault="004166A4" w:rsidP="004166A4">
      <w:pPr>
        <w:pStyle w:val="ListParagraph"/>
        <w:numPr>
          <w:ilvl w:val="1"/>
          <w:numId w:val="2"/>
        </w:numPr>
        <w:pBdr>
          <w:top w:val="single" w:sz="4" w:space="1" w:color="auto"/>
          <w:bottom w:val="single" w:sz="4" w:space="1" w:color="auto"/>
          <w:between w:val="single" w:sz="4" w:space="1" w:color="auto"/>
        </w:pBdr>
        <w:tabs>
          <w:tab w:val="left" w:pos="426"/>
        </w:tabs>
        <w:suppressAutoHyphens/>
        <w:autoSpaceDN w:val="0"/>
        <w:spacing w:after="60" w:line="240" w:lineRule="auto"/>
        <w:ind w:left="0" w:firstLine="0"/>
        <w:contextualSpacing w:val="0"/>
        <w:jc w:val="both"/>
        <w:textAlignment w:val="baseline"/>
        <w:rPr>
          <w:rFonts w:ascii="Times New Roman" w:hAnsi="Times New Roman" w:cs="Times New Roman"/>
          <w:b/>
        </w:rPr>
      </w:pPr>
      <w:r w:rsidRPr="003B183F">
        <w:rPr>
          <w:rFonts w:ascii="Times New Roman" w:hAnsi="Times New Roman" w:cs="Times New Roman"/>
          <w:b/>
        </w:rPr>
        <w:t>Sutarties galiojimas</w:t>
      </w:r>
    </w:p>
    <w:p w14:paraId="3AAAB60F" w14:textId="7BF7309B" w:rsidR="006F2728" w:rsidRPr="003B183F" w:rsidRDefault="004166A4" w:rsidP="004166A4">
      <w:pPr>
        <w:tabs>
          <w:tab w:val="left" w:pos="284"/>
        </w:tabs>
        <w:suppressAutoHyphens/>
        <w:autoSpaceDN w:val="0"/>
        <w:spacing w:before="60" w:after="60"/>
        <w:textAlignment w:val="baseline"/>
        <w:rPr>
          <w:rFonts w:ascii="Times New Roman" w:hAnsi="Times New Roman" w:cs="Times New Roman"/>
        </w:rPr>
      </w:pPr>
      <w:r w:rsidRPr="003B183F">
        <w:rPr>
          <w:rFonts w:ascii="Times New Roman" w:hAnsi="Times New Roman" w:cs="Times New Roman"/>
        </w:rPr>
        <w:t xml:space="preserve">Sutartis įsigalioja nuo </w:t>
      </w:r>
      <w:r w:rsidR="006F2728">
        <w:rPr>
          <w:rFonts w:ascii="Times New Roman" w:hAnsi="Times New Roman" w:cs="Times New Roman"/>
        </w:rPr>
        <w:t>S</w:t>
      </w:r>
      <w:r w:rsidR="003B183F" w:rsidRPr="003B183F">
        <w:rPr>
          <w:rFonts w:ascii="Times New Roman" w:hAnsi="Times New Roman" w:cs="Times New Roman"/>
        </w:rPr>
        <w:t>utarties pasirašymo dienos</w:t>
      </w:r>
      <w:r w:rsidRPr="003B183F">
        <w:rPr>
          <w:rFonts w:ascii="Times New Roman" w:hAnsi="Times New Roman" w:cs="Times New Roman"/>
        </w:rPr>
        <w:t xml:space="preserve"> ir galioja iki visiško Sutartinių įsipareigojimų įvykdymo</w:t>
      </w:r>
      <w:r w:rsidR="008F6B30" w:rsidRPr="003B183F">
        <w:rPr>
          <w:rFonts w:ascii="Times New Roman" w:hAnsi="Times New Roman" w:cs="Times New Roman"/>
        </w:rPr>
        <w:t xml:space="preserve">, bet ne ilgiau kaip </w:t>
      </w:r>
      <w:r w:rsidR="00154EF0" w:rsidRPr="003B183F">
        <w:rPr>
          <w:rFonts w:ascii="Times New Roman" w:hAnsi="Times New Roman" w:cs="Times New Roman"/>
          <w:noProof/>
        </w:rPr>
        <w:t>3</w:t>
      </w:r>
      <w:r w:rsidR="00E630C8" w:rsidRPr="003B183F">
        <w:rPr>
          <w:rFonts w:ascii="Times New Roman" w:hAnsi="Times New Roman" w:cs="Times New Roman"/>
          <w:noProof/>
        </w:rPr>
        <w:t>7</w:t>
      </w:r>
      <w:r w:rsidR="008F6B30" w:rsidRPr="003B183F">
        <w:rPr>
          <w:rFonts w:ascii="Times New Roman" w:hAnsi="Times New Roman" w:cs="Times New Roman"/>
        </w:rPr>
        <w:t xml:space="preserve"> (</w:t>
      </w:r>
      <w:r w:rsidR="00154EF0" w:rsidRPr="003B183F">
        <w:rPr>
          <w:rFonts w:ascii="Times New Roman" w:hAnsi="Times New Roman" w:cs="Times New Roman"/>
        </w:rPr>
        <w:t xml:space="preserve">trisdešimt </w:t>
      </w:r>
      <w:r w:rsidR="00E630C8" w:rsidRPr="003B183F">
        <w:rPr>
          <w:rFonts w:ascii="Times New Roman" w:hAnsi="Times New Roman" w:cs="Times New Roman"/>
          <w:noProof/>
        </w:rPr>
        <w:t>septyni</w:t>
      </w:r>
      <w:r w:rsidR="008F6B30" w:rsidRPr="003B183F">
        <w:rPr>
          <w:rFonts w:ascii="Times New Roman" w:hAnsi="Times New Roman" w:cs="Times New Roman"/>
        </w:rPr>
        <w:t>) mėnesi</w:t>
      </w:r>
      <w:r w:rsidR="00154EF0" w:rsidRPr="003B183F">
        <w:rPr>
          <w:rFonts w:ascii="Times New Roman" w:hAnsi="Times New Roman" w:cs="Times New Roman"/>
        </w:rPr>
        <w:t>ai</w:t>
      </w:r>
      <w:r w:rsidR="00E630C8" w:rsidRPr="003B183F">
        <w:rPr>
          <w:rFonts w:ascii="Times New Roman" w:hAnsi="Times New Roman" w:cs="Times New Roman"/>
          <w:noProof/>
        </w:rPr>
        <w:t xml:space="preserve">, įskaitant </w:t>
      </w:r>
      <w:r w:rsidR="003B21B3" w:rsidRPr="003B183F">
        <w:rPr>
          <w:rFonts w:ascii="Times New Roman" w:hAnsi="Times New Roman" w:cs="Times New Roman"/>
          <w:noProof/>
        </w:rPr>
        <w:t>galutinį atsiskaitymą su Tiekėju</w:t>
      </w:r>
      <w:r w:rsidR="0032445E" w:rsidRPr="003B183F">
        <w:rPr>
          <w:rFonts w:ascii="Times New Roman" w:hAnsi="Times New Roman" w:cs="Times New Roman"/>
          <w:noProof/>
        </w:rPr>
        <w:t>.</w:t>
      </w:r>
    </w:p>
    <w:p w14:paraId="76B7C827" w14:textId="5510A38B" w:rsidR="00577332" w:rsidRPr="009700D8" w:rsidRDefault="00577332" w:rsidP="004166A4">
      <w:pPr>
        <w:tabs>
          <w:tab w:val="left" w:pos="284"/>
        </w:tabs>
        <w:suppressAutoHyphens/>
        <w:autoSpaceDN w:val="0"/>
        <w:spacing w:before="60" w:after="60"/>
        <w:textAlignment w:val="baseline"/>
        <w:rPr>
          <w:rFonts w:ascii="Times New Roman" w:hAnsi="Times New Roman" w:cs="Times New Roman"/>
        </w:rPr>
      </w:pPr>
      <w:r w:rsidRPr="003B183F">
        <w:rPr>
          <w:rFonts w:ascii="Times New Roman" w:hAnsi="Times New Roman" w:cs="Times New Roman"/>
          <w:noProof/>
        </w:rPr>
        <w:t>Paslaugos pradedamos teikti nuo Sutarties į</w:t>
      </w:r>
      <w:r w:rsidR="00D66BFD" w:rsidRPr="003B183F">
        <w:rPr>
          <w:rFonts w:ascii="Times New Roman" w:hAnsi="Times New Roman" w:cs="Times New Roman"/>
          <w:noProof/>
        </w:rPr>
        <w:t>sigaliojimo dienos</w:t>
      </w:r>
      <w:r w:rsidR="003B183F" w:rsidRPr="003B183F">
        <w:rPr>
          <w:rFonts w:ascii="Times New Roman" w:hAnsi="Times New Roman" w:cs="Times New Roman"/>
          <w:noProof/>
        </w:rPr>
        <w:t xml:space="preserve"> ir teikiamos </w:t>
      </w:r>
      <w:r w:rsidR="006F2728">
        <w:rPr>
          <w:rFonts w:ascii="Times New Roman" w:hAnsi="Times New Roman" w:cs="Times New Roman"/>
          <w:noProof/>
        </w:rPr>
        <w:t xml:space="preserve">ne ilgiau kaip </w:t>
      </w:r>
      <w:r w:rsidR="003B183F" w:rsidRPr="003B183F">
        <w:rPr>
          <w:rFonts w:ascii="Times New Roman" w:hAnsi="Times New Roman" w:cs="Times New Roman"/>
          <w:noProof/>
        </w:rPr>
        <w:t>36 (trisdešimt šešis</w:t>
      </w:r>
      <w:r w:rsidR="006F2728">
        <w:rPr>
          <w:rFonts w:ascii="Times New Roman" w:hAnsi="Times New Roman" w:cs="Times New Roman"/>
          <w:noProof/>
        </w:rPr>
        <w:t>)</w:t>
      </w:r>
      <w:r w:rsidR="003B183F" w:rsidRPr="003B183F">
        <w:rPr>
          <w:rFonts w:ascii="Times New Roman" w:hAnsi="Times New Roman" w:cs="Times New Roman"/>
          <w:noProof/>
        </w:rPr>
        <w:t xml:space="preserve"> mėnesius.</w:t>
      </w:r>
    </w:p>
    <w:p w14:paraId="3E6EF6D9" w14:textId="77777777" w:rsidR="004166A4" w:rsidRPr="00031E19" w:rsidRDefault="004166A4" w:rsidP="004166A4">
      <w:pPr>
        <w:rPr>
          <w:rFonts w:ascii="Times New Roman" w:hAnsi="Times New Roman" w:cs="Times New Roman"/>
        </w:rPr>
      </w:pPr>
    </w:p>
    <w:p w14:paraId="2E4AC713" w14:textId="77777777" w:rsidR="004166A4" w:rsidRPr="00031E19" w:rsidRDefault="004166A4" w:rsidP="004166A4">
      <w:pPr>
        <w:rPr>
          <w:rFonts w:ascii="Times New Roman" w:hAnsi="Times New Roman" w:cs="Times New Roman"/>
        </w:rPr>
      </w:pPr>
    </w:p>
    <w:p w14:paraId="4ADEB436" w14:textId="77777777" w:rsidR="004166A4" w:rsidRPr="00031E19" w:rsidRDefault="004166A4" w:rsidP="004166A4">
      <w:pPr>
        <w:rPr>
          <w:rFonts w:ascii="Times New Roman" w:hAnsi="Times New Roman" w:cs="Times New Roman"/>
        </w:rPr>
      </w:pPr>
    </w:p>
    <w:p w14:paraId="0FA65F81" w14:textId="77777777" w:rsidR="004166A4" w:rsidRPr="00031E19" w:rsidRDefault="004166A4" w:rsidP="004166A4">
      <w:pPr>
        <w:jc w:val="center"/>
        <w:rPr>
          <w:rFonts w:ascii="Times New Roman" w:hAnsi="Times New Roman" w:cs="Times New Roman"/>
        </w:rPr>
      </w:pPr>
    </w:p>
    <w:sectPr w:rsidR="004166A4" w:rsidRPr="00031E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Bai Jamjuree Medium">
    <w:panose1 w:val="00000600000000000000"/>
    <w:charset w:val="BA"/>
    <w:family w:val="auto"/>
    <w:pitch w:val="variable"/>
    <w:sig w:usb0="21000007" w:usb1="00000001" w:usb2="00000000" w:usb3="00000000" w:csb0="00010193"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22830"/>
    <w:multiLevelType w:val="hybridMultilevel"/>
    <w:tmpl w:val="DFFEBA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C00CB5"/>
    <w:multiLevelType w:val="multilevel"/>
    <w:tmpl w:val="10445732"/>
    <w:lvl w:ilvl="0">
      <w:start w:val="1"/>
      <w:numFmt w:val="decimal"/>
      <w:lvlText w:val="%1."/>
      <w:lvlJc w:val="left"/>
      <w:pPr>
        <w:ind w:left="720" w:hanging="360"/>
      </w:pPr>
      <w:rPr>
        <w:rFonts w:ascii="Times New Roman" w:hAnsi="Times New Roman" w:cs="Times New Roman" w:hint="default"/>
        <w:b/>
        <w:color w:val="auto"/>
        <w:sz w:val="22"/>
        <w:szCs w:val="22"/>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720"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F9160D"/>
    <w:multiLevelType w:val="multilevel"/>
    <w:tmpl w:val="65DC0402"/>
    <w:lvl w:ilvl="0">
      <w:start w:val="1"/>
      <w:numFmt w:val="decimal"/>
      <w:lvlText w:val="%1."/>
      <w:lvlJc w:val="left"/>
      <w:pPr>
        <w:ind w:left="720" w:hanging="360"/>
      </w:pPr>
      <w:rPr>
        <w:rFonts w:ascii="Times New Roman" w:hAnsi="Times New Roman" w:cs="Times New Roman" w:hint="default"/>
        <w:b/>
        <w:color w:val="auto"/>
        <w:sz w:val="22"/>
        <w:szCs w:val="22"/>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720" w:hanging="720"/>
      </w:pPr>
      <w:rPr>
        <w:b w:val="0"/>
        <w:bCs w:val="0"/>
        <w:i w:val="0"/>
        <w:iCs w:val="0"/>
        <w:color w:val="auto"/>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8F25A28"/>
    <w:multiLevelType w:val="multilevel"/>
    <w:tmpl w:val="EC5C0D54"/>
    <w:styleLink w:val="Stilius1"/>
    <w:lvl w:ilvl="0">
      <w:start w:val="1"/>
      <w:numFmt w:val="decimal"/>
      <w:lvlText w:val="%1."/>
      <w:lvlJc w:val="left"/>
      <w:pPr>
        <w:ind w:left="357" w:hanging="357"/>
      </w:pPr>
      <w:rPr>
        <w:rFonts w:hint="default"/>
      </w:rPr>
    </w:lvl>
    <w:lvl w:ilvl="1">
      <w:start w:val="1"/>
      <w:numFmt w:val="decimal"/>
      <w:lvlRestart w:val="0"/>
      <w:isLgl/>
      <w:lvlText w:val="%1.%2."/>
      <w:lvlJc w:val="left"/>
      <w:pPr>
        <w:tabs>
          <w:tab w:val="num" w:pos="170"/>
        </w:tabs>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6739310E"/>
    <w:multiLevelType w:val="hybridMultilevel"/>
    <w:tmpl w:val="BB90200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8" w15:restartNumberingAfterBreak="0">
    <w:nsid w:val="689B5385"/>
    <w:multiLevelType w:val="multilevel"/>
    <w:tmpl w:val="F5F0B5C4"/>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6175AE"/>
    <w:multiLevelType w:val="hybridMultilevel"/>
    <w:tmpl w:val="AF16889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8615092">
    <w:abstractNumId w:val="6"/>
  </w:num>
  <w:num w:numId="2" w16cid:durableId="1967738177">
    <w:abstractNumId w:val="2"/>
  </w:num>
  <w:num w:numId="3" w16cid:durableId="821118749">
    <w:abstractNumId w:val="5"/>
  </w:num>
  <w:num w:numId="4" w16cid:durableId="761147492">
    <w:abstractNumId w:val="0"/>
  </w:num>
  <w:num w:numId="5" w16cid:durableId="1158380646">
    <w:abstractNumId w:val="3"/>
  </w:num>
  <w:num w:numId="6" w16cid:durableId="276911342">
    <w:abstractNumId w:val="9"/>
  </w:num>
  <w:num w:numId="7" w16cid:durableId="1470250141">
    <w:abstractNumId w:val="1"/>
  </w:num>
  <w:num w:numId="8" w16cid:durableId="1400250431">
    <w:abstractNumId w:val="8"/>
  </w:num>
  <w:num w:numId="9" w16cid:durableId="1399325074">
    <w:abstractNumId w:val="7"/>
  </w:num>
  <w:num w:numId="10" w16cid:durableId="546452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A4"/>
    <w:rsid w:val="00005228"/>
    <w:rsid w:val="00011B24"/>
    <w:rsid w:val="00031E19"/>
    <w:rsid w:val="00066752"/>
    <w:rsid w:val="00066E7A"/>
    <w:rsid w:val="0006745B"/>
    <w:rsid w:val="00067713"/>
    <w:rsid w:val="00084431"/>
    <w:rsid w:val="00087A90"/>
    <w:rsid w:val="00090A6E"/>
    <w:rsid w:val="00090BBD"/>
    <w:rsid w:val="000947B6"/>
    <w:rsid w:val="000B2664"/>
    <w:rsid w:val="000B66D2"/>
    <w:rsid w:val="000D721A"/>
    <w:rsid w:val="000E15B4"/>
    <w:rsid w:val="000F3D95"/>
    <w:rsid w:val="00114261"/>
    <w:rsid w:val="0011656E"/>
    <w:rsid w:val="00132C5C"/>
    <w:rsid w:val="00134DCC"/>
    <w:rsid w:val="00147E1E"/>
    <w:rsid w:val="00154EF0"/>
    <w:rsid w:val="001555FC"/>
    <w:rsid w:val="00167CA5"/>
    <w:rsid w:val="00180302"/>
    <w:rsid w:val="00185CFE"/>
    <w:rsid w:val="001914E9"/>
    <w:rsid w:val="001943CF"/>
    <w:rsid w:val="001944D8"/>
    <w:rsid w:val="001A4391"/>
    <w:rsid w:val="001E2DE9"/>
    <w:rsid w:val="001F2484"/>
    <w:rsid w:val="001F3699"/>
    <w:rsid w:val="00201E07"/>
    <w:rsid w:val="00213E4A"/>
    <w:rsid w:val="002177A7"/>
    <w:rsid w:val="00225C78"/>
    <w:rsid w:val="00227391"/>
    <w:rsid w:val="00227B92"/>
    <w:rsid w:val="00230FA1"/>
    <w:rsid w:val="00232C3F"/>
    <w:rsid w:val="00234CC2"/>
    <w:rsid w:val="00250198"/>
    <w:rsid w:val="00250312"/>
    <w:rsid w:val="0026005A"/>
    <w:rsid w:val="00265ECD"/>
    <w:rsid w:val="00271E40"/>
    <w:rsid w:val="00272015"/>
    <w:rsid w:val="00287AFD"/>
    <w:rsid w:val="0029007C"/>
    <w:rsid w:val="002A04A4"/>
    <w:rsid w:val="002A160A"/>
    <w:rsid w:val="002A629D"/>
    <w:rsid w:val="002B3437"/>
    <w:rsid w:val="002B78BA"/>
    <w:rsid w:val="002D2581"/>
    <w:rsid w:val="002D28F7"/>
    <w:rsid w:val="002D3F04"/>
    <w:rsid w:val="002E6E2D"/>
    <w:rsid w:val="003039A6"/>
    <w:rsid w:val="00312630"/>
    <w:rsid w:val="003126BF"/>
    <w:rsid w:val="0031605E"/>
    <w:rsid w:val="00317B84"/>
    <w:rsid w:val="00323189"/>
    <w:rsid w:val="0032393F"/>
    <w:rsid w:val="0032445E"/>
    <w:rsid w:val="00326B8C"/>
    <w:rsid w:val="00330BDB"/>
    <w:rsid w:val="00331325"/>
    <w:rsid w:val="00336194"/>
    <w:rsid w:val="00343945"/>
    <w:rsid w:val="00347C30"/>
    <w:rsid w:val="003504CD"/>
    <w:rsid w:val="00350C9A"/>
    <w:rsid w:val="003528FF"/>
    <w:rsid w:val="00353216"/>
    <w:rsid w:val="0036214B"/>
    <w:rsid w:val="00371586"/>
    <w:rsid w:val="00371F1B"/>
    <w:rsid w:val="00382B67"/>
    <w:rsid w:val="003856CC"/>
    <w:rsid w:val="003A0945"/>
    <w:rsid w:val="003A3FA9"/>
    <w:rsid w:val="003A6CA2"/>
    <w:rsid w:val="003B183F"/>
    <w:rsid w:val="003B21B3"/>
    <w:rsid w:val="003B3DB7"/>
    <w:rsid w:val="003B4329"/>
    <w:rsid w:val="003B5074"/>
    <w:rsid w:val="003B7FA9"/>
    <w:rsid w:val="003D212C"/>
    <w:rsid w:val="004064B6"/>
    <w:rsid w:val="00410CBE"/>
    <w:rsid w:val="004133D9"/>
    <w:rsid w:val="004166A4"/>
    <w:rsid w:val="00417A86"/>
    <w:rsid w:val="004261F3"/>
    <w:rsid w:val="00433885"/>
    <w:rsid w:val="004625BC"/>
    <w:rsid w:val="00471023"/>
    <w:rsid w:val="00474D4E"/>
    <w:rsid w:val="00477615"/>
    <w:rsid w:val="00480021"/>
    <w:rsid w:val="0048199D"/>
    <w:rsid w:val="00486A1B"/>
    <w:rsid w:val="004C4E69"/>
    <w:rsid w:val="004C5DAE"/>
    <w:rsid w:val="004D2B1E"/>
    <w:rsid w:val="004D5ABB"/>
    <w:rsid w:val="004D67B2"/>
    <w:rsid w:val="004D6F4F"/>
    <w:rsid w:val="004E3B80"/>
    <w:rsid w:val="00503BAB"/>
    <w:rsid w:val="0050578B"/>
    <w:rsid w:val="00520D18"/>
    <w:rsid w:val="00542C58"/>
    <w:rsid w:val="00554E05"/>
    <w:rsid w:val="005608E6"/>
    <w:rsid w:val="00562382"/>
    <w:rsid w:val="0057326B"/>
    <w:rsid w:val="005745FC"/>
    <w:rsid w:val="005757CC"/>
    <w:rsid w:val="00577332"/>
    <w:rsid w:val="00582248"/>
    <w:rsid w:val="005857EA"/>
    <w:rsid w:val="00586309"/>
    <w:rsid w:val="005923BA"/>
    <w:rsid w:val="005A032C"/>
    <w:rsid w:val="005A76F0"/>
    <w:rsid w:val="005B2DDC"/>
    <w:rsid w:val="005D3BA1"/>
    <w:rsid w:val="005D4D30"/>
    <w:rsid w:val="005E4420"/>
    <w:rsid w:val="005F7339"/>
    <w:rsid w:val="00611640"/>
    <w:rsid w:val="00614FC9"/>
    <w:rsid w:val="00627353"/>
    <w:rsid w:val="00637015"/>
    <w:rsid w:val="00657DB8"/>
    <w:rsid w:val="006623A3"/>
    <w:rsid w:val="00677891"/>
    <w:rsid w:val="0069126E"/>
    <w:rsid w:val="00693FC7"/>
    <w:rsid w:val="006A128E"/>
    <w:rsid w:val="006E726A"/>
    <w:rsid w:val="006F21F3"/>
    <w:rsid w:val="006F2728"/>
    <w:rsid w:val="006F7353"/>
    <w:rsid w:val="007046A4"/>
    <w:rsid w:val="00704B22"/>
    <w:rsid w:val="00712915"/>
    <w:rsid w:val="00716C68"/>
    <w:rsid w:val="0073003E"/>
    <w:rsid w:val="0073372B"/>
    <w:rsid w:val="00736688"/>
    <w:rsid w:val="00740BF0"/>
    <w:rsid w:val="00742C3B"/>
    <w:rsid w:val="007768CB"/>
    <w:rsid w:val="00777E13"/>
    <w:rsid w:val="00786EF2"/>
    <w:rsid w:val="00793824"/>
    <w:rsid w:val="007A141F"/>
    <w:rsid w:val="007A1A6B"/>
    <w:rsid w:val="007A638E"/>
    <w:rsid w:val="007A7DC9"/>
    <w:rsid w:val="007C3EA1"/>
    <w:rsid w:val="007C5AA6"/>
    <w:rsid w:val="007D660B"/>
    <w:rsid w:val="007D675F"/>
    <w:rsid w:val="007D70BB"/>
    <w:rsid w:val="007D7B04"/>
    <w:rsid w:val="007F6BD2"/>
    <w:rsid w:val="00807C89"/>
    <w:rsid w:val="00817181"/>
    <w:rsid w:val="0082363D"/>
    <w:rsid w:val="008456C4"/>
    <w:rsid w:val="00872D33"/>
    <w:rsid w:val="00880817"/>
    <w:rsid w:val="008833F3"/>
    <w:rsid w:val="00885F66"/>
    <w:rsid w:val="008C073D"/>
    <w:rsid w:val="008E4BCF"/>
    <w:rsid w:val="008F3FF0"/>
    <w:rsid w:val="008F6B30"/>
    <w:rsid w:val="0091743C"/>
    <w:rsid w:val="00917A3E"/>
    <w:rsid w:val="00920112"/>
    <w:rsid w:val="00921DDE"/>
    <w:rsid w:val="009301CC"/>
    <w:rsid w:val="00936958"/>
    <w:rsid w:val="0094338C"/>
    <w:rsid w:val="00943B92"/>
    <w:rsid w:val="00956FFF"/>
    <w:rsid w:val="00957679"/>
    <w:rsid w:val="009619AA"/>
    <w:rsid w:val="00963255"/>
    <w:rsid w:val="0096429D"/>
    <w:rsid w:val="009700D8"/>
    <w:rsid w:val="009825A0"/>
    <w:rsid w:val="009940A0"/>
    <w:rsid w:val="00994858"/>
    <w:rsid w:val="0099659F"/>
    <w:rsid w:val="009A56CC"/>
    <w:rsid w:val="009B00E7"/>
    <w:rsid w:val="009C1F5C"/>
    <w:rsid w:val="009C27F1"/>
    <w:rsid w:val="009C3A27"/>
    <w:rsid w:val="009D6595"/>
    <w:rsid w:val="009D6FCB"/>
    <w:rsid w:val="009E1127"/>
    <w:rsid w:val="009E6C87"/>
    <w:rsid w:val="009F666B"/>
    <w:rsid w:val="00A06D5D"/>
    <w:rsid w:val="00A14CC7"/>
    <w:rsid w:val="00A2581E"/>
    <w:rsid w:val="00A25F0C"/>
    <w:rsid w:val="00A534E6"/>
    <w:rsid w:val="00A5354D"/>
    <w:rsid w:val="00A650DE"/>
    <w:rsid w:val="00A76924"/>
    <w:rsid w:val="00A77B5B"/>
    <w:rsid w:val="00A83062"/>
    <w:rsid w:val="00A90BAE"/>
    <w:rsid w:val="00A91A86"/>
    <w:rsid w:val="00A949A5"/>
    <w:rsid w:val="00AA25FF"/>
    <w:rsid w:val="00AA4CCA"/>
    <w:rsid w:val="00AA77A2"/>
    <w:rsid w:val="00AB1BB6"/>
    <w:rsid w:val="00AC038E"/>
    <w:rsid w:val="00AC72A1"/>
    <w:rsid w:val="00AE2928"/>
    <w:rsid w:val="00AE5ADB"/>
    <w:rsid w:val="00AF32B7"/>
    <w:rsid w:val="00B009F5"/>
    <w:rsid w:val="00B05667"/>
    <w:rsid w:val="00B17E31"/>
    <w:rsid w:val="00B30039"/>
    <w:rsid w:val="00B35BC6"/>
    <w:rsid w:val="00B368ED"/>
    <w:rsid w:val="00B370FA"/>
    <w:rsid w:val="00B604F7"/>
    <w:rsid w:val="00B60E39"/>
    <w:rsid w:val="00B93019"/>
    <w:rsid w:val="00B95D9E"/>
    <w:rsid w:val="00B9710E"/>
    <w:rsid w:val="00BA61BD"/>
    <w:rsid w:val="00BB00A8"/>
    <w:rsid w:val="00BC2D0A"/>
    <w:rsid w:val="00BD0BA3"/>
    <w:rsid w:val="00BD5421"/>
    <w:rsid w:val="00BF2EAC"/>
    <w:rsid w:val="00C050ED"/>
    <w:rsid w:val="00C065D4"/>
    <w:rsid w:val="00C121E5"/>
    <w:rsid w:val="00C2047C"/>
    <w:rsid w:val="00C32588"/>
    <w:rsid w:val="00C61EE2"/>
    <w:rsid w:val="00C644EB"/>
    <w:rsid w:val="00C8621C"/>
    <w:rsid w:val="00C90F30"/>
    <w:rsid w:val="00C92B90"/>
    <w:rsid w:val="00CC086F"/>
    <w:rsid w:val="00CD1439"/>
    <w:rsid w:val="00CD4934"/>
    <w:rsid w:val="00CE240B"/>
    <w:rsid w:val="00D16BFB"/>
    <w:rsid w:val="00D2017D"/>
    <w:rsid w:val="00D2251F"/>
    <w:rsid w:val="00D26BC2"/>
    <w:rsid w:val="00D3023E"/>
    <w:rsid w:val="00D36513"/>
    <w:rsid w:val="00D45774"/>
    <w:rsid w:val="00D61BDD"/>
    <w:rsid w:val="00D66699"/>
    <w:rsid w:val="00D66BFD"/>
    <w:rsid w:val="00D71E4F"/>
    <w:rsid w:val="00D75920"/>
    <w:rsid w:val="00D816F3"/>
    <w:rsid w:val="00D854A5"/>
    <w:rsid w:val="00DA44D8"/>
    <w:rsid w:val="00DA61EF"/>
    <w:rsid w:val="00DA7685"/>
    <w:rsid w:val="00DB51AE"/>
    <w:rsid w:val="00DD3EA2"/>
    <w:rsid w:val="00DF0411"/>
    <w:rsid w:val="00DF195A"/>
    <w:rsid w:val="00DF5650"/>
    <w:rsid w:val="00E02C3C"/>
    <w:rsid w:val="00E04C89"/>
    <w:rsid w:val="00E14F16"/>
    <w:rsid w:val="00E151B7"/>
    <w:rsid w:val="00E16B30"/>
    <w:rsid w:val="00E2276D"/>
    <w:rsid w:val="00E35615"/>
    <w:rsid w:val="00E4248F"/>
    <w:rsid w:val="00E456C4"/>
    <w:rsid w:val="00E62F22"/>
    <w:rsid w:val="00E630C8"/>
    <w:rsid w:val="00E6397C"/>
    <w:rsid w:val="00E66DAC"/>
    <w:rsid w:val="00E73199"/>
    <w:rsid w:val="00E7321F"/>
    <w:rsid w:val="00E76A37"/>
    <w:rsid w:val="00E84DED"/>
    <w:rsid w:val="00E86C03"/>
    <w:rsid w:val="00EA481E"/>
    <w:rsid w:val="00EB729B"/>
    <w:rsid w:val="00EC07AF"/>
    <w:rsid w:val="00EC1870"/>
    <w:rsid w:val="00EC6993"/>
    <w:rsid w:val="00ED507C"/>
    <w:rsid w:val="00ED64BD"/>
    <w:rsid w:val="00ED775C"/>
    <w:rsid w:val="00EE6E83"/>
    <w:rsid w:val="00EF18E0"/>
    <w:rsid w:val="00F006CA"/>
    <w:rsid w:val="00F07E8B"/>
    <w:rsid w:val="00F25F5B"/>
    <w:rsid w:val="00F35E63"/>
    <w:rsid w:val="00F443BC"/>
    <w:rsid w:val="00F54690"/>
    <w:rsid w:val="00F66B4C"/>
    <w:rsid w:val="00F70635"/>
    <w:rsid w:val="00F72DAF"/>
    <w:rsid w:val="00F7747E"/>
    <w:rsid w:val="00F869A0"/>
    <w:rsid w:val="00FA295A"/>
    <w:rsid w:val="00FA73C0"/>
    <w:rsid w:val="00FB55A2"/>
    <w:rsid w:val="00FD051E"/>
    <w:rsid w:val="00FF326D"/>
    <w:rsid w:val="00FF6B03"/>
    <w:rsid w:val="1056F33F"/>
    <w:rsid w:val="16CD4791"/>
    <w:rsid w:val="36F18BD3"/>
    <w:rsid w:val="38262879"/>
    <w:rsid w:val="3E695DC9"/>
    <w:rsid w:val="41368C4B"/>
    <w:rsid w:val="4F4E7F81"/>
    <w:rsid w:val="59997907"/>
    <w:rsid w:val="606DC1E7"/>
    <w:rsid w:val="64345566"/>
    <w:rsid w:val="6F1CE844"/>
    <w:rsid w:val="76759987"/>
    <w:rsid w:val="7A8B8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82DE"/>
  <w15:chartTrackingRefBased/>
  <w15:docId w15:val="{0E38DFFE-15BD-4C66-99B0-6D1E5484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16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ilius11pt1tekstas">
    <w:name w:val="Stilius 11 pt. 1 tekstas"/>
    <w:basedOn w:val="DefaultParagraphFont"/>
    <w:rsid w:val="003856CC"/>
    <w:rPr>
      <w:color w:val="000000" w:themeColor="text1"/>
      <w:sz w:val="22"/>
    </w:rPr>
  </w:style>
  <w:style w:type="numbering" w:customStyle="1" w:styleId="Stilius1">
    <w:name w:val="Stilius1"/>
    <w:uiPriority w:val="99"/>
    <w:rsid w:val="003856CC"/>
    <w:pPr>
      <w:numPr>
        <w:numId w:val="1"/>
      </w:numPr>
    </w:pPr>
  </w:style>
  <w:style w:type="character" w:customStyle="1" w:styleId="Heading1Char">
    <w:name w:val="Heading 1 Char"/>
    <w:basedOn w:val="DefaultParagraphFont"/>
    <w:link w:val="Heading1"/>
    <w:uiPriority w:val="9"/>
    <w:rsid w:val="00416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A4"/>
    <w:rPr>
      <w:rFonts w:eastAsiaTheme="majorEastAsia" w:cstheme="majorBidi"/>
      <w:color w:val="272727" w:themeColor="text1" w:themeTint="D8"/>
    </w:rPr>
  </w:style>
  <w:style w:type="paragraph" w:styleId="Title">
    <w:name w:val="Title"/>
    <w:basedOn w:val="Normal"/>
    <w:next w:val="Normal"/>
    <w:link w:val="TitleChar"/>
    <w:uiPriority w:val="10"/>
    <w:qFormat/>
    <w:rsid w:val="00416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A4"/>
    <w:pPr>
      <w:spacing w:before="160"/>
      <w:jc w:val="center"/>
    </w:pPr>
    <w:rPr>
      <w:i/>
      <w:iCs/>
      <w:color w:val="404040" w:themeColor="text1" w:themeTint="BF"/>
    </w:rPr>
  </w:style>
  <w:style w:type="character" w:customStyle="1" w:styleId="QuoteChar">
    <w:name w:val="Quote Char"/>
    <w:basedOn w:val="DefaultParagraphFont"/>
    <w:link w:val="Quote"/>
    <w:uiPriority w:val="29"/>
    <w:rsid w:val="004166A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4166A4"/>
    <w:pPr>
      <w:ind w:left="720"/>
      <w:contextualSpacing/>
    </w:pPr>
  </w:style>
  <w:style w:type="character" w:styleId="IntenseEmphasis">
    <w:name w:val="Intense Emphasis"/>
    <w:basedOn w:val="DefaultParagraphFont"/>
    <w:uiPriority w:val="21"/>
    <w:qFormat/>
    <w:rsid w:val="004166A4"/>
    <w:rPr>
      <w:i/>
      <w:iCs/>
      <w:color w:val="0F4761" w:themeColor="accent1" w:themeShade="BF"/>
    </w:rPr>
  </w:style>
  <w:style w:type="paragraph" w:styleId="IntenseQuote">
    <w:name w:val="Intense Quote"/>
    <w:basedOn w:val="Normal"/>
    <w:next w:val="Normal"/>
    <w:link w:val="IntenseQuoteChar"/>
    <w:uiPriority w:val="30"/>
    <w:qFormat/>
    <w:rsid w:val="00416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A4"/>
    <w:rPr>
      <w:i/>
      <w:iCs/>
      <w:color w:val="0F4761" w:themeColor="accent1" w:themeShade="BF"/>
    </w:rPr>
  </w:style>
  <w:style w:type="character" w:styleId="IntenseReference">
    <w:name w:val="Intense Reference"/>
    <w:basedOn w:val="DefaultParagraphFont"/>
    <w:uiPriority w:val="32"/>
    <w:qFormat/>
    <w:rsid w:val="004166A4"/>
    <w:rPr>
      <w:b/>
      <w:bCs/>
      <w:smallCaps/>
      <w:color w:val="0F4761" w:themeColor="accent1" w:themeShade="BF"/>
      <w:spacing w:val="5"/>
    </w:rPr>
  </w:style>
  <w:style w:type="table" w:styleId="TableGrid">
    <w:name w:val="Table Grid"/>
    <w:basedOn w:val="TableElegant"/>
    <w:uiPriority w:val="59"/>
    <w:rsid w:val="004166A4"/>
    <w:pPr>
      <w:tabs>
        <w:tab w:val="left" w:pos="851"/>
      </w:tabs>
      <w:spacing w:after="120" w:line="240" w:lineRule="auto"/>
      <w:ind w:firstLine="567"/>
      <w:jc w:val="both"/>
    </w:pPr>
    <w:rPr>
      <w:rFonts w:ascii="Arial" w:eastAsia="Times New Roman" w:hAnsi="Arial" w:cs="Segoe UI Semilight"/>
      <w:kern w:val="0"/>
      <w:sz w:val="20"/>
      <w:szCs w:val="20"/>
      <w:lang w:eastAsia="lt-LT"/>
      <w14:ligatures w14:val="none"/>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unhideWhenUsed/>
    <w:rsid w:val="004166A4"/>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4166A4"/>
  </w:style>
  <w:style w:type="character" w:customStyle="1" w:styleId="Laukeliai">
    <w:name w:val="Laukeliai"/>
    <w:basedOn w:val="DefaultParagraphFont"/>
    <w:rsid w:val="004166A4"/>
    <w:rPr>
      <w:rFonts w:ascii="Arial" w:hAnsi="Arial"/>
      <w:sz w:val="20"/>
    </w:rPr>
  </w:style>
  <w:style w:type="table" w:customStyle="1" w:styleId="TableGrid1">
    <w:name w:val="Table Grid1"/>
    <w:basedOn w:val="TableNormal"/>
    <w:next w:val="TableGrid"/>
    <w:uiPriority w:val="99"/>
    <w:rsid w:val="004166A4"/>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Elegant">
    <w:name w:val="Table Elegant"/>
    <w:basedOn w:val="TableNormal"/>
    <w:uiPriority w:val="99"/>
    <w:semiHidden/>
    <w:unhideWhenUsed/>
    <w:rsid w:val="004166A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on">
    <w:name w:val="Revision"/>
    <w:hidden/>
    <w:uiPriority w:val="99"/>
    <w:semiHidden/>
    <w:rsid w:val="007046A4"/>
    <w:pPr>
      <w:spacing w:after="0" w:line="240" w:lineRule="auto"/>
    </w:pPr>
  </w:style>
  <w:style w:type="character" w:styleId="CommentReference">
    <w:name w:val="annotation reference"/>
    <w:basedOn w:val="DefaultParagraphFont"/>
    <w:uiPriority w:val="99"/>
    <w:semiHidden/>
    <w:unhideWhenUsed/>
    <w:rsid w:val="00347C30"/>
    <w:rPr>
      <w:sz w:val="16"/>
      <w:szCs w:val="16"/>
    </w:rPr>
  </w:style>
  <w:style w:type="paragraph" w:styleId="CommentText">
    <w:name w:val="annotation text"/>
    <w:basedOn w:val="Normal"/>
    <w:link w:val="CommentTextChar"/>
    <w:uiPriority w:val="99"/>
    <w:unhideWhenUsed/>
    <w:rsid w:val="00347C30"/>
    <w:pPr>
      <w:spacing w:line="240" w:lineRule="auto"/>
    </w:pPr>
    <w:rPr>
      <w:sz w:val="20"/>
      <w:szCs w:val="20"/>
    </w:rPr>
  </w:style>
  <w:style w:type="character" w:customStyle="1" w:styleId="CommentTextChar">
    <w:name w:val="Comment Text Char"/>
    <w:basedOn w:val="DefaultParagraphFont"/>
    <w:link w:val="CommentText"/>
    <w:uiPriority w:val="99"/>
    <w:rsid w:val="00347C30"/>
    <w:rPr>
      <w:sz w:val="20"/>
      <w:szCs w:val="20"/>
    </w:rPr>
  </w:style>
  <w:style w:type="paragraph" w:styleId="CommentSubject">
    <w:name w:val="annotation subject"/>
    <w:basedOn w:val="CommentText"/>
    <w:next w:val="CommentText"/>
    <w:link w:val="CommentSubjectChar"/>
    <w:uiPriority w:val="99"/>
    <w:semiHidden/>
    <w:unhideWhenUsed/>
    <w:rsid w:val="00347C30"/>
    <w:rPr>
      <w:b/>
      <w:bCs/>
    </w:rPr>
  </w:style>
  <w:style w:type="character" w:customStyle="1" w:styleId="CommentSubjectChar">
    <w:name w:val="Comment Subject Char"/>
    <w:basedOn w:val="CommentTextChar"/>
    <w:link w:val="CommentSubject"/>
    <w:uiPriority w:val="99"/>
    <w:semiHidden/>
    <w:rsid w:val="00347C30"/>
    <w:rPr>
      <w:b/>
      <w:bCs/>
      <w:sz w:val="20"/>
      <w:szCs w:val="20"/>
    </w:rPr>
  </w:style>
  <w:style w:type="character" w:styleId="FollowedHyperlink">
    <w:name w:val="FollowedHyperlink"/>
    <w:basedOn w:val="DefaultParagraphFont"/>
    <w:uiPriority w:val="99"/>
    <w:semiHidden/>
    <w:unhideWhenUsed/>
    <w:rsid w:val="0031605E"/>
    <w:rPr>
      <w:color w:val="96607D" w:themeColor="followedHyperlink"/>
      <w:u w:val="single"/>
    </w:rPr>
  </w:style>
  <w:style w:type="character" w:customStyle="1" w:styleId="cf01">
    <w:name w:val="cf01"/>
    <w:basedOn w:val="DefaultParagraphFont"/>
    <w:rsid w:val="00920112"/>
    <w:rPr>
      <w:rFonts w:ascii="Segoe UI" w:hAnsi="Segoe UI" w:cs="Segoe UI" w:hint="default"/>
      <w:sz w:val="18"/>
      <w:szCs w:val="18"/>
    </w:rPr>
  </w:style>
  <w:style w:type="paragraph" w:customStyle="1" w:styleId="pf0">
    <w:name w:val="pf0"/>
    <w:basedOn w:val="Normal"/>
    <w:rsid w:val="000B66D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11">
    <w:name w:val="cf11"/>
    <w:basedOn w:val="DefaultParagraphFont"/>
    <w:rsid w:val="000B66D2"/>
    <w:rPr>
      <w:rFonts w:ascii="Segoe UI" w:hAnsi="Segoe UI" w:cs="Segoe UI" w:hint="default"/>
      <w:sz w:val="18"/>
      <w:szCs w:val="18"/>
    </w:rPr>
  </w:style>
  <w:style w:type="character" w:styleId="UnresolvedMention">
    <w:name w:val="Unresolved Mention"/>
    <w:basedOn w:val="DefaultParagraphFont"/>
    <w:uiPriority w:val="99"/>
    <w:semiHidden/>
    <w:unhideWhenUsed/>
    <w:rsid w:val="0031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26689">
      <w:bodyDiv w:val="1"/>
      <w:marLeft w:val="0"/>
      <w:marRight w:val="0"/>
      <w:marTop w:val="0"/>
      <w:marBottom w:val="0"/>
      <w:divBdr>
        <w:top w:val="none" w:sz="0" w:space="0" w:color="auto"/>
        <w:left w:val="none" w:sz="0" w:space="0" w:color="auto"/>
        <w:bottom w:val="none" w:sz="0" w:space="0" w:color="auto"/>
        <w:right w:val="none" w:sz="0" w:space="0" w:color="auto"/>
      </w:divBdr>
    </w:div>
    <w:div w:id="700790766">
      <w:bodyDiv w:val="1"/>
      <w:marLeft w:val="0"/>
      <w:marRight w:val="0"/>
      <w:marTop w:val="0"/>
      <w:marBottom w:val="0"/>
      <w:divBdr>
        <w:top w:val="none" w:sz="0" w:space="0" w:color="auto"/>
        <w:left w:val="none" w:sz="0" w:space="0" w:color="auto"/>
        <w:bottom w:val="none" w:sz="0" w:space="0" w:color="auto"/>
        <w:right w:val="none" w:sz="0" w:space="0" w:color="auto"/>
      </w:divBdr>
    </w:div>
    <w:div w:id="1906406843">
      <w:bodyDiv w:val="1"/>
      <w:marLeft w:val="0"/>
      <w:marRight w:val="0"/>
      <w:marTop w:val="0"/>
      <w:marBottom w:val="0"/>
      <w:divBdr>
        <w:top w:val="none" w:sz="0" w:space="0" w:color="auto"/>
        <w:left w:val="none" w:sz="0" w:space="0" w:color="auto"/>
        <w:bottom w:val="none" w:sz="0" w:space="0" w:color="auto"/>
        <w:right w:val="none" w:sz="0" w:space="0" w:color="auto"/>
      </w:divBdr>
      <w:divsChild>
        <w:div w:id="1689142728">
          <w:marLeft w:val="0"/>
          <w:marRight w:val="0"/>
          <w:marTop w:val="0"/>
          <w:marBottom w:val="0"/>
          <w:divBdr>
            <w:top w:val="none" w:sz="0" w:space="0" w:color="auto"/>
            <w:left w:val="none" w:sz="0" w:space="0" w:color="auto"/>
            <w:bottom w:val="none" w:sz="0" w:space="0" w:color="auto"/>
            <w:right w:val="none" w:sz="0" w:space="0" w:color="auto"/>
          </w:divBdr>
          <w:divsChild>
            <w:div w:id="67777292">
              <w:marLeft w:val="0"/>
              <w:marRight w:val="0"/>
              <w:marTop w:val="0"/>
              <w:marBottom w:val="0"/>
              <w:divBdr>
                <w:top w:val="none" w:sz="0" w:space="0" w:color="auto"/>
                <w:left w:val="none" w:sz="0" w:space="0" w:color="auto"/>
                <w:bottom w:val="none" w:sz="0" w:space="0" w:color="auto"/>
                <w:right w:val="none" w:sz="0" w:space="0" w:color="auto"/>
              </w:divBdr>
              <w:divsChild>
                <w:div w:id="1307127134">
                  <w:marLeft w:val="0"/>
                  <w:marRight w:val="0"/>
                  <w:marTop w:val="0"/>
                  <w:marBottom w:val="0"/>
                  <w:divBdr>
                    <w:top w:val="none" w:sz="0" w:space="0" w:color="auto"/>
                    <w:left w:val="none" w:sz="0" w:space="0" w:color="auto"/>
                    <w:bottom w:val="none" w:sz="0" w:space="0" w:color="auto"/>
                    <w:right w:val="none" w:sz="0" w:space="0" w:color="auto"/>
                  </w:divBdr>
                  <w:divsChild>
                    <w:div w:id="10109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58704/asr" TargetMode="Externa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4FAF0C81243347AB6BDF6A21101F39" ma:contentTypeVersion="4" ma:contentTypeDescription="Create a new document." ma:contentTypeScope="" ma:versionID="d267d927057033b8a4798fda322a6797">
  <xsd:schema xmlns:xsd="http://www.w3.org/2001/XMLSchema" xmlns:xs="http://www.w3.org/2001/XMLSchema" xmlns:p="http://schemas.microsoft.com/office/2006/metadata/properties" xmlns:ns2="6784014c-ce5a-4fa4-92e6-034f6515c595" targetNamespace="http://schemas.microsoft.com/office/2006/metadata/properties" ma:root="true" ma:fieldsID="d4bde4fbbfc14188dfe13e04a299e921"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E2822-6B7B-45C1-BB69-C36DD7B7F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EB5B54-37E8-4DE4-9B93-65CB71704CEF}"/>
</file>

<file path=customXml/itemProps3.xml><?xml version="1.0" encoding="utf-8"?>
<ds:datastoreItem xmlns:ds="http://schemas.openxmlformats.org/officeDocument/2006/customXml" ds:itemID="{5790ADD5-5137-4DA4-8F9F-3003544DCF0B}">
  <ds:schemaRefs>
    <ds:schemaRef ds:uri="http://schemas.microsoft.com/sharepoint/v3/contenttype/forms"/>
  </ds:schemaRefs>
</ds:datastoreItem>
</file>

<file path=customXml/itemProps4.xml><?xml version="1.0" encoding="utf-8"?>
<ds:datastoreItem xmlns:ds="http://schemas.openxmlformats.org/officeDocument/2006/customXml" ds:itemID="{B6660E3A-459C-47ED-AE6C-5F18E920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4614</Words>
  <Characters>2631</Characters>
  <Application>Microsoft Office Word</Application>
  <DocSecurity>0</DocSecurity>
  <Lines>21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Samuolis</dc:creator>
  <cp:keywords/>
  <dc:description/>
  <cp:lastModifiedBy>Eglė Kaminaitė</cp:lastModifiedBy>
  <cp:revision>123</cp:revision>
  <dcterms:created xsi:type="dcterms:W3CDTF">2024-10-15T18:13:00Z</dcterms:created>
  <dcterms:modified xsi:type="dcterms:W3CDTF">2024-11-05T13:10:00Z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ies>
</file>