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3EA1" w14:textId="10B8D0E0" w:rsidR="00E111E5" w:rsidRPr="00E111E5" w:rsidRDefault="00E111E5" w:rsidP="008A1824">
      <w:pPr>
        <w:tabs>
          <w:tab w:val="left" w:pos="567"/>
        </w:tabs>
        <w:spacing w:after="0" w:line="240" w:lineRule="auto"/>
        <w:rPr>
          <w:b/>
          <w:bCs/>
        </w:rPr>
      </w:pPr>
      <w:r w:rsidRPr="00E111E5">
        <w:rPr>
          <w:b/>
          <w:bCs/>
        </w:rPr>
        <w:t>Ž</w:t>
      </w:r>
      <w:r w:rsidR="00D035A2">
        <w:rPr>
          <w:b/>
          <w:bCs/>
        </w:rPr>
        <w:t>emės ūkio agentūros prie Žemės ūkio ministerijos</w:t>
      </w:r>
      <w:r w:rsidRPr="00E111E5">
        <w:rPr>
          <w:b/>
          <w:bCs/>
        </w:rPr>
        <w:t xml:space="preserve"> administruojamų interneto svetainių centralizavimo su bendra unifikuota turinio valdymo sistema analizės ir projektavimo paslaugų techninė specifikacija</w:t>
      </w:r>
    </w:p>
    <w:p w14:paraId="4D69052E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4BCB58B1" w14:textId="0818E15C" w:rsidR="00E111E5" w:rsidRPr="00E111E5" w:rsidRDefault="00E111E5" w:rsidP="008A1824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rPr>
          <w:b/>
          <w:bCs/>
        </w:rPr>
      </w:pPr>
      <w:r w:rsidRPr="00E111E5">
        <w:rPr>
          <w:b/>
          <w:bCs/>
        </w:rPr>
        <w:t>Naudojamos sąvokos</w:t>
      </w:r>
    </w:p>
    <w:p w14:paraId="2CD4C276" w14:textId="77777777" w:rsidR="00E111E5" w:rsidRPr="00E111E5" w:rsidRDefault="00E111E5" w:rsidP="008A1824">
      <w:pPr>
        <w:pStyle w:val="ListParagraph"/>
        <w:tabs>
          <w:tab w:val="left" w:pos="567"/>
        </w:tabs>
        <w:spacing w:after="0" w:line="240" w:lineRule="auto"/>
        <w:ind w:left="1650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437"/>
      </w:tblGrid>
      <w:tr w:rsidR="00E111E5" w:rsidRPr="00C37677" w14:paraId="1F6AD7BE" w14:textId="77777777" w:rsidTr="004B49EE">
        <w:tc>
          <w:tcPr>
            <w:tcW w:w="918" w:type="dxa"/>
            <w:shd w:val="clear" w:color="auto" w:fill="auto"/>
            <w:vAlign w:val="center"/>
          </w:tcPr>
          <w:p w14:paraId="0E365469" w14:textId="5BC4E672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ind w:right="-5"/>
              <w:jc w:val="both"/>
              <w:rPr>
                <w:b/>
                <w:bCs/>
              </w:rPr>
            </w:pPr>
            <w:r w:rsidRPr="00E111E5">
              <w:rPr>
                <w:b/>
                <w:bCs/>
              </w:rPr>
              <w:t>Eil. Nr.</w:t>
            </w:r>
          </w:p>
        </w:tc>
        <w:tc>
          <w:tcPr>
            <w:tcW w:w="8437" w:type="dxa"/>
            <w:shd w:val="clear" w:color="auto" w:fill="auto"/>
            <w:vAlign w:val="center"/>
          </w:tcPr>
          <w:p w14:paraId="5550FF9C" w14:textId="77777777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  <w:rPr>
                <w:b/>
                <w:bCs/>
              </w:rPr>
            </w:pPr>
            <w:r w:rsidRPr="00E111E5">
              <w:rPr>
                <w:b/>
                <w:bCs/>
              </w:rPr>
              <w:t>Aprašymas</w:t>
            </w:r>
          </w:p>
        </w:tc>
      </w:tr>
      <w:tr w:rsidR="00E111E5" w:rsidRPr="00C37677" w14:paraId="2956C78C" w14:textId="77777777" w:rsidTr="004B49EE">
        <w:tc>
          <w:tcPr>
            <w:tcW w:w="918" w:type="dxa"/>
            <w:shd w:val="clear" w:color="auto" w:fill="auto"/>
            <w:vAlign w:val="center"/>
          </w:tcPr>
          <w:p w14:paraId="60E36638" w14:textId="77777777" w:rsidR="00E111E5" w:rsidRPr="00E111E5" w:rsidRDefault="00E111E5" w:rsidP="008A1824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left="0" w:right="-5" w:firstLine="0"/>
              <w:jc w:val="both"/>
            </w:pPr>
          </w:p>
        </w:tc>
        <w:tc>
          <w:tcPr>
            <w:tcW w:w="8437" w:type="dxa"/>
            <w:shd w:val="clear" w:color="auto" w:fill="auto"/>
            <w:vAlign w:val="center"/>
          </w:tcPr>
          <w:p w14:paraId="0ED55627" w14:textId="168332D0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</w:pPr>
            <w:r w:rsidRPr="00E111E5">
              <w:rPr>
                <w:b/>
                <w:bCs/>
              </w:rPr>
              <w:t>Perkančioji organizacija</w:t>
            </w:r>
            <w:r w:rsidRPr="00E111E5">
              <w:t xml:space="preserve"> – Žemės ūkio agentūra</w:t>
            </w:r>
            <w:r>
              <w:t xml:space="preserve"> prie Žemės ūkio ministerijos</w:t>
            </w:r>
            <w:r w:rsidR="00B91134">
              <w:t xml:space="preserve"> (toliau – ŽŪA)</w:t>
            </w:r>
          </w:p>
        </w:tc>
      </w:tr>
      <w:tr w:rsidR="00E111E5" w:rsidRPr="00C37677" w14:paraId="050E4E27" w14:textId="77777777" w:rsidTr="004B49EE">
        <w:tc>
          <w:tcPr>
            <w:tcW w:w="918" w:type="dxa"/>
            <w:shd w:val="clear" w:color="auto" w:fill="auto"/>
            <w:vAlign w:val="center"/>
          </w:tcPr>
          <w:p w14:paraId="0132143D" w14:textId="77777777" w:rsidR="00E111E5" w:rsidRPr="00E111E5" w:rsidRDefault="00E111E5" w:rsidP="008A1824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left="0" w:right="-5" w:firstLine="0"/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793F1B7C" w14:textId="77777777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</w:pPr>
            <w:r w:rsidRPr="00E111E5">
              <w:rPr>
                <w:b/>
                <w:bCs/>
              </w:rPr>
              <w:t>Paslaugų teikėjas</w:t>
            </w:r>
            <w:r w:rsidRPr="00E111E5">
              <w:t xml:space="preserve"> – kiekvienas ūkio subjektas – fizinis asmuo, privatusis juridinis asmuo, viešasis juridinis asmuo, kitos organizacijos ir jų padaliniai ar tokių asmenų grupė – galintis pasiūlyti ar siūlantis prekes, paslaugas, nuomą ar darbus.</w:t>
            </w:r>
          </w:p>
        </w:tc>
      </w:tr>
      <w:tr w:rsidR="00E111E5" w:rsidRPr="00C37677" w14:paraId="57F27832" w14:textId="77777777" w:rsidTr="004B49EE">
        <w:tc>
          <w:tcPr>
            <w:tcW w:w="918" w:type="dxa"/>
            <w:shd w:val="clear" w:color="auto" w:fill="auto"/>
            <w:vAlign w:val="center"/>
          </w:tcPr>
          <w:p w14:paraId="10D8CE9D" w14:textId="77777777" w:rsidR="00E111E5" w:rsidRPr="00E111E5" w:rsidRDefault="00E111E5" w:rsidP="008A1824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left="0" w:right="-5" w:firstLine="0"/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687B2976" w14:textId="77777777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</w:pPr>
            <w:r w:rsidRPr="00E111E5">
              <w:rPr>
                <w:b/>
                <w:bCs/>
              </w:rPr>
              <w:t>Paslauga</w:t>
            </w:r>
            <w:r w:rsidRPr="00E111E5">
              <w:t xml:space="preserve"> – skyriuje „Pirkimo tikslai“ apibrėžtos apimties paslauga.</w:t>
            </w:r>
          </w:p>
        </w:tc>
      </w:tr>
      <w:tr w:rsidR="00E111E5" w:rsidRPr="00C37677" w14:paraId="2989A486" w14:textId="77777777" w:rsidTr="004B49EE">
        <w:tc>
          <w:tcPr>
            <w:tcW w:w="918" w:type="dxa"/>
            <w:shd w:val="clear" w:color="auto" w:fill="auto"/>
            <w:vAlign w:val="center"/>
          </w:tcPr>
          <w:p w14:paraId="0BF9F853" w14:textId="77777777" w:rsidR="00E111E5" w:rsidRPr="00E111E5" w:rsidRDefault="00E111E5" w:rsidP="008A1824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0FB839AF" w14:textId="77777777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</w:pPr>
            <w:r w:rsidRPr="00E111E5">
              <w:rPr>
                <w:b/>
                <w:bCs/>
              </w:rPr>
              <w:t xml:space="preserve">TVS </w:t>
            </w:r>
            <w:r w:rsidRPr="00E111E5">
              <w:t>– turinio valdymo sistema.</w:t>
            </w:r>
          </w:p>
        </w:tc>
      </w:tr>
      <w:tr w:rsidR="00E111E5" w:rsidRPr="00C37677" w14:paraId="4604E48C" w14:textId="77777777" w:rsidTr="004B49EE">
        <w:tc>
          <w:tcPr>
            <w:tcW w:w="918" w:type="dxa"/>
            <w:shd w:val="clear" w:color="auto" w:fill="auto"/>
            <w:vAlign w:val="center"/>
          </w:tcPr>
          <w:p w14:paraId="20797A21" w14:textId="77777777" w:rsidR="00E111E5" w:rsidRPr="00E111E5" w:rsidRDefault="00E111E5" w:rsidP="008A1824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6F4F0878" w14:textId="77777777" w:rsidR="00E111E5" w:rsidRPr="00E111E5" w:rsidRDefault="00E111E5" w:rsidP="008A1824">
            <w:pPr>
              <w:tabs>
                <w:tab w:val="left" w:pos="567"/>
              </w:tabs>
              <w:suppressAutoHyphens/>
              <w:spacing w:after="0"/>
              <w:jc w:val="both"/>
            </w:pPr>
            <w:bookmarkStart w:id="0" w:name="_Hlk166497957"/>
            <w:r w:rsidRPr="00E111E5">
              <w:rPr>
                <w:b/>
                <w:bCs/>
              </w:rPr>
              <w:t>Internetinės svetainės dizaino šablonas</w:t>
            </w:r>
            <w:r w:rsidRPr="00E111E5">
              <w:t xml:space="preserve"> </w:t>
            </w:r>
            <w:bookmarkEnd w:id="0"/>
            <w:r w:rsidRPr="00E111E5">
              <w:t>- vizualinis svetainės išdėstymo ir struktūros vaizdas, vaizduojantis svetainės funkcionalumą ir naudotojo patirtį.</w:t>
            </w:r>
          </w:p>
        </w:tc>
      </w:tr>
    </w:tbl>
    <w:p w14:paraId="125A196B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3E8A7E34" w14:textId="16C77354" w:rsidR="00E111E5" w:rsidRPr="00E111E5" w:rsidRDefault="00E111E5" w:rsidP="008A182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b/>
          <w:bCs/>
        </w:rPr>
      </w:pPr>
      <w:r w:rsidRPr="00E111E5">
        <w:rPr>
          <w:b/>
          <w:bCs/>
        </w:rPr>
        <w:t>Pirkimo tikslai</w:t>
      </w:r>
    </w:p>
    <w:p w14:paraId="4BF2DD06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63CC6B99" w14:textId="121813D1" w:rsidR="00E111E5" w:rsidRDefault="00E111E5" w:rsidP="008A1824">
      <w:pPr>
        <w:tabs>
          <w:tab w:val="left" w:pos="567"/>
        </w:tabs>
        <w:spacing w:after="0" w:line="240" w:lineRule="auto"/>
      </w:pPr>
      <w:r>
        <w:t>2.1.</w:t>
      </w:r>
      <w:r w:rsidR="008A1824">
        <w:t xml:space="preserve"> </w:t>
      </w:r>
      <w:r>
        <w:t>Šiuo metu agentūra valdo (administruoja) keletą skirtingų funkcionalumų, skirtingų TVS interneto svetain</w:t>
      </w:r>
      <w:r w:rsidR="00B91134">
        <w:t>ių</w:t>
      </w:r>
      <w:r>
        <w:t xml:space="preserve">, kurių priežiūrą vykdo atskiri paslaugų teikėjai. Tai sukuria papildomą administracinę naštą, reikalauja papildomų išteklių kuriant naujus funkcionalumus atskirose svetainėse, reikalauja papildomų įgūdžių jas administruojantiems </w:t>
      </w:r>
      <w:r w:rsidR="00B91134">
        <w:t xml:space="preserve">ŽŪA </w:t>
      </w:r>
      <w:r>
        <w:t xml:space="preserve">specialistams. </w:t>
      </w:r>
    </w:p>
    <w:p w14:paraId="62185633" w14:textId="73645C80" w:rsidR="00E111E5" w:rsidRDefault="00E111E5" w:rsidP="008A1824">
      <w:pPr>
        <w:tabs>
          <w:tab w:val="left" w:pos="567"/>
        </w:tabs>
        <w:spacing w:after="0" w:line="240" w:lineRule="auto"/>
      </w:pPr>
      <w:r>
        <w:t xml:space="preserve">Perkamų paslaugų tikslas – įsigyti </w:t>
      </w:r>
      <w:r w:rsidR="00B91134">
        <w:t>ŽŪA</w:t>
      </w:r>
      <w:r>
        <w:t xml:space="preserve"> interneto svetainių centralizavimo su bendra unifikuota </w:t>
      </w:r>
      <w:r w:rsidR="00B91134">
        <w:t>TVS</w:t>
      </w:r>
      <w:r>
        <w:t xml:space="preserve"> analizės ir projektavimo paslaugas, siekiant ateityje įsigyti unifikuotą turinio valdymo sistemą ir į ją perkelti </w:t>
      </w:r>
      <w:r w:rsidR="00B91134">
        <w:t xml:space="preserve">ŽŪA </w:t>
      </w:r>
      <w:r>
        <w:t>administruojamas svetaines.</w:t>
      </w:r>
    </w:p>
    <w:p w14:paraId="5AAFBD0A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22F412A9" w14:textId="5F656484" w:rsidR="00E111E5" w:rsidRPr="008A1824" w:rsidRDefault="00E111E5" w:rsidP="008A182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b/>
          <w:bCs/>
        </w:rPr>
      </w:pPr>
      <w:r w:rsidRPr="008A1824">
        <w:rPr>
          <w:b/>
          <w:bCs/>
        </w:rPr>
        <w:t>Esama situacija</w:t>
      </w:r>
    </w:p>
    <w:p w14:paraId="12A4EA24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087C91B3" w14:textId="380F3726" w:rsidR="00E111E5" w:rsidRDefault="00E111E5" w:rsidP="008A1824">
      <w:pPr>
        <w:tabs>
          <w:tab w:val="left" w:pos="567"/>
        </w:tabs>
        <w:spacing w:after="0" w:line="240" w:lineRule="auto"/>
      </w:pPr>
      <w:r>
        <w:t>3.1.</w:t>
      </w:r>
      <w:r w:rsidR="008A1824">
        <w:t xml:space="preserve"> </w:t>
      </w:r>
      <w:r>
        <w:t xml:space="preserve">Šiuo metu </w:t>
      </w:r>
      <w:r w:rsidR="00B91134">
        <w:t>ŽŪA</w:t>
      </w:r>
      <w:r>
        <w:t xml:space="preserve"> valdo</w:t>
      </w:r>
      <w:r w:rsidR="00B91134">
        <w:t>/administruoja</w:t>
      </w:r>
      <w:r>
        <w:t xml:space="preserve"> šias interneto svetaines, kurios pasiekiamos adresais:</w:t>
      </w:r>
    </w:p>
    <w:p w14:paraId="2DEE2B43" w14:textId="71C34353" w:rsidR="00E111E5" w:rsidRDefault="00E111E5" w:rsidP="008A1824">
      <w:pPr>
        <w:tabs>
          <w:tab w:val="left" w:pos="567"/>
          <w:tab w:val="left" w:pos="1276"/>
        </w:tabs>
        <w:spacing w:after="0" w:line="240" w:lineRule="auto"/>
        <w:ind w:firstLine="426"/>
      </w:pPr>
      <w:r>
        <w:t>-</w:t>
      </w:r>
      <w:r>
        <w:tab/>
      </w:r>
      <w:hyperlink r:id="rId5" w:history="1">
        <w:r w:rsidRPr="00A36296">
          <w:rPr>
            <w:rStyle w:val="Hyperlink"/>
          </w:rPr>
          <w:t>https://kaimasinamus.lt</w:t>
        </w:r>
      </w:hyperlink>
      <w:r>
        <w:t xml:space="preserve"> </w:t>
      </w:r>
    </w:p>
    <w:p w14:paraId="24FE7BC3" w14:textId="1AE434FA" w:rsidR="00E111E5" w:rsidRDefault="00E111E5" w:rsidP="008A1824">
      <w:pPr>
        <w:tabs>
          <w:tab w:val="left" w:pos="567"/>
          <w:tab w:val="left" w:pos="1276"/>
        </w:tabs>
        <w:spacing w:after="0" w:line="240" w:lineRule="auto"/>
        <w:ind w:firstLine="426"/>
      </w:pPr>
      <w:r>
        <w:t>-</w:t>
      </w:r>
      <w:r>
        <w:tab/>
      </w:r>
      <w:hyperlink r:id="rId6" w:history="1">
        <w:r w:rsidRPr="00A36296">
          <w:rPr>
            <w:rStyle w:val="Hyperlink"/>
          </w:rPr>
          <w:t>https://www.pienasvaisiai.lt</w:t>
        </w:r>
      </w:hyperlink>
      <w:r>
        <w:t xml:space="preserve"> </w:t>
      </w:r>
    </w:p>
    <w:p w14:paraId="51DEBA2F" w14:textId="3DBF61B9" w:rsidR="00E111E5" w:rsidRPr="008A1824" w:rsidRDefault="00E111E5" w:rsidP="008A1824">
      <w:pPr>
        <w:tabs>
          <w:tab w:val="left" w:pos="567"/>
          <w:tab w:val="left" w:pos="1276"/>
        </w:tabs>
        <w:spacing w:after="0" w:line="240" w:lineRule="auto"/>
        <w:ind w:firstLine="426"/>
        <w:rPr>
          <w:lang w:val="en-US"/>
        </w:rPr>
      </w:pPr>
      <w:r>
        <w:t>-</w:t>
      </w:r>
      <w:r>
        <w:tab/>
      </w:r>
      <w:hyperlink r:id="rId7" w:history="1">
        <w:r w:rsidRPr="00A36296">
          <w:rPr>
            <w:rStyle w:val="Hyperlink"/>
          </w:rPr>
          <w:t>https://www.tautinispaveldas.lt</w:t>
        </w:r>
      </w:hyperlink>
      <w:r>
        <w:t xml:space="preserve"> </w:t>
      </w:r>
      <w:r w:rsidR="008A1824">
        <w:t xml:space="preserve">(valdys nuo </w:t>
      </w:r>
      <w:r w:rsidR="008A1824">
        <w:rPr>
          <w:lang w:val="en-US"/>
        </w:rPr>
        <w:t>2025-01-</w:t>
      </w:r>
      <w:r w:rsidR="00F871BA">
        <w:rPr>
          <w:lang w:val="en-US"/>
        </w:rPr>
        <w:t>17</w:t>
      </w:r>
      <w:r w:rsidR="008A1824">
        <w:rPr>
          <w:lang w:val="en-US"/>
        </w:rPr>
        <w:t>)</w:t>
      </w:r>
    </w:p>
    <w:p w14:paraId="68998ED0" w14:textId="45A118D2" w:rsidR="00E111E5" w:rsidRDefault="00E111E5" w:rsidP="008A1824">
      <w:pPr>
        <w:tabs>
          <w:tab w:val="left" w:pos="567"/>
        </w:tabs>
        <w:spacing w:after="0" w:line="240" w:lineRule="auto"/>
      </w:pPr>
      <w:r>
        <w:t>3.2.</w:t>
      </w:r>
      <w:r w:rsidR="008A1824">
        <w:t xml:space="preserve"> </w:t>
      </w:r>
      <w:r>
        <w:t xml:space="preserve">Perkančioji organizacija siekia optimizuoti savo veiklos procesus ir kaštus bei centralizuoti šių svetainių administravimą įdiegiant unifikuotą </w:t>
      </w:r>
      <w:r w:rsidR="00B91134">
        <w:t>TVS</w:t>
      </w:r>
      <w:r>
        <w:t xml:space="preserve">. </w:t>
      </w:r>
    </w:p>
    <w:p w14:paraId="2AEE243E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6608B76C" w14:textId="66215443" w:rsidR="00E111E5" w:rsidRPr="008A1824" w:rsidRDefault="00E111E5" w:rsidP="008A182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b/>
          <w:bCs/>
        </w:rPr>
      </w:pPr>
      <w:r w:rsidRPr="008A1824">
        <w:rPr>
          <w:b/>
          <w:bCs/>
        </w:rPr>
        <w:t>Reikalavimai paslaugai</w:t>
      </w:r>
    </w:p>
    <w:p w14:paraId="1C17C474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77719FB8" w14:textId="0CF131FF" w:rsidR="00E111E5" w:rsidRDefault="00E111E5" w:rsidP="008A1824">
      <w:pPr>
        <w:tabs>
          <w:tab w:val="left" w:pos="567"/>
        </w:tabs>
        <w:spacing w:after="0" w:line="240" w:lineRule="auto"/>
      </w:pPr>
      <w:r>
        <w:t>4.1.</w:t>
      </w:r>
      <w:r>
        <w:tab/>
        <w:t xml:space="preserve">Vykdydamas paslaugas paslaugų teikėjas turės nustatyti ir dokumentacijoje apibrėžti šiuos reikalavimus: </w:t>
      </w:r>
    </w:p>
    <w:p w14:paraId="5D094EDA" w14:textId="6DF0D5DC" w:rsidR="00E111E5" w:rsidRDefault="00E111E5" w:rsidP="008A1824">
      <w:pPr>
        <w:tabs>
          <w:tab w:val="left" w:pos="567"/>
        </w:tabs>
        <w:spacing w:after="0" w:line="240" w:lineRule="auto"/>
      </w:pPr>
      <w:r>
        <w:t>4.1.1.</w:t>
      </w:r>
      <w:r w:rsidR="008A1824">
        <w:t xml:space="preserve"> </w:t>
      </w:r>
      <w:r w:rsidR="00B91134">
        <w:t>a</w:t>
      </w:r>
      <w:r>
        <w:t>tlikti esamų svetainių funkcionalumo analizę;</w:t>
      </w:r>
    </w:p>
    <w:p w14:paraId="4922E885" w14:textId="08CAEF30" w:rsidR="00E111E5" w:rsidRDefault="00E111E5" w:rsidP="008A1824">
      <w:pPr>
        <w:tabs>
          <w:tab w:val="left" w:pos="567"/>
        </w:tabs>
        <w:spacing w:after="0" w:line="240" w:lineRule="auto"/>
      </w:pPr>
      <w:r>
        <w:lastRenderedPageBreak/>
        <w:t>4.1.2.</w:t>
      </w:r>
      <w:r w:rsidR="008A1824">
        <w:t xml:space="preserve"> </w:t>
      </w:r>
      <w:r w:rsidR="00B91134">
        <w:t>a</w:t>
      </w:r>
      <w:r>
        <w:t xml:space="preserve">tlikti </w:t>
      </w:r>
      <w:r w:rsidR="00B91134">
        <w:t>ŽŪA</w:t>
      </w:r>
      <w:r>
        <w:t xml:space="preserve"> poreikių analizę centralizuojant svetainių turinio valdymo sistemą ir ją pritaikant </w:t>
      </w:r>
      <w:r w:rsidR="00B91134">
        <w:t xml:space="preserve">ŽŪA </w:t>
      </w:r>
      <w:r>
        <w:t>valdomoms svetainėms ir ateityje galimoms papildomai kuriamoms ir/ar perimamoms valdyti svetainėms;</w:t>
      </w:r>
    </w:p>
    <w:p w14:paraId="5B3F22A9" w14:textId="11A99C90" w:rsidR="00E111E5" w:rsidRDefault="00E111E5" w:rsidP="008A1824">
      <w:pPr>
        <w:tabs>
          <w:tab w:val="left" w:pos="567"/>
        </w:tabs>
        <w:spacing w:after="0" w:line="240" w:lineRule="auto"/>
      </w:pPr>
      <w:r>
        <w:t>4.1.3.</w:t>
      </w:r>
      <w:r w:rsidR="008A1824">
        <w:t xml:space="preserve"> </w:t>
      </w:r>
      <w:r w:rsidR="00B91134">
        <w:t>p</w:t>
      </w:r>
      <w:r>
        <w:t xml:space="preserve">arengti ir su </w:t>
      </w:r>
      <w:r w:rsidR="00B91134">
        <w:t>ŽŪA</w:t>
      </w:r>
      <w:r>
        <w:t xml:space="preserve"> suderinti informacijos architektūrą;</w:t>
      </w:r>
    </w:p>
    <w:p w14:paraId="2021A043" w14:textId="0BEEF06B" w:rsidR="00E111E5" w:rsidRDefault="00E111E5" w:rsidP="008A1824">
      <w:pPr>
        <w:tabs>
          <w:tab w:val="left" w:pos="567"/>
        </w:tabs>
        <w:spacing w:after="0" w:line="240" w:lineRule="auto"/>
      </w:pPr>
      <w:r>
        <w:t>4.1.4.</w:t>
      </w:r>
      <w:r w:rsidR="008A1824">
        <w:t xml:space="preserve"> </w:t>
      </w:r>
      <w:r w:rsidR="00B91134">
        <w:t>p</w:t>
      </w:r>
      <w:r>
        <w:t xml:space="preserve">arengti ir su </w:t>
      </w:r>
      <w:r w:rsidR="00B91134">
        <w:t>ŽŪA</w:t>
      </w:r>
      <w:r>
        <w:t xml:space="preserve"> suderinti funkcinę ir techninę sprendimo architektūrą;</w:t>
      </w:r>
    </w:p>
    <w:p w14:paraId="450DEF46" w14:textId="1B2274AF" w:rsidR="00E111E5" w:rsidRDefault="00E111E5" w:rsidP="008A1824">
      <w:pPr>
        <w:tabs>
          <w:tab w:val="left" w:pos="567"/>
        </w:tabs>
        <w:spacing w:after="0" w:line="240" w:lineRule="auto"/>
      </w:pPr>
      <w:r>
        <w:t>4.1.5.</w:t>
      </w:r>
      <w:r w:rsidR="008A1824">
        <w:t xml:space="preserve"> </w:t>
      </w:r>
      <w:r w:rsidR="00B91134">
        <w:t>p</w:t>
      </w:r>
      <w:r>
        <w:t xml:space="preserve">arengti ir su </w:t>
      </w:r>
      <w:r w:rsidR="00B91134">
        <w:t>ŽŪA</w:t>
      </w:r>
      <w:r>
        <w:t xml:space="preserve"> suderinti projektinę specifikaciją;</w:t>
      </w:r>
    </w:p>
    <w:p w14:paraId="42A12E77" w14:textId="4FE107BB" w:rsidR="00E111E5" w:rsidRDefault="00E111E5" w:rsidP="008A1824">
      <w:pPr>
        <w:tabs>
          <w:tab w:val="left" w:pos="567"/>
        </w:tabs>
        <w:spacing w:after="0" w:line="240" w:lineRule="auto"/>
      </w:pPr>
      <w:r>
        <w:t>4.1.6.</w:t>
      </w:r>
      <w:r w:rsidR="008A1824">
        <w:t xml:space="preserve"> </w:t>
      </w:r>
      <w:r w:rsidR="00B91134">
        <w:t>p</w:t>
      </w:r>
      <w:r>
        <w:t xml:space="preserve">arengti ir su </w:t>
      </w:r>
      <w:r w:rsidR="00B91134">
        <w:t>ŽŪA</w:t>
      </w:r>
      <w:r>
        <w:t xml:space="preserve"> suderinti duomenų migravimo planą; </w:t>
      </w:r>
    </w:p>
    <w:p w14:paraId="3C80637F" w14:textId="254989D1" w:rsidR="00E111E5" w:rsidRDefault="00E111E5" w:rsidP="008A1824">
      <w:pPr>
        <w:tabs>
          <w:tab w:val="left" w:pos="567"/>
        </w:tabs>
        <w:spacing w:after="0" w:line="240" w:lineRule="auto"/>
      </w:pPr>
      <w:r>
        <w:t>4.1.7.</w:t>
      </w:r>
      <w:r w:rsidR="008A1824">
        <w:t xml:space="preserve"> </w:t>
      </w:r>
      <w:r w:rsidR="00B91134">
        <w:t>p</w:t>
      </w:r>
      <w:r>
        <w:t>areng</w:t>
      </w:r>
      <w:r w:rsidR="00B91134">
        <w:t>t</w:t>
      </w:r>
      <w:r>
        <w:t xml:space="preserve">i ir su </w:t>
      </w:r>
      <w:r w:rsidR="00B91134">
        <w:t>ŽŪA</w:t>
      </w:r>
      <w:r>
        <w:t xml:space="preserve"> suderinti projektinių svetainių dizaino šabloną.</w:t>
      </w:r>
    </w:p>
    <w:p w14:paraId="2475D7EE" w14:textId="77777777" w:rsidR="00E111E5" w:rsidRDefault="00E111E5" w:rsidP="008A1824">
      <w:pPr>
        <w:tabs>
          <w:tab w:val="left" w:pos="567"/>
        </w:tabs>
        <w:spacing w:after="0" w:line="240" w:lineRule="auto"/>
      </w:pPr>
    </w:p>
    <w:p w14:paraId="57E9824D" w14:textId="7BCC091B" w:rsidR="00E111E5" w:rsidRPr="008A1824" w:rsidRDefault="00E111E5" w:rsidP="008A182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b/>
          <w:bCs/>
        </w:rPr>
      </w:pPr>
      <w:r w:rsidRPr="008A1824">
        <w:rPr>
          <w:b/>
          <w:bCs/>
        </w:rPr>
        <w:t>Paslaugų suteikimo vieta, terminai</w:t>
      </w:r>
    </w:p>
    <w:p w14:paraId="78433DC7" w14:textId="77777777" w:rsidR="00E111E5" w:rsidRPr="00E111E5" w:rsidRDefault="00E111E5" w:rsidP="008A1824">
      <w:pPr>
        <w:tabs>
          <w:tab w:val="left" w:pos="567"/>
        </w:tabs>
        <w:spacing w:after="0" w:line="240" w:lineRule="auto"/>
        <w:rPr>
          <w:b/>
          <w:bCs/>
        </w:rPr>
      </w:pPr>
    </w:p>
    <w:p w14:paraId="3438B0B2" w14:textId="585FED33" w:rsidR="00E111E5" w:rsidRDefault="00E111E5" w:rsidP="008A1824">
      <w:pPr>
        <w:tabs>
          <w:tab w:val="left" w:pos="567"/>
        </w:tabs>
        <w:spacing w:after="0" w:line="240" w:lineRule="auto"/>
      </w:pPr>
      <w:r>
        <w:t>5.1.</w:t>
      </w:r>
      <w:r w:rsidR="008A1824">
        <w:t xml:space="preserve"> </w:t>
      </w:r>
      <w:r>
        <w:t>Paslaugų suteikimo vieta – Žemės ūkio agentūra prie Žemės ūkio ministerijos, Gedimino pr. 19, 01103 Vilnius</w:t>
      </w:r>
    </w:p>
    <w:p w14:paraId="7DDF65A4" w14:textId="03CFEB3B" w:rsidR="00E111E5" w:rsidRDefault="00E111E5" w:rsidP="008A1824">
      <w:pPr>
        <w:tabs>
          <w:tab w:val="left" w:pos="567"/>
        </w:tabs>
        <w:spacing w:after="0" w:line="240" w:lineRule="auto"/>
      </w:pPr>
      <w:r>
        <w:t>5.2.</w:t>
      </w:r>
      <w:r w:rsidR="008A1824">
        <w:t xml:space="preserve"> </w:t>
      </w:r>
      <w:r>
        <w:t>Techninė</w:t>
      </w:r>
      <w:r w:rsidR="00B91134">
        <w:t>je</w:t>
      </w:r>
      <w:r>
        <w:t xml:space="preserve"> specifikacijo</w:t>
      </w:r>
      <w:r w:rsidR="00B91134">
        <w:t>je</w:t>
      </w:r>
      <w:r>
        <w:t xml:space="preserve">  nurodytos paslaugos turi būti suteiktos bei dokumentacija perduota </w:t>
      </w:r>
      <w:r w:rsidR="00B91134">
        <w:t>ŽŪA</w:t>
      </w:r>
      <w:r>
        <w:t xml:space="preserve"> ne vėliau kaip per 3 mėnesius nuo sutarties įsigaliojimo  datos. </w:t>
      </w:r>
    </w:p>
    <w:p w14:paraId="7E4B41A1" w14:textId="78152320" w:rsidR="00E111E5" w:rsidRDefault="00E111E5" w:rsidP="008A1824">
      <w:pPr>
        <w:tabs>
          <w:tab w:val="left" w:pos="567"/>
        </w:tabs>
        <w:spacing w:after="0" w:line="240" w:lineRule="auto"/>
      </w:pPr>
      <w:r>
        <w:t>5.3.</w:t>
      </w:r>
      <w:r w:rsidR="008A1824">
        <w:t xml:space="preserve"> </w:t>
      </w:r>
      <w:r>
        <w:t xml:space="preserve">Paslaugų teikimo metu turi būti organizuojami darbiniai susitikimai su </w:t>
      </w:r>
      <w:r w:rsidR="00B91134">
        <w:t>ŽŪA darbuotojais</w:t>
      </w:r>
      <w:r>
        <w:t>.</w:t>
      </w:r>
    </w:p>
    <w:p w14:paraId="2821C3D6" w14:textId="12497264" w:rsidR="00E111E5" w:rsidRDefault="00E111E5" w:rsidP="008A1824">
      <w:pPr>
        <w:tabs>
          <w:tab w:val="left" w:pos="567"/>
        </w:tabs>
        <w:spacing w:after="0" w:line="240" w:lineRule="auto"/>
      </w:pPr>
      <w:r>
        <w:t>5.4.</w:t>
      </w:r>
      <w:r w:rsidR="008A1824">
        <w:t xml:space="preserve"> </w:t>
      </w:r>
      <w:r w:rsidR="00B91134">
        <w:t>ŽŪA</w:t>
      </w:r>
      <w:r>
        <w:t xml:space="preserve"> užtikrina, kad pastabos (trūkumai, rekomendacijos) dėl tarpinių versijų</w:t>
      </w:r>
      <w:r w:rsidR="00B91134">
        <w:t xml:space="preserve"> bus</w:t>
      </w:r>
      <w:r>
        <w:t xml:space="preserve"> pateikiamos ne vėliau kaip per 5 darbo dienas. Pastabų pateikimo terminas gali būti koreguojamas Šalių susitarimu.</w:t>
      </w:r>
    </w:p>
    <w:p w14:paraId="3262B672" w14:textId="339B5EEA" w:rsidR="00E111E5" w:rsidRDefault="00E111E5" w:rsidP="008A1824">
      <w:pPr>
        <w:tabs>
          <w:tab w:val="left" w:pos="567"/>
        </w:tabs>
        <w:spacing w:after="0" w:line="240" w:lineRule="auto"/>
      </w:pPr>
      <w:r>
        <w:t>5.5.</w:t>
      </w:r>
      <w:r w:rsidR="008A1824">
        <w:t xml:space="preserve"> </w:t>
      </w:r>
      <w:r>
        <w:t xml:space="preserve">Paslaugų teikėjas turi užtikrinti nenutrūkstamą Paslaugų teikimo sutarties vykdymą ir aktyviai bendradarbiauti su </w:t>
      </w:r>
      <w:r w:rsidR="00B91134">
        <w:t>ŽŪA</w:t>
      </w:r>
      <w:r>
        <w:t xml:space="preserve"> paskirtais darbuotojais: pateikti jiems reikalingą informaciją, inicijuoti, organizuoti ir koordinuoti bendrus susitikimus, operatyviai atsakyti į klausimus žodžiu ir raštu. </w:t>
      </w:r>
    </w:p>
    <w:p w14:paraId="6D2EA8C2" w14:textId="70E2A6F6" w:rsidR="00C86385" w:rsidRDefault="00C86385" w:rsidP="008A1824">
      <w:pPr>
        <w:tabs>
          <w:tab w:val="left" w:pos="567"/>
        </w:tabs>
        <w:spacing w:after="0" w:line="240" w:lineRule="auto"/>
      </w:pPr>
      <w:r>
        <w:t xml:space="preserve">5.6. </w:t>
      </w:r>
      <w:r w:rsidR="008A1824">
        <w:t xml:space="preserve"> </w:t>
      </w:r>
      <w:r>
        <w:t>Pirkimo vertė iki 15 000 eurų be PVM.</w:t>
      </w:r>
    </w:p>
    <w:p w14:paraId="0FFDF4C1" w14:textId="77777777" w:rsidR="00E111E5" w:rsidRDefault="00E111E5" w:rsidP="00E111E5">
      <w:pPr>
        <w:spacing w:after="0" w:line="240" w:lineRule="auto"/>
      </w:pPr>
    </w:p>
    <w:p w14:paraId="3A1F7D1A" w14:textId="77777777" w:rsidR="00BE6D4D" w:rsidRDefault="00BE6D4D" w:rsidP="00E111E5">
      <w:pPr>
        <w:spacing w:after="0" w:line="240" w:lineRule="auto"/>
      </w:pPr>
    </w:p>
    <w:sectPr w:rsidR="00BE6D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715B3"/>
    <w:multiLevelType w:val="hybridMultilevel"/>
    <w:tmpl w:val="D4323FCA"/>
    <w:lvl w:ilvl="0" w:tplc="B7745A3A">
      <w:start w:val="1"/>
      <w:numFmt w:val="decimal"/>
      <w:lvlText w:val="%1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D83"/>
    <w:multiLevelType w:val="hybridMultilevel"/>
    <w:tmpl w:val="3F8AE8E2"/>
    <w:lvl w:ilvl="0" w:tplc="92703E44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" w15:restartNumberingAfterBreak="0">
    <w:nsid w:val="34931A4A"/>
    <w:multiLevelType w:val="hybridMultilevel"/>
    <w:tmpl w:val="29BEC118"/>
    <w:lvl w:ilvl="0" w:tplc="F43428CA">
      <w:start w:val="2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65CA3450"/>
    <w:multiLevelType w:val="hybridMultilevel"/>
    <w:tmpl w:val="FDC28C6C"/>
    <w:lvl w:ilvl="0" w:tplc="52C0F59C">
      <w:start w:val="1"/>
      <w:numFmt w:val="upperRoman"/>
      <w:lvlText w:val="%1."/>
      <w:lvlJc w:val="left"/>
      <w:pPr>
        <w:ind w:left="23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75550959"/>
    <w:multiLevelType w:val="hybridMultilevel"/>
    <w:tmpl w:val="7806082A"/>
    <w:lvl w:ilvl="0" w:tplc="0DC6A0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1066">
    <w:abstractNumId w:val="4"/>
  </w:num>
  <w:num w:numId="2" w16cid:durableId="1222129666">
    <w:abstractNumId w:val="0"/>
  </w:num>
  <w:num w:numId="3" w16cid:durableId="1385372911">
    <w:abstractNumId w:val="3"/>
  </w:num>
  <w:num w:numId="4" w16cid:durableId="80226419">
    <w:abstractNumId w:val="2"/>
  </w:num>
  <w:num w:numId="5" w16cid:durableId="35974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E5"/>
    <w:rsid w:val="000B01CA"/>
    <w:rsid w:val="000C13FE"/>
    <w:rsid w:val="002B1CEE"/>
    <w:rsid w:val="006913A6"/>
    <w:rsid w:val="0086082D"/>
    <w:rsid w:val="008807D7"/>
    <w:rsid w:val="008A1824"/>
    <w:rsid w:val="00A94924"/>
    <w:rsid w:val="00B3563E"/>
    <w:rsid w:val="00B91134"/>
    <w:rsid w:val="00BE6D4D"/>
    <w:rsid w:val="00C17371"/>
    <w:rsid w:val="00C86385"/>
    <w:rsid w:val="00D035A2"/>
    <w:rsid w:val="00E111E5"/>
    <w:rsid w:val="00E85F84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42FA"/>
  <w15:chartTrackingRefBased/>
  <w15:docId w15:val="{A3D2150A-916E-46C8-A9BA-8F85864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utinispaveld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enasvaisiai.lt" TargetMode="External"/><Relationship Id="rId5" Type="http://schemas.openxmlformats.org/officeDocument/2006/relationships/hyperlink" Target="https://kaimasinamu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2344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Balkevičius</dc:creator>
  <cp:lastModifiedBy>Aistė Raudoniūtė</cp:lastModifiedBy>
  <cp:revision>2</cp:revision>
  <dcterms:created xsi:type="dcterms:W3CDTF">2024-11-19T07:21:00Z</dcterms:created>
  <dcterms:modified xsi:type="dcterms:W3CDTF">2024-11-19T07:21:00Z</dcterms:modified>
</cp:coreProperties>
</file>