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17D4EE76"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377E67E0"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E67904">
        <w:rPr>
          <w:color w:val="000000" w:themeColor="text1"/>
          <w:lang w:val="lt-LT"/>
        </w:rPr>
        <w:t>.</w:t>
      </w:r>
    </w:p>
    <w:p w14:paraId="7A3BB489" w14:textId="041CFB50"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bookmarkStart w:id="9" w:name="_GoBack"/>
      <w:bookmarkEnd w:id="9"/>
      <w:r w:rsidR="00513698" w:rsidRPr="00AF3D8E">
        <w:rPr>
          <w:color w:val="000000" w:themeColor="text1"/>
        </w:rPr>
        <w:t>.</w:t>
      </w:r>
    </w:p>
    <w:p w14:paraId="58FE0C78" w14:textId="5B1C05E4" w:rsidR="00D935DF" w:rsidRPr="00E91C55" w:rsidRDefault="006B33F9" w:rsidP="00737677">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737677" w:rsidRPr="00737677">
        <w:rPr>
          <w:rFonts w:ascii="Times New Roman" w:hAnsi="Times New Roman" w:cs="Times New Roman"/>
          <w:color w:val="202124"/>
          <w:sz w:val="24"/>
          <w:szCs w:val="24"/>
          <w:shd w:val="clear" w:color="auto" w:fill="FFFFFF"/>
        </w:rPr>
        <w:t>Divarasibo ir pembrolizumabo derinio gydymas suaugusiems pacientams, sergantiems KRAS G12C mutavusiu, progresavusiu arba metastazavusiu neplokščialąsteliniu nesmulkialąsteliniu plaučių vėžiu (NSLPV)</w:t>
      </w:r>
      <w:r w:rsidR="00AF3D8E" w:rsidRPr="00E91C55">
        <w:rPr>
          <w:rFonts w:ascii="Times New Roman" w:hAnsi="Times New Roman" w:cs="Times New Roman"/>
          <w:color w:val="202124"/>
          <w:sz w:val="24"/>
          <w:szCs w:val="24"/>
          <w:shd w:val="clear" w:color="auto" w:fill="FFFFFF"/>
        </w:rPr>
        <w:t xml:space="preserve">. </w:t>
      </w:r>
    </w:p>
    <w:p w14:paraId="73425FBA" w14:textId="39A99F9E"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737677">
        <w:rPr>
          <w:rFonts w:ascii="Times New Roman" w:hAnsi="Times New Roman" w:cs="Times New Roman"/>
          <w:color w:val="000000" w:themeColor="text1"/>
          <w:sz w:val="24"/>
          <w:szCs w:val="24"/>
        </w:rPr>
        <w:t>1 jungtinį</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lastRenderedPageBreak/>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05CF0E42"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4A220D">
        <w:rPr>
          <w:bCs/>
          <w:color w:val="000000" w:themeColor="text1"/>
          <w:lang w:val="lt-LT"/>
        </w:rPr>
        <w:t>lapkričio 18</w:t>
      </w:r>
      <w:r>
        <w:rPr>
          <w:bCs/>
          <w:color w:val="000000" w:themeColor="text1"/>
          <w:lang w:val="lt-LT"/>
        </w:rPr>
        <w:t xml:space="preserve"> d.</w:t>
      </w:r>
    </w:p>
    <w:p w14:paraId="61180CC1" w14:textId="4CE2FA41"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4A220D">
        <w:rPr>
          <w:bCs/>
          <w:color w:val="000000" w:themeColor="text1"/>
          <w:lang w:val="lt-LT"/>
        </w:rPr>
        <w:t>lapkričio 25</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6A8C4" w14:textId="77777777" w:rsidR="005C52BB" w:rsidRDefault="005C52BB" w:rsidP="009E1786">
      <w:r>
        <w:separator/>
      </w:r>
    </w:p>
  </w:endnote>
  <w:endnote w:type="continuationSeparator" w:id="0">
    <w:p w14:paraId="6BEA34CB" w14:textId="77777777" w:rsidR="005C52BB" w:rsidRDefault="005C52BB"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2CF6F" w14:textId="77777777" w:rsidR="005C52BB" w:rsidRDefault="005C52BB" w:rsidP="009E1786">
      <w:r>
        <w:separator/>
      </w:r>
    </w:p>
  </w:footnote>
  <w:footnote w:type="continuationSeparator" w:id="0">
    <w:p w14:paraId="5E4077E4" w14:textId="77777777" w:rsidR="005C52BB" w:rsidRDefault="005C52BB"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12D3"/>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2FFE"/>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C50B1"/>
    <w:rsid w:val="005C52BB"/>
    <w:rsid w:val="005D1C32"/>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677"/>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8FAC06-18B1-41DE-98D5-E2164C98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4728</Words>
  <Characters>2696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2024-11-07T12:12:00Z</dcterms:created>
  <dcterms:modified xsi:type="dcterms:W3CDTF">2024-11-21T08:12:00Z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