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C3" w:rsidRDefault="00F30B5B">
      <w:pPr>
        <w:spacing w:after="0"/>
        <w:ind w:left="10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94EC3" w:rsidRDefault="00F30B5B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00E75" w:rsidRDefault="00700E75">
      <w:pPr>
        <w:pStyle w:val="Heading1"/>
        <w:numPr>
          <w:ilvl w:val="0"/>
          <w:numId w:val="0"/>
        </w:numPr>
        <w:ind w:right="4"/>
        <w:jc w:val="center"/>
        <w:rPr>
          <w:sz w:val="24"/>
        </w:rPr>
      </w:pPr>
    </w:p>
    <w:p w:rsidR="00700E75" w:rsidRPr="00A30D81" w:rsidRDefault="00700E75" w:rsidP="00700E75">
      <w:pPr>
        <w:suppressAutoHyphens/>
        <w:spacing w:line="276" w:lineRule="auto"/>
        <w:ind w:left="1296" w:firstLine="1296"/>
        <w:rPr>
          <w:rFonts w:ascii="Times New Roman" w:hAnsi="Times New Roman" w:cs="Times New Roman"/>
          <w:sz w:val="24"/>
          <w:szCs w:val="24"/>
          <w:lang w:eastAsia="zh-CN"/>
        </w:rPr>
      </w:pP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2024 m. ......………… d.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viešojo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pirkimo-pardavimo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sutarties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Nr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>. ……</w:t>
      </w:r>
    </w:p>
    <w:p w:rsidR="00700E75" w:rsidRPr="00A30D81" w:rsidRDefault="00700E75" w:rsidP="00700E75">
      <w:pPr>
        <w:suppressAutoHyphens/>
        <w:spacing w:line="276" w:lineRule="auto"/>
        <w:ind w:left="3827" w:firstLine="3949"/>
        <w:rPr>
          <w:rFonts w:ascii="Times New Roman" w:hAnsi="Times New Roman" w:cs="Times New Roman"/>
          <w:sz w:val="24"/>
          <w:szCs w:val="24"/>
          <w:lang w:eastAsia="zh-CN"/>
        </w:rPr>
      </w:pP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priedas</w:t>
      </w:r>
      <w:proofErr w:type="spellEnd"/>
    </w:p>
    <w:p w:rsidR="00700E75" w:rsidRDefault="00700E75" w:rsidP="00700E75">
      <w:pPr>
        <w:spacing w:after="0"/>
        <w:ind w:lef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PASIŪLYMAS</w:t>
      </w:r>
    </w:p>
    <w:p w:rsidR="00700E75" w:rsidRDefault="00700E75" w:rsidP="00700E7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627" w:type="dxa"/>
        <w:tblInd w:w="-709" w:type="dxa"/>
        <w:tblLook w:val="04A0" w:firstRow="1" w:lastRow="0" w:firstColumn="1" w:lastColumn="0" w:noHBand="0" w:noVBand="1"/>
      </w:tblPr>
      <w:tblGrid>
        <w:gridCol w:w="2264"/>
        <w:gridCol w:w="2693"/>
        <w:gridCol w:w="1276"/>
        <w:gridCol w:w="1134"/>
        <w:gridCol w:w="824"/>
        <w:gridCol w:w="228"/>
        <w:gridCol w:w="198"/>
        <w:gridCol w:w="876"/>
        <w:gridCol w:w="1134"/>
      </w:tblGrid>
      <w:tr w:rsidR="00700E75" w:rsidRPr="00305AA8" w:rsidTr="00700E75">
        <w:trPr>
          <w:trHeight w:val="288"/>
        </w:trPr>
        <w:tc>
          <w:tcPr>
            <w:tcW w:w="2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Pavadinimas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Gamintojas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modelis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Kiekis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Mato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vienetas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0E75" w:rsidRPr="00305AA8" w:rsidRDefault="00700E75" w:rsidP="0070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Kaina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be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Eur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Kaina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su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Eur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Suma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be</w:t>
            </w:r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Eur</w:t>
            </w:r>
            <w:proofErr w:type="spellEnd"/>
          </w:p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00E75" w:rsidRPr="00305AA8" w:rsidTr="00700E75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75" w:rsidRPr="00305AA8" w:rsidRDefault="00B87EC8" w:rsidP="000F1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Piramidė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ginklams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E75" w:rsidRPr="00305AA8" w:rsidTr="00700E75">
        <w:trPr>
          <w:trHeight w:val="2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E75" w:rsidRPr="00305AA8" w:rsidRDefault="00B87EC8" w:rsidP="00700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Piramidė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ginklams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0E75" w:rsidRPr="00305AA8" w:rsidRDefault="00B87EC8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Taiklu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TKL-190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E75" w:rsidRPr="00305AA8" w:rsidRDefault="00B87EC8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00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00E75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E75" w:rsidRDefault="00B87EC8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0E75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E75" w:rsidRPr="00305AA8" w:rsidRDefault="00B87EC8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E75" w:rsidRPr="00305AA8" w:rsidRDefault="00B87EC8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8280,00</w:t>
            </w:r>
          </w:p>
        </w:tc>
      </w:tr>
      <w:tr w:rsidR="00700E75" w:rsidRPr="00305AA8" w:rsidTr="00700E75">
        <w:trPr>
          <w:trHeight w:val="288"/>
        </w:trPr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0E75" w:rsidRPr="006E3CEC" w:rsidRDefault="00700E75" w:rsidP="000F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E75" w:rsidRDefault="00B87EC8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1738,80</w:t>
            </w:r>
          </w:p>
        </w:tc>
      </w:tr>
      <w:tr w:rsidR="00700E75" w:rsidRPr="00305AA8" w:rsidTr="00700E75">
        <w:trPr>
          <w:trHeight w:val="288"/>
        </w:trPr>
        <w:tc>
          <w:tcPr>
            <w:tcW w:w="7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0E75" w:rsidRPr="006E3CEC" w:rsidRDefault="00700E75" w:rsidP="000F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E75" w:rsidRPr="00305AA8" w:rsidRDefault="00B87EC8" w:rsidP="000F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10018,80</w:t>
            </w:r>
          </w:p>
        </w:tc>
      </w:tr>
      <w:tr w:rsidR="00700E75" w:rsidRPr="00305AA8" w:rsidTr="00700E75">
        <w:trPr>
          <w:trHeight w:val="288"/>
        </w:trPr>
        <w:tc>
          <w:tcPr>
            <w:tcW w:w="8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0E75" w:rsidRPr="006E3CEC" w:rsidRDefault="00700E75" w:rsidP="00700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uma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E75" w:rsidRPr="00305AA8" w:rsidRDefault="00700E75" w:rsidP="0070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75" w:rsidRPr="00305AA8" w:rsidRDefault="00700E75" w:rsidP="0070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E75" w:rsidRPr="005A303C" w:rsidRDefault="00700E75" w:rsidP="00B8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1</w:t>
            </w:r>
            <w:r w:rsidR="00B87E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0018,80</w:t>
            </w:r>
          </w:p>
        </w:tc>
      </w:tr>
    </w:tbl>
    <w:p w:rsidR="00297B0F" w:rsidRDefault="00297B0F" w:rsidP="00297B0F">
      <w:pPr>
        <w:pStyle w:val="Heading1"/>
        <w:numPr>
          <w:ilvl w:val="0"/>
          <w:numId w:val="0"/>
        </w:numPr>
      </w:pPr>
    </w:p>
    <w:p w:rsidR="00297B0F" w:rsidRPr="00297B0F" w:rsidRDefault="00297B0F" w:rsidP="00297B0F">
      <w:pPr>
        <w:pStyle w:val="Heading1"/>
        <w:numPr>
          <w:ilvl w:val="0"/>
          <w:numId w:val="0"/>
        </w:numPr>
        <w:jc w:val="center"/>
        <w:rPr>
          <w:sz w:val="28"/>
          <w:szCs w:val="28"/>
        </w:rPr>
      </w:pPr>
      <w:r w:rsidRPr="00297B0F">
        <w:rPr>
          <w:sz w:val="28"/>
          <w:szCs w:val="28"/>
        </w:rPr>
        <w:t>SIŪLOMŲ PREKIŲ TECHNINIAI PARAMETRAI</w:t>
      </w:r>
    </w:p>
    <w:p w:rsidR="00297B0F" w:rsidRDefault="00297B0F" w:rsidP="00297B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7B0F" w:rsidRDefault="00297B0F" w:rsidP="00D2714B">
      <w:pPr>
        <w:numPr>
          <w:ilvl w:val="0"/>
          <w:numId w:val="3"/>
        </w:numPr>
        <w:spacing w:after="0" w:line="279" w:lineRule="auto"/>
        <w:ind w:firstLine="81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Tiekėjas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užpildyti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stulpelį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,,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Siūloma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tiekti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prekė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visiškai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atitinka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pirkimo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dokumentuose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nustatytus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techninius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reikalavimus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jos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savybės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tokios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“.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7B0F" w:rsidRDefault="00297B0F" w:rsidP="00D2714B">
      <w:pPr>
        <w:numPr>
          <w:ilvl w:val="0"/>
          <w:numId w:val="3"/>
        </w:numPr>
        <w:spacing w:after="1" w:line="257" w:lineRule="auto"/>
        <w:ind w:firstLine="81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Tiekėjas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teikdamas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pasiūlymą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pirkimui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patvirtina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vykdant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prekių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pirkimo-pardavimo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sutartį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įsigyjamas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objektas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atitiks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Techninėje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specifikacijoje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nustatytus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reikalavimus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bei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žemiau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nurodytus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parametrus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297B0F" w:rsidRDefault="00297B0F" w:rsidP="00297B0F">
      <w:pPr>
        <w:spacing w:after="5"/>
        <w:ind w:left="8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7B0F" w:rsidRDefault="00297B0F" w:rsidP="00297B0F">
      <w:pPr>
        <w:spacing w:after="0" w:line="276" w:lineRule="auto"/>
        <w:ind w:left="122" w:firstLine="811"/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Pildoma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informacija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skiltyje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 „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Metalo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gaminių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bendrieji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reikalavimai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arba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Metalinių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baldų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bendrieji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reikalavimai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informacija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apie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visas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prekes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konkrečiose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pirkimo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dalyse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kurioms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teikiami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pasiūlymai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pirkimui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.)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297B0F" w:rsidRDefault="00297B0F" w:rsidP="00297B0F">
      <w:pPr>
        <w:spacing w:after="0"/>
        <w:ind w:left="85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73" w:type="dxa"/>
        <w:tblInd w:w="-450" w:type="dxa"/>
        <w:tblCellMar>
          <w:top w:w="10" w:type="dxa"/>
          <w:left w:w="108" w:type="dxa"/>
        </w:tblCellMar>
        <w:tblLook w:val="04A0" w:firstRow="1" w:lastRow="0" w:firstColumn="1" w:lastColumn="0" w:noHBand="0" w:noVBand="1"/>
      </w:tblPr>
      <w:tblGrid>
        <w:gridCol w:w="1016"/>
        <w:gridCol w:w="6947"/>
        <w:gridCol w:w="2410"/>
      </w:tblGrid>
      <w:tr w:rsidR="00297B0F" w:rsidTr="00FC6479">
        <w:trPr>
          <w:trHeight w:val="138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97B0F" w:rsidRDefault="00297B0F" w:rsidP="00FC6479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97B0F" w:rsidRDefault="00297B0F" w:rsidP="00FC6479">
            <w:pPr>
              <w:ind w:left="13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97B0F" w:rsidRDefault="00297B0F" w:rsidP="00FC647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97B0F" w:rsidRDefault="00297B0F" w:rsidP="00FC6479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gaminių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bendrieji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dalys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97B0F" w:rsidRDefault="00297B0F" w:rsidP="00FC647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Siūloma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prekė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visiškai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atitinka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97B0F" w:rsidRDefault="00297B0F" w:rsidP="00FC6479">
            <w:pPr>
              <w:spacing w:after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dokumentuose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techninius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reikalavimus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297B0F" w:rsidRDefault="00297B0F" w:rsidP="00FC6479">
            <w:pPr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savybės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tokios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 </w:t>
            </w:r>
          </w:p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97B0F" w:rsidTr="00FC6479">
        <w:trPr>
          <w:trHeight w:val="56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techninėje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specifikacijoje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nenaudoti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97B0F" w:rsidTr="00FC6479">
        <w:trPr>
          <w:trHeight w:val="83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gamyklinėje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laikytinos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perdirbamosiomis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Lietuvos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mokesčio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teršimą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nuostatas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97B0F" w:rsidTr="00FC6479">
        <w:trPr>
          <w:trHeight w:val="59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Visų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nebraižytų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neteptų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grindų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FC6479">
        <w:trPr>
          <w:trHeight w:val="59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Siūlomi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atitiks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aprašymus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eskizus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Paveikslėliai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bendram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vaizdui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susidaryti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jeigu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atskirai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nenurodyta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FC6479">
        <w:trPr>
          <w:trHeight w:val="33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left="58" w:right="1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Aplinkosauginiai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techninėje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specifikacijoje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sąlygų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aprašomiems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nustatomi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vadovaujantis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Kombinuotosios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nomenklatūros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73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skirsniui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priskirtų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aprašymu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atitikts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kuriuos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perkančiosios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perkantieji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subjektai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pirkdamos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paslaugas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tvarkos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“,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patvirtinto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Lietuvos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ministro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2011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birželio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28 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įsakymu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D1-508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vykdant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žaliuosius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pirkimus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tvarkos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patvirtinimo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“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toliau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bent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4.4.4.4.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4.4.4.5.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numatytų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aplinkosauginių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principų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keliuose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visuose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gyvavimo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etapuose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297B0F" w:rsidRDefault="00297B0F" w:rsidP="00297B0F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97B0F" w:rsidRPr="00297B0F" w:rsidRDefault="00297B0F" w:rsidP="00297B0F">
      <w:pPr>
        <w:pStyle w:val="Heading1"/>
        <w:numPr>
          <w:ilvl w:val="0"/>
          <w:numId w:val="4"/>
        </w:numPr>
        <w:ind w:left="240" w:right="2203" w:hanging="240"/>
        <w:jc w:val="right"/>
        <w:rPr>
          <w:sz w:val="28"/>
          <w:szCs w:val="28"/>
        </w:rPr>
      </w:pPr>
      <w:proofErr w:type="spellStart"/>
      <w:proofErr w:type="gramStart"/>
      <w:r w:rsidRPr="00297B0F">
        <w:rPr>
          <w:sz w:val="28"/>
          <w:szCs w:val="28"/>
        </w:rPr>
        <w:t>pirkimo</w:t>
      </w:r>
      <w:proofErr w:type="spellEnd"/>
      <w:proofErr w:type="gramEnd"/>
      <w:r w:rsidRPr="00297B0F">
        <w:rPr>
          <w:sz w:val="28"/>
          <w:szCs w:val="28"/>
        </w:rPr>
        <w:t xml:space="preserve"> </w:t>
      </w:r>
      <w:proofErr w:type="spellStart"/>
      <w:r w:rsidRPr="00297B0F">
        <w:rPr>
          <w:sz w:val="28"/>
          <w:szCs w:val="28"/>
        </w:rPr>
        <w:t>dalis</w:t>
      </w:r>
      <w:proofErr w:type="spellEnd"/>
      <w:r w:rsidRPr="00297B0F">
        <w:rPr>
          <w:sz w:val="28"/>
          <w:szCs w:val="28"/>
        </w:rPr>
        <w:t xml:space="preserve">. </w:t>
      </w:r>
      <w:r w:rsidRPr="00297B0F">
        <w:rPr>
          <w:i/>
          <w:sz w:val="28"/>
          <w:szCs w:val="28"/>
        </w:rPr>
        <w:t>PIRAMIDĖ GINKLAMS</w:t>
      </w:r>
      <w:r w:rsidRPr="00297B0F">
        <w:rPr>
          <w:sz w:val="28"/>
          <w:szCs w:val="28"/>
        </w:rPr>
        <w:t xml:space="preserve"> </w:t>
      </w:r>
    </w:p>
    <w:tbl>
      <w:tblPr>
        <w:tblStyle w:val="TableGrid"/>
        <w:tblW w:w="10420" w:type="dxa"/>
        <w:tblInd w:w="-451" w:type="dxa"/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58"/>
        <w:gridCol w:w="6677"/>
        <w:gridCol w:w="3085"/>
      </w:tblGrid>
      <w:tr w:rsidR="00297B0F" w:rsidTr="00297B0F">
        <w:trPr>
          <w:trHeight w:val="197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97B0F" w:rsidRDefault="00297B0F" w:rsidP="00FC6479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97B0F" w:rsidRDefault="00297B0F" w:rsidP="00FC647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97B0F" w:rsidRDefault="00297B0F" w:rsidP="00FC6479">
            <w:pPr>
              <w:ind w:right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97B0F" w:rsidRDefault="00297B0F" w:rsidP="00FC6479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Siūloma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prekė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visiškai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atitinka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dokumentuose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techninius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97B0F" w:rsidRDefault="00297B0F" w:rsidP="00FC6479">
            <w:pPr>
              <w:spacing w:after="2" w:line="255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reikalavimus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savybės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tokios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:rsidR="00297B0F" w:rsidRDefault="00297B0F" w:rsidP="00FC6479">
            <w:pPr>
              <w:ind w:left="22" w:right="3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reikalaujama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nurodomi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konkretūs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parametrai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97B0F" w:rsidTr="00297B0F">
        <w:trPr>
          <w:trHeight w:val="328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97B0F" w:rsidRDefault="00297B0F" w:rsidP="00FC647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97B0F" w:rsidRDefault="00297B0F" w:rsidP="00D2714B">
            <w:pPr>
              <w:tabs>
                <w:tab w:val="center" w:pos="4658"/>
                <w:tab w:val="center" w:pos="8112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Piramidė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ginklams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rPr>
          <w:trHeight w:val="60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1.1. 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Matmenys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bendras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1410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310 mm.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Leistina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paklaida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± 10 mm.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300 mm.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297B0F" w:rsidTr="00297B0F">
        <w:trPr>
          <w:trHeight w:val="5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1.2. 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keturiolikos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keturiolikos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G-36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įvairių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modifikacijų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pusiau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automatinių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laikymui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60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1.3.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rakinama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specialios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konstrukcijos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neleidžiančiu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užrakintoje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padėtyje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išimti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20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1.4.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pagaminta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lakštinio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plieno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stačiakampio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vamzdžių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plonesnis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 x 25 x 2 mm  (I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vamzdis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vidurinė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plonesnio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 x 25 x 2 mm (I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 x 25 x 2 mm (II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vamzdžio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prispaudimo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laikiklis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gaminamas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plonesnio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 x 25 x 2 mm (I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 x 25 x 2 mm (II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vamzdžio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spacing w:after="14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297B0F" w:rsidRDefault="00297B0F" w:rsidP="00FC647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x 25 x 2 mm (I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97B0F" w:rsidRDefault="00297B0F" w:rsidP="00FC64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x 25 x 2 mm (II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vamzdžio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120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1.5.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apatinei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naudojama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klijuotos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faneros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plokštė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lentyna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Apatinė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reguliuojamo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priklausomai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rūšies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reguliavimo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intervalas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250 mm.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83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1.6.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Apatinėje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14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15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išpjovų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buožėms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atremti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išpjovų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matmenys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bus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45 x 170 mm.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120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1.7.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Apatinės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kilnojamos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priekis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nedideliu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pakeltas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neiškristų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pakėlus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laikantį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Pakėlimo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išmatuojamas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suderinti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120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1.8.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Viršutinė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išpjovomis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plonesnės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klijuotos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faneros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Viršutinė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reguliuojamo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reguliavimo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intervalas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400 mm.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90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1.9.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Virš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uždara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rakinama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uždara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rakinama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šoviniams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166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1.10.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šaltai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valcuoto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lakšto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plonesnio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vertikaliomis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pertvaromis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dalijančiomis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į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vienodų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priemonių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pritvirtinta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varžtais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viršaus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90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1.11.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Priekinėje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ventiliacinės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Ventiliacijos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paėmimas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apatinės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20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1.12.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šaltai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valcuoto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lakšto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plonesnio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storio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vertikaliomis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pertvaromis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dalijančiomis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į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vienodų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šovinių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Priekinėje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ventiliacinės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Ventiliacijos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paėmimas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apatinės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pusės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tvirtinama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varžtais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120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1.13.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galimybė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uždėti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viršutinėje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rankenos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pernešimui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šonuose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dangčio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fiksatoriai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strypai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kilpos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jiems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fiksuoti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grafiškai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nepavaizduota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60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1.14.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dangčio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tvirtinami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plombavimo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plastilinu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įtaisai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60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1.15.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Dėtuvių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tvirtinimo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varžtų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suderins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149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1.16.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uždaro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šonai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nugarinė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uždengta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pritvirtintu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privirintu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tinklu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plonesnis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storesnis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 mm.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Tarpai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tinkle tarp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skylių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dydis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bus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30 x 30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didesni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 x 40 mm.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179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1.17.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spacing w:line="288" w:lineRule="auto"/>
              <w:ind w:right="5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priekis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dviejų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sustiprintos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profiliu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perimetrą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metalinio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 mm.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dydis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30 x 30 mm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 x 40 mm.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Dešiniosios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užrakinamos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mechanine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spyna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297B0F" w:rsidRDefault="00297B0F" w:rsidP="00FC64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Uždarius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dešiniąsias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blokuojamos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kairiosios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90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1.18.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prispaudimo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laikiklio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rėmo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dangčio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durų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tvirtinami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plombavimo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plastilinu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įtaisai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60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1.19.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saugojimo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dėžės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tvirtinimo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varžtai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įrengti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antrose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kraštų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vietose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90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1.20.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5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stovo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apačioje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pritvirtintos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stabilumą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garantuojančios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kojelės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grindų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braižymo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97B0F" w:rsidTr="00297B0F">
        <w:tblPrEx>
          <w:tblCellMar>
            <w:top w:w="14" w:type="dxa"/>
            <w:left w:w="108" w:type="dxa"/>
          </w:tblCellMar>
        </w:tblPrEx>
        <w:trPr>
          <w:trHeight w:val="31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r>
              <w:rPr>
                <w:rFonts w:ascii="Times New Roman" w:eastAsia="Times New Roman" w:hAnsi="Times New Roman" w:cs="Times New Roman"/>
                <w:b/>
              </w:rPr>
              <w:t xml:space="preserve">1.21.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Ginklų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piramidės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spalva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artima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RAL 6003.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0F" w:rsidRDefault="00297B0F" w:rsidP="00FC6479">
            <w:pPr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297B0F" w:rsidRDefault="00297B0F" w:rsidP="00297B0F"/>
    <w:p w:rsidR="00297B0F" w:rsidRPr="00297B0F" w:rsidRDefault="00297B0F" w:rsidP="00297B0F">
      <w:r>
        <w:rPr>
          <w:rFonts w:ascii="Times New Roman" w:eastAsia="Times New Roman" w:hAnsi="Times New Roman" w:cs="Times New Roman"/>
          <w:sz w:val="24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</w:rPr>
        <w:t>kiti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techninės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specifikacijos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reikalavimai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pateikti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Sutarties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</w:rPr>
        <w:t>priede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sectPr w:rsidR="00297B0F" w:rsidRPr="00297B0F">
      <w:pgSz w:w="12240" w:h="15840"/>
      <w:pgMar w:top="1706" w:right="572" w:bottom="116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183E"/>
    <w:multiLevelType w:val="hybridMultilevel"/>
    <w:tmpl w:val="627CA696"/>
    <w:lvl w:ilvl="0" w:tplc="6D34D38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2AC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8C61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26E1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AD0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C10F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8AFC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060D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76B8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15A03"/>
    <w:multiLevelType w:val="hybridMultilevel"/>
    <w:tmpl w:val="FB68851A"/>
    <w:lvl w:ilvl="0" w:tplc="BE6CD1E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0CDC86">
      <w:start w:val="1"/>
      <w:numFmt w:val="lowerLetter"/>
      <w:lvlText w:val="%2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4C9EF0">
      <w:start w:val="1"/>
      <w:numFmt w:val="lowerRoman"/>
      <w:lvlText w:val="%3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1C6E60">
      <w:start w:val="1"/>
      <w:numFmt w:val="decimal"/>
      <w:lvlText w:val="%4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B8AE9E">
      <w:start w:val="1"/>
      <w:numFmt w:val="lowerLetter"/>
      <w:lvlText w:val="%5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4802454">
      <w:start w:val="1"/>
      <w:numFmt w:val="lowerRoman"/>
      <w:lvlText w:val="%6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9AB146">
      <w:start w:val="1"/>
      <w:numFmt w:val="decimal"/>
      <w:lvlText w:val="%7"/>
      <w:lvlJc w:val="left"/>
      <w:pPr>
        <w:ind w:left="6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4ED864">
      <w:start w:val="1"/>
      <w:numFmt w:val="lowerLetter"/>
      <w:lvlText w:val="%8"/>
      <w:lvlJc w:val="left"/>
      <w:pPr>
        <w:ind w:left="7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2DE1542">
      <w:start w:val="1"/>
      <w:numFmt w:val="lowerRoman"/>
      <w:lvlText w:val="%9"/>
      <w:lvlJc w:val="left"/>
      <w:pPr>
        <w:ind w:left="8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675255"/>
    <w:multiLevelType w:val="hybridMultilevel"/>
    <w:tmpl w:val="7C4036EE"/>
    <w:lvl w:ilvl="0" w:tplc="CD140E3C">
      <w:start w:val="3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DA4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A4B7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A32A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8C5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94C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47478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421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7B012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3F0FD9"/>
    <w:multiLevelType w:val="hybridMultilevel"/>
    <w:tmpl w:val="47FCFB80"/>
    <w:lvl w:ilvl="0" w:tplc="1B584608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C10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099C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C38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C388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AB5A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AACA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A78D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C842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C3"/>
    <w:rsid w:val="000940A7"/>
    <w:rsid w:val="00297B0F"/>
    <w:rsid w:val="005C1203"/>
    <w:rsid w:val="005D7F6F"/>
    <w:rsid w:val="00700E75"/>
    <w:rsid w:val="0079031F"/>
    <w:rsid w:val="00994EC3"/>
    <w:rsid w:val="00B87EC8"/>
    <w:rsid w:val="00C65B41"/>
    <w:rsid w:val="00D2714B"/>
    <w:rsid w:val="00E11C60"/>
    <w:rsid w:val="00F3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6030-90CA-49E5-8440-D9C484AE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2933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- 2_Pirkimo_salygu_priedo_priedlis_Sikloms_prekis_techniniai_parametrai</vt:lpstr>
    </vt:vector>
  </TitlesOfParts>
  <Company>ITT prie KAM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- 2_Pirkimo_salygu_priedo_priedlis_Sikloms_prekis_techniniai_parametrai</dc:title>
  <dc:subject/>
  <dc:creator>Lukas Statkus</dc:creator>
  <cp:keywords/>
  <cp:lastModifiedBy>Windows User</cp:lastModifiedBy>
  <cp:revision>6</cp:revision>
  <dcterms:created xsi:type="dcterms:W3CDTF">2024-11-21T06:53:00Z</dcterms:created>
  <dcterms:modified xsi:type="dcterms:W3CDTF">2024-11-21T08:20:00Z</dcterms:modified>
</cp:coreProperties>
</file>