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 xml:space="preserve">VIEŠŲJŲ 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PIRKIM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 xml:space="preserve">Ų 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en-US"/>
        </w:rPr>
        <w:t>PLANAVIMO, REGISTRAVIMO IR VALDYMO PROGRAMIN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ĖS Į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RANGOS LICENCIJ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Ų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en-US"/>
        </w:rPr>
        <w:t xml:space="preserve"> PIRKIMO-PARDAVIMO SUTARTIS 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  <w:lang w:val="fr-FR"/>
        </w:rPr>
        <w:t>NR.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en-US"/>
        </w:rPr>
        <w:t xml:space="preserve"> _______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 w:cs="Times New Roman"/>
          <w:sz w:val="24"/>
          <w:szCs w:val="24"/>
          <w:u w:val="none" w:color="000000"/>
        </w:rPr>
      </w:pPr>
      <w:r>
        <w:rPr>
          <w:rFonts w:cs="Times New Roman" w:ascii="Arial" w:hAnsi="Arial"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202_ m.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 xml:space="preserve">__________ </w:t>
      </w:r>
      <w:r>
        <w:rPr>
          <w:rFonts w:cs="Times New Roman" w:ascii="Arial" w:hAnsi="Arial"/>
          <w:sz w:val="24"/>
          <w:szCs w:val="24"/>
          <w:u w:val="none" w:color="000000"/>
        </w:rPr>
        <w:t>d.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  <w:t>Prienai</w:t>
      </w:r>
    </w:p>
    <w:p>
      <w:pPr>
        <w:pStyle w:val="Body"/>
        <w:tabs>
          <w:tab w:val="left" w:pos="540" w:leader="none"/>
          <w:tab w:val="left" w:pos="72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600"/>
        <w:jc w:val="both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Prienų rajono savivaldybės administracija</w:t>
      </w:r>
      <w:r>
        <w:rPr>
          <w:rFonts w:ascii="Arial" w:hAnsi="Arial"/>
          <w:color w:val="000000"/>
          <w:sz w:val="24"/>
          <w:szCs w:val="24"/>
        </w:rPr>
        <w:t xml:space="preserve"> (toliau – Pirkėjas), atstovaujama direktorės Jūratės </w:t>
      </w:r>
      <w:r>
        <w:rPr>
          <w:rFonts w:ascii="Arial" w:hAnsi="Arial"/>
          <w:color w:val="000000"/>
          <w:sz w:val="24"/>
          <w:szCs w:val="24"/>
        </w:rPr>
        <w:t>Mickevičienės</w:t>
      </w:r>
      <w:r>
        <w:rPr>
          <w:rFonts w:ascii="Arial" w:hAnsi="Arial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veikiančios </w:t>
      </w:r>
      <w:r>
        <w:rPr>
          <w:rFonts w:ascii="Arial" w:hAnsi="Arial"/>
          <w:sz w:val="24"/>
          <w:szCs w:val="24"/>
        </w:rPr>
        <w:t xml:space="preserve">pagal </w:t>
      </w:r>
      <w:r>
        <w:rPr>
          <w:rFonts w:ascii="Arial" w:hAnsi="Arial"/>
          <w:sz w:val="24"/>
          <w:szCs w:val="24"/>
        </w:rPr>
        <w:t xml:space="preserve">įstaigos </w:t>
      </w:r>
      <w:r>
        <w:rPr>
          <w:rFonts w:ascii="Arial" w:hAnsi="Arial"/>
          <w:sz w:val="24"/>
          <w:szCs w:val="24"/>
        </w:rPr>
        <w:t>nuostatus</w:t>
      </w:r>
    </w:p>
    <w:p>
      <w:pPr>
        <w:pStyle w:val="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Ir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color w:val="000000"/>
          <w:sz w:val="24"/>
          <w:szCs w:val="24"/>
          <w:u w:val="none" w:color="000000"/>
          <w:lang w:val="es-ES_tradnl"/>
        </w:rPr>
        <w:t>UAB Ecocost</w:t>
      </w:r>
      <w:r>
        <w:rPr>
          <w:rFonts w:cs="Times New Roman" w:ascii="Arial" w:hAnsi="Arial"/>
          <w:color w:val="000000"/>
          <w:sz w:val="24"/>
          <w:szCs w:val="24"/>
          <w:u w:val="none" w:color="000000"/>
          <w:lang w:val="es-ES_tradnl"/>
        </w:rPr>
        <w:t xml:space="preserve"> (toliau – Pardavėjas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), atstovaujama direktoriaus Karolio Šerpyčio, veikiančio pagal įmonės įstatus</w:t>
      </w:r>
      <w:r>
        <w:rPr>
          <w:rFonts w:cs="Times New Roman" w:ascii="Arial" w:hAnsi="Arial"/>
          <w:color w:val="000000"/>
          <w:sz w:val="24"/>
          <w:szCs w:val="24"/>
          <w:u w:val="none" w:color="000000"/>
          <w:lang w:val="es-ES_tradnl"/>
        </w:rPr>
        <w:t xml:space="preserve">, toliau bendrai vadinamos šalimis, o atskirai šalimi, 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sudarė šią sutartį, toliau vadinamą 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Sutartimi, ir susitar</w:t>
      </w:r>
      <w:r>
        <w:rPr>
          <w:rFonts w:cs="Times New Roman" w:ascii="Arial" w:hAnsi="Arial"/>
          <w:sz w:val="24"/>
          <w:szCs w:val="24"/>
          <w:u w:val="none" w:color="000000"/>
        </w:rPr>
        <w:t>ė dėl toliau išvardintų sąlygų: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 w:eastAsia="Times New Roman" w:cs="Times New Roman"/>
          <w:i/>
          <w:i/>
          <w:i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i/>
          <w:iCs/>
          <w:sz w:val="24"/>
          <w:szCs w:val="24"/>
          <w:u w:val="none" w:color="000000"/>
        </w:rPr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hanging="0" w:lef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 xml:space="preserve">I. SUTARTIES DALYKAS 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hanging="0" w:left="0"/>
        <w:jc w:val="center"/>
        <w:outlineLvl w:val="0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1. Sutarties dalykas yra programinės į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rangos licencij</w:t>
      </w:r>
      <w:r>
        <w:rPr>
          <w:rFonts w:cs="Times New Roman" w:ascii="Arial" w:hAnsi="Arial"/>
          <w:sz w:val="24"/>
          <w:szCs w:val="24"/>
          <w:u w:val="none" w:color="000000"/>
        </w:rPr>
        <w:t>os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, kurios suteikia teis</w:t>
      </w:r>
      <w:r>
        <w:rPr>
          <w:rFonts w:cs="Times New Roman" w:ascii="Arial" w:hAnsi="Arial"/>
          <w:sz w:val="24"/>
          <w:szCs w:val="24"/>
          <w:u w:val="none" w:color="000000"/>
        </w:rPr>
        <w:t>ę naudotis viešųjų pirkimų planavimo, registravimo ir valdymo programine į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 xml:space="preserve">ranga (toliau bendrai 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– Prekės arba Programinė įranga), kurių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technin</w:t>
      </w:r>
      <w:r>
        <w:rPr>
          <w:rFonts w:cs="Times New Roman" w:ascii="Arial" w:hAnsi="Arial"/>
          <w:sz w:val="24"/>
          <w:szCs w:val="24"/>
          <w:u w:val="none" w:color="000000"/>
        </w:rPr>
        <w:t>ė specifikacija pateikta Sutarties priede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Nr 1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</w:t>
      </w:r>
    </w:p>
    <w:p>
      <w:pPr>
        <w:pStyle w:val="Body"/>
        <w:keepNext w:val="true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 w:left="0"/>
        <w:jc w:val="both"/>
        <w:outlineLvl w:val="1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Body"/>
        <w:keepNext w:val="true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 w:left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II. KAINODARA IR ATSISKAITYMO TVARKA</w:t>
      </w:r>
    </w:p>
    <w:p>
      <w:pPr>
        <w:pStyle w:val="Body"/>
        <w:keepNext w:val="true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 w:left="0"/>
        <w:jc w:val="both"/>
        <w:outlineLvl w:val="1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Body"/>
        <w:keepNext w:val="true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 w:left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2. Sutarties kaina </w:t>
      </w:r>
      <w:r>
        <w:rPr>
          <w:rFonts w:cs="Times New Roman" w:ascii="Arial" w:hAnsi="Arial"/>
          <w:sz w:val="24"/>
          <w:szCs w:val="24"/>
          <w:u w:val="none" w:color="000000"/>
        </w:rPr>
        <w:t>10400</w:t>
      </w:r>
      <w:r>
        <w:rPr>
          <w:rFonts w:cs="Times New Roman" w:ascii="Arial" w:hAnsi="Arial"/>
          <w:i/>
          <w:iCs/>
          <w:sz w:val="24"/>
          <w:szCs w:val="24"/>
          <w:u w:val="none" w:color="000000"/>
          <w:lang w:val="en-US"/>
        </w:rPr>
        <w:t xml:space="preserve"> </w:t>
      </w:r>
      <w:r>
        <w:rPr>
          <w:rFonts w:cs="Times New Roman" w:ascii="Arial" w:hAnsi="Arial"/>
          <w:i/>
          <w:iCs/>
          <w:sz w:val="24"/>
          <w:szCs w:val="24"/>
          <w:u w:val="none" w:color="000000"/>
          <w:lang w:val="de-DE"/>
        </w:rPr>
        <w:t>EUR (</w:t>
      </w:r>
      <w:r>
        <w:rPr>
          <w:rFonts w:cs="Times New Roman" w:ascii="Arial" w:hAnsi="Arial"/>
          <w:i/>
          <w:iCs/>
          <w:sz w:val="24"/>
          <w:szCs w:val="24"/>
          <w:u w:val="none" w:color="000000"/>
          <w:lang w:val="de-DE"/>
        </w:rPr>
        <w:t>dešimt tūkstančių keturi šmtai eurų)</w:t>
      </w:r>
      <w:r>
        <w:rPr>
          <w:rFonts w:cs="Times New Roman" w:ascii="Arial" w:hAnsi="Arial"/>
          <w:i/>
          <w:iCs/>
          <w:sz w:val="24"/>
          <w:szCs w:val="24"/>
          <w:u w:val="none" w:color="000000"/>
          <w:lang w:val="es-ES_tradnl"/>
        </w:rPr>
        <w:t xml:space="preserve"> </w:t>
      </w:r>
      <w:r>
        <w:rPr>
          <w:rFonts w:cs="Times New Roman" w:ascii="Arial" w:hAnsi="Arial"/>
          <w:i/>
          <w:iCs/>
          <w:sz w:val="24"/>
          <w:szCs w:val="24"/>
          <w:u w:val="none" w:color="000000"/>
        </w:rPr>
        <w:t>be pridėtinės vertės mokesčio (toliau - PVM)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, </w:t>
      </w:r>
      <w:r>
        <w:rPr>
          <w:rFonts w:cs="Times New Roman" w:ascii="Arial" w:hAnsi="Arial"/>
          <w:i/>
          <w:iCs/>
          <w:sz w:val="24"/>
          <w:szCs w:val="24"/>
          <w:u w:val="none" w:color="000000"/>
        </w:rPr>
        <w:t xml:space="preserve">kaina su PVM yra </w:t>
      </w:r>
      <w:r>
        <w:rPr>
          <w:rFonts w:cs="Times New Roman" w:ascii="Arial" w:hAnsi="Arial"/>
          <w:b/>
          <w:bCs/>
          <w:i/>
          <w:iCs/>
          <w:sz w:val="24"/>
          <w:szCs w:val="24"/>
          <w:u w:val="none" w:color="000000"/>
        </w:rPr>
        <w:t>12584 Eur</w:t>
      </w:r>
      <w:r>
        <w:rPr>
          <w:rFonts w:cs="Times New Roman" w:ascii="Arial" w:hAnsi="Arial"/>
          <w:i/>
          <w:iCs/>
          <w:sz w:val="24"/>
          <w:szCs w:val="24"/>
          <w:u w:val="none" w:color="000000"/>
        </w:rPr>
        <w:t xml:space="preserve"> </w:t>
      </w:r>
      <w:r>
        <w:rPr>
          <w:rFonts w:cs="Times New Roman" w:ascii="Arial" w:hAnsi="Arial"/>
          <w:i/>
          <w:iCs/>
          <w:sz w:val="24"/>
          <w:szCs w:val="24"/>
          <w:u w:val="none" w:color="000000"/>
        </w:rPr>
        <w:t>(</w:t>
      </w:r>
      <w:r>
        <w:rPr>
          <w:rFonts w:cs="Times New Roman" w:ascii="Arial" w:hAnsi="Arial"/>
          <w:i/>
          <w:iCs/>
          <w:sz w:val="24"/>
          <w:szCs w:val="24"/>
          <w:u w:val="none" w:color="000000"/>
        </w:rPr>
        <w:t>dvylika tūkstančių penki šimtai aštuoniasdešimt keturi eurai)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 xml:space="preserve">, </w:t>
      </w:r>
      <w:r>
        <w:rPr>
          <w:rFonts w:cs="Times New Roman" w:ascii="Arial" w:hAnsi="Arial"/>
          <w:sz w:val="24"/>
          <w:szCs w:val="24"/>
          <w:u w:val="none" w:color="000000"/>
        </w:rPr>
        <w:t>į kurią įeina visi mokesčiai ir visos kitos su sutarties vykdymu susijusios Pardavė</w:t>
      </w:r>
      <w:r>
        <w:rPr>
          <w:rFonts w:cs="Times New Roman" w:ascii="Arial" w:hAnsi="Arial"/>
          <w:sz w:val="24"/>
          <w:szCs w:val="24"/>
          <w:u w:val="none" w:color="000000"/>
          <w:lang w:val="da-DK"/>
        </w:rPr>
        <w:t>jo i</w:t>
      </w:r>
      <w:r>
        <w:rPr>
          <w:rFonts w:cs="Times New Roman" w:ascii="Arial" w:hAnsi="Arial"/>
          <w:sz w:val="24"/>
          <w:szCs w:val="24"/>
          <w:u w:val="none" w:color="000000"/>
        </w:rPr>
        <w:t>š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 xml:space="preserve">laidos. </w:t>
      </w:r>
    </w:p>
    <w:p>
      <w:pPr>
        <w:pStyle w:val="Body"/>
        <w:keepNext w:val="true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 w:left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3. Sutarties galiojimo metu Sutarties kaina nekeič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iama.</w:t>
      </w:r>
    </w:p>
    <w:p>
      <w:pPr>
        <w:pStyle w:val="Body"/>
        <w:keepNext w:val="true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 w:left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4. Pirkė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jas u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ž Prekes atsiskaito per 30 (trisdešimt) kalendorinių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dien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ų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nuo prekių perdavimo bei PVM s</w:t>
      </w:r>
      <w:r>
        <w:rPr>
          <w:rFonts w:cs="Times New Roman" w:ascii="Arial" w:hAnsi="Arial"/>
          <w:sz w:val="24"/>
          <w:szCs w:val="24"/>
          <w:u w:val="none" w:color="000000"/>
        </w:rPr>
        <w:t>ąskaitos-faktū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ros per SABIS informacinę sistema gavimo dienos, pervesdamas l</w:t>
      </w:r>
      <w:r>
        <w:rPr>
          <w:rFonts w:cs="Times New Roman" w:ascii="Arial" w:hAnsi="Arial"/>
          <w:sz w:val="24"/>
          <w:szCs w:val="24"/>
          <w:u w:val="none" w:color="000000"/>
        </w:rPr>
        <w:t>ėš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 xml:space="preserve">as 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į Sutartyje nurodytą Pardavėjo banko sąskaitą. 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hanging="0" w:left="0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III. ŠALIŲ Į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SIPAREIGOJIMAI</w:t>
      </w:r>
    </w:p>
    <w:p>
      <w:pPr>
        <w:pStyle w:val="Body"/>
        <w:numPr>
          <w:ilvl w:val="0"/>
          <w:numId w:val="0"/>
        </w:numPr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hanging="0" w:left="0"/>
        <w:jc w:val="center"/>
        <w:outlineLvl w:val="0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5. Pardavė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 xml:space="preserve">jas </w:t>
      </w:r>
      <w:r>
        <w:rPr>
          <w:rFonts w:cs="Times New Roman" w:ascii="Arial" w:hAnsi="Arial"/>
          <w:sz w:val="24"/>
          <w:szCs w:val="24"/>
          <w:u w:val="none" w:color="000000"/>
        </w:rPr>
        <w:t>įsipareigoja: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5.1. Pirkėjo nurodytus reikalavimus atitinkanč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 xml:space="preserve">ias </w:t>
      </w:r>
      <w:r>
        <w:rPr>
          <w:rFonts w:cs="Times New Roman" w:ascii="Arial" w:hAnsi="Arial"/>
          <w:b/>
          <w:i/>
          <w:sz w:val="24"/>
          <w:szCs w:val="24"/>
          <w:u w:val="none" w:color="000000"/>
          <w:lang w:val="en-US"/>
        </w:rPr>
        <w:t>prekes įdiegti per vieną mėnesį</w:t>
      </w:r>
      <w:r>
        <w:rPr>
          <w:rFonts w:cs="Times New Roman" w:ascii="Arial" w:hAnsi="Arial"/>
          <w:b/>
          <w:i/>
          <w:sz w:val="24"/>
          <w:szCs w:val="24"/>
          <w:u w:val="none" w:color="000000"/>
        </w:rPr>
        <w:t xml:space="preserve"> nuo sutarties sudarymo.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5.2. užtikrinti, kad kartu su perduodama programine įranga bus perduotos jos veikimui užtikrinti būtinų trečiųjų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asmen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ų programinių produktų 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licencijos ir atsakyti u</w:t>
      </w:r>
      <w:r>
        <w:rPr>
          <w:rFonts w:cs="Times New Roman" w:ascii="Arial" w:hAnsi="Arial"/>
          <w:sz w:val="24"/>
          <w:szCs w:val="24"/>
          <w:u w:val="none" w:color="000000"/>
        </w:rPr>
        <w:t>ž tai, kad perduodama programinė įranga nepaž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eid</w:t>
      </w:r>
      <w:r>
        <w:rPr>
          <w:rFonts w:cs="Times New Roman" w:ascii="Arial" w:hAnsi="Arial"/>
          <w:sz w:val="24"/>
          <w:szCs w:val="24"/>
          <w:u w:val="none" w:color="000000"/>
        </w:rPr>
        <w:t>ž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ia tre</w:t>
      </w:r>
      <w:r>
        <w:rPr>
          <w:rFonts w:cs="Times New Roman" w:ascii="Arial" w:hAnsi="Arial"/>
          <w:sz w:val="24"/>
          <w:szCs w:val="24"/>
          <w:u w:val="none" w:color="000000"/>
        </w:rPr>
        <w:t>čiųjų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asmen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ų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patentini</w:t>
      </w:r>
      <w:r>
        <w:rPr>
          <w:rFonts w:cs="Times New Roman" w:ascii="Arial" w:hAnsi="Arial"/>
          <w:sz w:val="24"/>
          <w:szCs w:val="24"/>
          <w:u w:val="none" w:color="000000"/>
        </w:rPr>
        <w:t>ų, pramoninių, autorių ar kitų intelektinės nuosavybės teisių ir kad perkančioji organizacija nepatirs jokių teisinių išlaidų ar nuostolių dėl reikalavimų arba įpareigojimų, susijusių su intelektinės nuosavybės teisė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 xml:space="preserve">mis 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į 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>sutarties dalyk</w:t>
      </w:r>
      <w:r>
        <w:rPr>
          <w:rFonts w:cs="Times New Roman" w:ascii="Arial" w:hAnsi="Arial"/>
          <w:sz w:val="24"/>
          <w:szCs w:val="24"/>
          <w:u w:val="none" w:color="000000"/>
        </w:rPr>
        <w:t>ą, išskyrus atvejus, kai toks paž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eidimas atsiranda d</w:t>
      </w:r>
      <w:r>
        <w:rPr>
          <w:rFonts w:cs="Times New Roman" w:ascii="Arial" w:hAnsi="Arial"/>
          <w:sz w:val="24"/>
          <w:szCs w:val="24"/>
          <w:u w:val="none" w:color="000000"/>
        </w:rPr>
        <w:t>ėl Pirkėjos kaltė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s;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5.3. kartu su Programine įranga pateikti Pirkėjui visą būtiną dokumentaciją;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5.4. apmokyti Pirkėjo darbuotojus ir teikti konsultacijas Programinės įrangos naudojimo metu;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5.5. Prekių 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perdavim</w:t>
      </w:r>
      <w:r>
        <w:rPr>
          <w:rFonts w:cs="Times New Roman" w:ascii="Arial" w:hAnsi="Arial"/>
          <w:sz w:val="24"/>
          <w:szCs w:val="24"/>
          <w:u w:val="none" w:color="000000"/>
        </w:rPr>
        <w:t>ą į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forminti perdavimo-pri</w:t>
      </w:r>
      <w:r>
        <w:rPr>
          <w:rFonts w:cs="Times New Roman" w:ascii="Arial" w:hAnsi="Arial"/>
          <w:sz w:val="24"/>
          <w:szCs w:val="24"/>
          <w:u w:val="none" w:color="000000"/>
        </w:rPr>
        <w:t>ėmimo aktu;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5.6. gavus Pirkė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jo prane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šimą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apie Prekių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trūkumus (įskaitant ir paslėptus) pakeisti jas į kokybiš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>kas ne v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liau kaip per 5 (penkias) darbo dienas nuo prane</w:t>
      </w:r>
      <w:r>
        <w:rPr>
          <w:rFonts w:cs="Times New Roman" w:ascii="Arial" w:hAnsi="Arial"/>
          <w:sz w:val="24"/>
          <w:szCs w:val="24"/>
          <w:u w:val="none" w:color="000000"/>
        </w:rPr>
        <w:t>š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imo apie tr</w:t>
      </w:r>
      <w:r>
        <w:rPr>
          <w:rFonts w:cs="Times New Roman" w:ascii="Arial" w:hAnsi="Arial"/>
          <w:sz w:val="24"/>
          <w:szCs w:val="24"/>
          <w:u w:val="none" w:color="000000"/>
        </w:rPr>
        <w:t>ū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kumus gavimo dienos;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5.7. sutarties galiojimo laiku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neatlygintinai atlikti programin</w:t>
      </w:r>
      <w:r>
        <w:rPr>
          <w:rFonts w:cs="Times New Roman" w:ascii="Arial" w:hAnsi="Arial"/>
          <w:sz w:val="24"/>
          <w:szCs w:val="24"/>
          <w:u w:val="none" w:color="000000"/>
        </w:rPr>
        <w:t>ės į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 xml:space="preserve">rangos pataisymus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 xml:space="preserve">ir </w:t>
      </w:r>
      <w:r>
        <w:rPr>
          <w:rFonts w:cs="Times New Roman" w:ascii="Arial" w:hAnsi="Arial"/>
          <w:sz w:val="24"/>
          <w:szCs w:val="24"/>
          <w:u w:val="none" w:color="000000"/>
        </w:rPr>
        <w:t>atnaujinimus, kai tokie bus Pardavėjo sukurti ir iš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 xml:space="preserve">leisti.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Šia sutartimi nesuteikiama teisė Pirkėjui koreguoti programinės įrangos turinio, kadangi pardavėjas pasilieka išimtinę teisę atlikti programinės įrangos pakeitimus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5.8. užtikrinti iš Pirkėjo Sutarties vykdymo metu gautos ar sukurtos ir su Sutarties vykdymu susijusios informacijos konfidencialumą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bei apsaug</w:t>
      </w:r>
      <w:r>
        <w:rPr>
          <w:rFonts w:cs="Times New Roman" w:ascii="Arial" w:hAnsi="Arial"/>
          <w:sz w:val="24"/>
          <w:szCs w:val="24"/>
          <w:u w:val="none" w:color="000000"/>
        </w:rPr>
        <w:t>ą.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6. Pirkė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 xml:space="preserve">jas </w:t>
      </w:r>
      <w:r>
        <w:rPr>
          <w:rFonts w:cs="Times New Roman" w:ascii="Arial" w:hAnsi="Arial"/>
          <w:sz w:val="24"/>
          <w:szCs w:val="24"/>
          <w:u w:val="none" w:color="000000"/>
        </w:rPr>
        <w:t>įsipareigoja: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 xml:space="preserve">6.1. priimti pirkimo dokumentuose numatytus reikalavimus atitinkančias Prekes, pasirašant 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perdavimo-pri</w:t>
      </w:r>
      <w:r>
        <w:rPr>
          <w:rFonts w:cs="Times New Roman" w:ascii="Arial" w:hAnsi="Arial"/>
          <w:sz w:val="24"/>
          <w:szCs w:val="24"/>
          <w:u w:val="none" w:color="000000"/>
        </w:rPr>
        <w:t>ėmimo aktus;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6.2. sumokėti už Prekes Sutartyje nustatyta tvarka;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6.3. užtikrinti, kad naudos programinę įrangą pagal jos įprastą paskirtį;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6.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4</w:t>
      </w:r>
      <w:r>
        <w:rPr>
          <w:rFonts w:cs="Times New Roman" w:ascii="Arial" w:hAnsi="Arial"/>
          <w:sz w:val="24"/>
          <w:szCs w:val="24"/>
          <w:u w:val="none" w:color="000000"/>
        </w:rPr>
        <w:t>. programinės įrangos naudojimo metu priiminėti sprendimus vadovautis Lietuvos Respublikos viešųjų pirkimų įstatymu ir kitais viešuosius pirkimus reglamentuojančiais teisės aktais;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6.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5</w:t>
      </w:r>
      <w:r>
        <w:rPr>
          <w:rFonts w:cs="Times New Roman" w:ascii="Arial" w:hAnsi="Arial"/>
          <w:sz w:val="24"/>
          <w:szCs w:val="24"/>
          <w:u w:val="none" w:color="000000"/>
        </w:rPr>
        <w:t>. nustačius bet kokius Prekių trūkumus (įskaitant ir paslė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ptus tr</w:t>
      </w:r>
      <w:r>
        <w:rPr>
          <w:rFonts w:cs="Times New Roman" w:ascii="Arial" w:hAnsi="Arial"/>
          <w:sz w:val="24"/>
          <w:szCs w:val="24"/>
          <w:u w:val="none" w:color="000000"/>
        </w:rPr>
        <w:t>ūkumus), ne vė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liau kaip per 2 (dvi) darbo dienas prane</w:t>
      </w:r>
      <w:r>
        <w:rPr>
          <w:rFonts w:cs="Times New Roman" w:ascii="Arial" w:hAnsi="Arial"/>
          <w:sz w:val="24"/>
          <w:szCs w:val="24"/>
          <w:u w:val="none" w:color="000000"/>
        </w:rPr>
        <w:t>šti apie tai Pardavėjui.</w:t>
      </w:r>
    </w:p>
    <w:p>
      <w:pPr>
        <w:pStyle w:val="Body"/>
        <w:tabs>
          <w:tab w:val="left" w:pos="72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IV. ŠALIŲ ATSAKOMYBĖ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748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7. Pardavėjas Sutartyje nustatyta tvarka neperdavęs Prekių ir neįvykdęs kitų įsipareigojimų, moka Pirkėjui 0,02 (dvi š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imtosios) procentodelspinigiusnuobendrosSutartieskainos u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ž kiekvieną pradelstą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dien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ą. </w:t>
      </w:r>
    </w:p>
    <w:p>
      <w:pPr>
        <w:pStyle w:val="Body"/>
        <w:tabs>
          <w:tab w:val="left" w:pos="72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8. Pirkėjas Sutartyje nustatyta tvarka neatsiskaitęs už Prekes, Pardavėjui pareikalavus, moka 0,02 (dvi š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imtosios) procentodelspinigiusnuonesumok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tos sumos u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ž kiekvieną pradelstą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dien</w:t>
      </w:r>
      <w:r>
        <w:rPr>
          <w:rFonts w:cs="Times New Roman" w:ascii="Arial" w:hAnsi="Arial"/>
          <w:sz w:val="24"/>
          <w:szCs w:val="24"/>
          <w:u w:val="none" w:color="000000"/>
        </w:rPr>
        <w:t>ą, išskyrus atvejus, kada vėluojama dėl nesavalaikio Pirkėjo finansavimo.</w:t>
      </w:r>
    </w:p>
    <w:p>
      <w:pPr>
        <w:pStyle w:val="Body"/>
        <w:tabs>
          <w:tab w:val="clear" w:pos="720"/>
          <w:tab w:val="left" w:pos="1134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4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9. Kiekviena Sutarties Šalis privalo atlyginti kitai Š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aliai patirtusnuostolius d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l Sutarties ne</w:t>
      </w:r>
      <w:r>
        <w:rPr>
          <w:rFonts w:cs="Times New Roman" w:ascii="Arial" w:hAnsi="Arial"/>
          <w:sz w:val="24"/>
          <w:szCs w:val="24"/>
          <w:u w:val="none" w:color="000000"/>
        </w:rPr>
        <w:t>įvykdymo ar netinkamo vykdymo.</w:t>
      </w:r>
    </w:p>
    <w:p>
      <w:pPr>
        <w:pStyle w:val="Body"/>
        <w:tabs>
          <w:tab w:val="clear" w:pos="720"/>
          <w:tab w:val="left" w:pos="1134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4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  <w:lang w:val="en-US"/>
        </w:rPr>
        <w:t xml:space="preserve">10. </w:t>
      </w:r>
      <w:r>
        <w:rPr>
          <w:rFonts w:cs="Times New Roman" w:ascii="Arial" w:hAnsi="Arial"/>
          <w:sz w:val="24"/>
          <w:szCs w:val="24"/>
          <w:u w:val="none" w:color="000000"/>
        </w:rPr>
        <w:t>Pardavėjo atsakomybė Pirkėjui apribojama suma, kuri lygi kainai, kurią Pardavė</w:t>
      </w:r>
      <w:r>
        <w:rPr>
          <w:rFonts w:cs="Times New Roman" w:ascii="Arial" w:hAnsi="Arial"/>
          <w:sz w:val="24"/>
          <w:szCs w:val="24"/>
          <w:u w:val="none" w:color="000000"/>
          <w:lang w:val="nl-NL"/>
        </w:rPr>
        <w:t>jas gavo i</w:t>
      </w:r>
      <w:r>
        <w:rPr>
          <w:rFonts w:cs="Times New Roman" w:ascii="Arial" w:hAnsi="Arial"/>
          <w:sz w:val="24"/>
          <w:szCs w:val="24"/>
          <w:u w:val="none" w:color="000000"/>
        </w:rPr>
        <w:t>š Pirkė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 xml:space="preserve">jo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pagal Sutart</w:t>
      </w:r>
      <w:r>
        <w:rPr>
          <w:rFonts w:cs="Times New Roman" w:ascii="Arial" w:hAnsi="Arial"/>
          <w:sz w:val="24"/>
          <w:szCs w:val="24"/>
          <w:u w:val="none" w:color="000000"/>
        </w:rPr>
        <w:t>į, išskyrus tuos atvejus, kada žala padaryta dė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l Pardav</w:t>
      </w:r>
      <w:r>
        <w:rPr>
          <w:rFonts w:cs="Times New Roman" w:ascii="Arial" w:hAnsi="Arial"/>
          <w:sz w:val="24"/>
          <w:szCs w:val="24"/>
          <w:u w:val="none" w:color="000000"/>
        </w:rPr>
        <w:t>ėjo tyč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ios arba didelione atsargumo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Pardavėjas neatsako už žalą kilusią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d</w:t>
      </w:r>
      <w:r>
        <w:rPr>
          <w:rFonts w:cs="Times New Roman" w:ascii="Arial" w:hAnsi="Arial"/>
          <w:sz w:val="24"/>
          <w:szCs w:val="24"/>
          <w:u w:val="none" w:color="000000"/>
        </w:rPr>
        <w:t>ėl Pirkėjo priimtų sprendimų remiantis programinėje įrangoje pateiktais duomenimis.</w:t>
      </w:r>
    </w:p>
    <w:p>
      <w:pPr>
        <w:pStyle w:val="Body"/>
        <w:tabs>
          <w:tab w:val="clear" w:pos="720"/>
          <w:tab w:val="left" w:pos="1134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4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1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Netesybų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(baud</w:t>
      </w:r>
      <w:r>
        <w:rPr>
          <w:rFonts w:cs="Times New Roman" w:ascii="Arial" w:hAnsi="Arial"/>
          <w:sz w:val="24"/>
          <w:szCs w:val="24"/>
          <w:u w:val="none" w:color="000000"/>
        </w:rPr>
        <w:t>ų</w:t>
      </w:r>
      <w:r>
        <w:rPr>
          <w:rFonts w:cs="Times New Roman" w:ascii="Arial" w:hAnsi="Arial"/>
          <w:sz w:val="24"/>
          <w:szCs w:val="24"/>
          <w:u w:val="none" w:color="000000"/>
          <w:lang w:val="nl-NL"/>
        </w:rPr>
        <w:t>, delspinigi</w:t>
      </w:r>
      <w:r>
        <w:rPr>
          <w:rFonts w:cs="Times New Roman" w:ascii="Arial" w:hAnsi="Arial"/>
          <w:sz w:val="24"/>
          <w:szCs w:val="24"/>
          <w:u w:val="none" w:color="000000"/>
        </w:rPr>
        <w:t>ų) mokė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jimas neatleid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žia Šalių nuo įsipareigojimų vykdymo pagal Sutartį. 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  <w:tab/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V. NENUGALIMOS J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GOS APLINKYB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ĖS (</w:t>
      </w:r>
      <w:r>
        <w:rPr>
          <w:rFonts w:cs="Times New Roman" w:ascii="Arial" w:hAnsi="Arial"/>
          <w:b/>
          <w:bCs/>
          <w:i/>
          <w:iCs/>
          <w:sz w:val="24"/>
          <w:szCs w:val="24"/>
          <w:u w:val="none" w:color="000000"/>
        </w:rPr>
        <w:t>FORCE MAJEURE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)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. Nenugalimos j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gos aplinkyb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mis laikomos aplinkyb</w:t>
      </w:r>
      <w:r>
        <w:rPr>
          <w:rFonts w:cs="Times New Roman" w:ascii="Arial" w:hAnsi="Arial"/>
          <w:sz w:val="24"/>
          <w:szCs w:val="24"/>
          <w:u w:val="none" w:color="000000"/>
        </w:rPr>
        <w:t>ės, nurodytos Lietuvos Respublikos civilinio kodekso 6.212 str. ir Atleidimo nuo atsakomybė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s esant nenugalimos j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 xml:space="preserve">gos </w:t>
      </w:r>
      <w:r>
        <w:rPr>
          <w:rFonts w:cs="Times New Roman" w:ascii="Arial" w:hAnsi="Arial"/>
          <w:i/>
          <w:iCs/>
          <w:sz w:val="24"/>
          <w:szCs w:val="24"/>
          <w:u w:val="none" w:color="000000"/>
          <w:lang w:val="fr-FR"/>
        </w:rPr>
        <w:t>(force majeure)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aplinkybėms taisyklė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se, patvirtintose Lietuvos Respublikos Vyriausyb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>s 1996</w:t>
      </w:r>
      <w:r>
        <w:rPr>
          <w:rFonts w:cs="Times New Roman" w:ascii="Arial" w:hAnsi="Arial"/>
          <w:sz w:val="24"/>
          <w:szCs w:val="24"/>
          <w:u w:val="none" w:color="000000"/>
        </w:rPr>
        <w:t> </w:t>
      </w:r>
      <w:r>
        <w:rPr>
          <w:rFonts w:cs="Times New Roman" w:ascii="Arial" w:hAnsi="Arial"/>
          <w:sz w:val="24"/>
          <w:szCs w:val="24"/>
          <w:u w:val="none" w:color="000000"/>
          <w:lang w:val="nl-NL"/>
        </w:rPr>
        <w:t>m. liepos 15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 d. nutarimu Nr. 840. 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3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. Nustatydamos nenugalimos j</w:t>
      </w:r>
      <w:r>
        <w:rPr>
          <w:rFonts w:cs="Times New Roman" w:ascii="Arial" w:hAnsi="Arial"/>
          <w:sz w:val="24"/>
          <w:szCs w:val="24"/>
          <w:u w:val="none" w:color="000000"/>
        </w:rPr>
        <w:t>ėgos aplinkybes, Šalys vadovaujasi Lietuvos Respublikos Vyriausybės 1997 m. kovo 13 d. nutarimu Nr. 222 „Dė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l nenugalimos j</w:t>
      </w:r>
      <w:r>
        <w:rPr>
          <w:rFonts w:cs="Times New Roman" w:ascii="Arial" w:hAnsi="Arial"/>
          <w:sz w:val="24"/>
          <w:szCs w:val="24"/>
          <w:u w:val="none" w:color="000000"/>
        </w:rPr>
        <w:t>ė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gos</w:t>
      </w:r>
      <w:r>
        <w:rPr>
          <w:rFonts w:cs="Times New Roman" w:ascii="Arial" w:hAnsi="Arial"/>
          <w:i/>
          <w:iCs/>
          <w:sz w:val="24"/>
          <w:szCs w:val="24"/>
          <w:u w:val="none" w:color="000000"/>
          <w:lang w:val="fr-FR"/>
        </w:rPr>
        <w:t>(force majeure)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aplinkybes liudijančių pažymų išdavimo tvarkos patvirtinimo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“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VI. SUTARTIES GALIOJIMAS IR NUTRAUKIMAS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left" w:pos="72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4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 xml:space="preserve">. Sutartis </w:t>
      </w:r>
      <w:r>
        <w:rPr>
          <w:rFonts w:cs="Times New Roman" w:ascii="Arial" w:hAnsi="Arial"/>
          <w:sz w:val="24"/>
          <w:szCs w:val="24"/>
          <w:u w:val="none" w:color="000000"/>
        </w:rPr>
        <w:t>įsigalioja ją pasiraš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 xml:space="preserve">ius abiems </w:t>
      </w:r>
      <w:r>
        <w:rPr>
          <w:rFonts w:cs="Times New Roman" w:ascii="Arial" w:hAnsi="Arial"/>
          <w:sz w:val="24"/>
          <w:szCs w:val="24"/>
          <w:u w:val="none" w:color="000000"/>
        </w:rPr>
        <w:t>Š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 xml:space="preserve">alims. Taip pat </w:t>
      </w:r>
      <w:r>
        <w:rPr>
          <w:rFonts w:cs="Times New Roman" w:ascii="Arial" w:hAnsi="Arial"/>
          <w:sz w:val="24"/>
          <w:szCs w:val="24"/>
          <w:u w:val="none" w:color="000000"/>
        </w:rPr>
        <w:t>į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forminami ir Sutarties papildymai, pakeitimai bei Sutarties priedai.</w:t>
      </w:r>
    </w:p>
    <w:p>
      <w:pPr>
        <w:pStyle w:val="Body"/>
        <w:tabs>
          <w:tab w:val="left" w:pos="720" w:leader="none"/>
          <w:tab w:val="left" w:pos="90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  <w:tab/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5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Sutartis galioja 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36 mėn.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nuo sutarties pasirašymo dienos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arba Sutarties nutraukimo šioje Sutartyje arba teisės aktuose nustatyta tvarka.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6</w:t>
      </w:r>
      <w:r>
        <w:rPr>
          <w:rFonts w:cs="Times New Roman" w:ascii="Arial" w:hAnsi="Arial"/>
          <w:sz w:val="24"/>
          <w:szCs w:val="24"/>
          <w:u w:val="none" w:color="000000"/>
        </w:rPr>
        <w:t>. Sutartis gali būti nutraukta raštišku sutarties Šalių susitarimu arba Š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>alies viena</w:t>
      </w:r>
      <w:r>
        <w:rPr>
          <w:rFonts w:cs="Times New Roman" w:ascii="Arial" w:hAnsi="Arial"/>
          <w:sz w:val="24"/>
          <w:szCs w:val="24"/>
          <w:u w:val="none" w:color="000000"/>
        </w:rPr>
        <w:t>šališkai, Lietuvos Respublikos civilinio kodekso nustatyta tvarka.</w:t>
      </w:r>
    </w:p>
    <w:p>
      <w:pPr>
        <w:pStyle w:val="Body"/>
        <w:tabs>
          <w:tab w:val="left" w:pos="180" w:leader="none"/>
          <w:tab w:val="left" w:pos="72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7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. Kiekviena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Šalis turi teisę, įspėjusi apie tai kitą Šalį raštu ne vėliau kaip prieš 10 (dešimt) kalendorinių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dien</w:t>
      </w:r>
      <w:r>
        <w:rPr>
          <w:rFonts w:cs="Times New Roman" w:ascii="Arial" w:hAnsi="Arial"/>
          <w:sz w:val="24"/>
          <w:szCs w:val="24"/>
          <w:u w:val="none" w:color="000000"/>
        </w:rPr>
        <w:t>ų, nutraukti Sutartį, jei kita Š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alis padaro esmin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į 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>Sutarties pa</w:t>
      </w:r>
      <w:r>
        <w:rPr>
          <w:rFonts w:cs="Times New Roman" w:ascii="Arial" w:hAnsi="Arial"/>
          <w:sz w:val="24"/>
          <w:szCs w:val="24"/>
          <w:u w:val="none" w:color="000000"/>
        </w:rPr>
        <w:t>ž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eidim</w:t>
      </w:r>
      <w:r>
        <w:rPr>
          <w:rFonts w:cs="Times New Roman" w:ascii="Arial" w:hAnsi="Arial"/>
          <w:sz w:val="24"/>
          <w:szCs w:val="24"/>
          <w:u w:val="none" w:color="000000"/>
        </w:rPr>
        <w:t>ą.</w:t>
      </w:r>
    </w:p>
    <w:p>
      <w:pPr>
        <w:pStyle w:val="Body"/>
        <w:tabs>
          <w:tab w:val="left" w:pos="72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8</w:t>
      </w:r>
      <w:r>
        <w:rPr>
          <w:rFonts w:cs="Times New Roman" w:ascii="Arial" w:hAnsi="Arial"/>
          <w:sz w:val="24"/>
          <w:szCs w:val="24"/>
          <w:u w:val="none" w:color="000000"/>
        </w:rPr>
        <w:t>. Nustatant, ar Sutarties pažeidimas yra esminis, vadovaujamasi Lietuvos Respublikos civilinio kodekso 6.217 straipsnio 2 dalies nuostatomis.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1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9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Sutarties nutraukimas neatleidžia šalių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nuosutartini</w:t>
      </w:r>
      <w:r>
        <w:rPr>
          <w:rFonts w:cs="Times New Roman" w:ascii="Arial" w:hAnsi="Arial"/>
          <w:sz w:val="24"/>
          <w:szCs w:val="24"/>
          <w:u w:val="none" w:color="000000"/>
        </w:rPr>
        <w:t>ų įsipareigojimų, atsiradusių iki sutarties nutraukimo, įvykdymo.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 xml:space="preserve">VII. KITOS SĄLYGOS 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09"/>
        <w:jc w:val="center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180" w:leader="none"/>
          <w:tab w:val="left" w:pos="360" w:leader="none"/>
          <w:tab w:val="left" w:pos="108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  <w:lang w:val="en-US"/>
        </w:rPr>
        <w:t>20. Sutarties s</w:t>
      </w:r>
      <w:r>
        <w:rPr>
          <w:rFonts w:cs="Times New Roman" w:ascii="Arial" w:hAnsi="Arial"/>
          <w:sz w:val="24"/>
          <w:szCs w:val="24"/>
          <w:u w:val="none" w:color="000000"/>
        </w:rPr>
        <w:t>ą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lygos Sutarties galiojimo laikotarpiu gali b</w:t>
      </w:r>
      <w:r>
        <w:rPr>
          <w:rFonts w:cs="Times New Roman" w:ascii="Arial" w:hAnsi="Arial"/>
          <w:sz w:val="24"/>
          <w:szCs w:val="24"/>
          <w:u w:val="none" w:color="000000"/>
        </w:rPr>
        <w:t>ūti keič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iamos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Viešųjų pirkimų įstatymo 89 str. numatyta tvarka.</w:t>
      </w:r>
    </w:p>
    <w:p>
      <w:pPr>
        <w:pStyle w:val="Body"/>
        <w:tabs>
          <w:tab w:val="clear" w:pos="720"/>
          <w:tab w:val="left" w:pos="180" w:leader="none"/>
          <w:tab w:val="left" w:pos="360" w:leader="none"/>
          <w:tab w:val="left" w:pos="108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1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Šalys laiko paslaptyje savo kontrahento darbo veiklos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principus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 xml:space="preserve"> ir metodus, kuriuos su</w:t>
      </w:r>
      <w:r>
        <w:rPr>
          <w:rFonts w:cs="Times New Roman" w:ascii="Arial" w:hAnsi="Arial"/>
          <w:sz w:val="24"/>
          <w:szCs w:val="24"/>
          <w:u w:val="none" w:color="000000"/>
        </w:rPr>
        <w:t>žinojo vykdydamos šią Sutartį, išskyrus atvejus, kai ši informacija yra vieša arba gali bū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 xml:space="preserve">ti atskleista 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įstatymų 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numatytais atvejais.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2</w:t>
      </w:r>
      <w:r>
        <w:rPr>
          <w:rFonts w:cs="Times New Roman" w:ascii="Arial" w:hAnsi="Arial"/>
          <w:sz w:val="24"/>
          <w:szCs w:val="24"/>
          <w:u w:val="none" w:color="000000"/>
        </w:rPr>
        <w:t>. Bet kokie nesutarimai ar ginčai, kylantys tarp Šalių dė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l Sutarties ar susij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ę su ja yra sprendžiami Šalių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 xml:space="preserve">derybomis, o </w:t>
      </w:r>
      <w:r>
        <w:rPr>
          <w:rFonts w:cs="Times New Roman" w:ascii="Arial" w:hAnsi="Arial"/>
          <w:sz w:val="24"/>
          <w:szCs w:val="24"/>
          <w:u w:val="none" w:color="000000"/>
        </w:rPr>
        <w:t>Šalims nepavykus susitarti, sprendžiami Lietuvos Respublikos teismuose.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3</w:t>
      </w:r>
      <w:r>
        <w:rPr>
          <w:rFonts w:cs="Times New Roman" w:ascii="Arial" w:hAnsi="Arial"/>
          <w:sz w:val="24"/>
          <w:szCs w:val="24"/>
          <w:u w:val="none" w:color="000000"/>
        </w:rPr>
        <w:t>. Bet kokie pranešimai ar kita, su Sutarties vykdymu susijusi informacija, laikomi galiojanč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iais, jeigu yra pateikti oficialiai ra</w:t>
      </w:r>
      <w:r>
        <w:rPr>
          <w:rFonts w:cs="Times New Roman" w:ascii="Arial" w:hAnsi="Arial"/>
          <w:sz w:val="24"/>
          <w:szCs w:val="24"/>
          <w:u w:val="none" w:color="000000"/>
        </w:rPr>
        <w:t>štu kitai Š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aliai ir gautas jos patvirtinimas apie gavim</w:t>
      </w:r>
      <w:r>
        <w:rPr>
          <w:rFonts w:cs="Times New Roman" w:ascii="Arial" w:hAnsi="Arial"/>
          <w:sz w:val="24"/>
          <w:szCs w:val="24"/>
          <w:u w:val="none" w:color="000000"/>
        </w:rPr>
        <w:t>ą arba išsių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sti registruotu pa</w:t>
      </w:r>
      <w:r>
        <w:rPr>
          <w:rFonts w:cs="Times New Roman" w:ascii="Arial" w:hAnsi="Arial"/>
          <w:sz w:val="24"/>
          <w:szCs w:val="24"/>
          <w:u w:val="none" w:color="000000"/>
        </w:rPr>
        <w:t>štu, faksu, ž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emiau nurodytaisadresais bei telefono, faksonumeriais, arbakitaisadresais ir numeriais, kuriuosnurod</w:t>
      </w:r>
      <w:r>
        <w:rPr>
          <w:rFonts w:cs="Times New Roman" w:ascii="Arial" w:hAnsi="Arial"/>
          <w:sz w:val="24"/>
          <w:szCs w:val="24"/>
          <w:u w:val="none" w:color="000000"/>
        </w:rPr>
        <w:t>ė Šalis, pateikdama pranešimą.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4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. Nė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 xml:space="preserve">viena </w:t>
      </w:r>
      <w:r>
        <w:rPr>
          <w:rFonts w:cs="Times New Roman" w:ascii="Arial" w:hAnsi="Arial"/>
          <w:sz w:val="24"/>
          <w:szCs w:val="24"/>
          <w:u w:val="none" w:color="000000"/>
        </w:rPr>
        <w:t>Š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alis be i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šankstinio raštiško kitos Šalies sutikimo neturi teisės perleisti visų 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>arbadaliessavoteisi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ų </w:t>
      </w:r>
      <w:r>
        <w:rPr>
          <w:rFonts w:cs="Times New Roman" w:ascii="Arial" w:hAnsi="Arial"/>
          <w:sz w:val="24"/>
          <w:szCs w:val="24"/>
          <w:u w:val="none" w:color="000000"/>
          <w:lang w:val="fr-FR"/>
        </w:rPr>
        <w:t>irpareig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ų </w:t>
      </w:r>
      <w:r>
        <w:rPr>
          <w:rFonts w:cs="Times New Roman" w:ascii="Arial" w:hAnsi="Arial"/>
          <w:sz w:val="24"/>
          <w:szCs w:val="24"/>
          <w:u w:val="none" w:color="000000"/>
          <w:lang w:val="pt-PT"/>
        </w:rPr>
        <w:t>pagalSutart</w:t>
      </w:r>
      <w:r>
        <w:rPr>
          <w:rFonts w:cs="Times New Roman" w:ascii="Arial" w:hAnsi="Arial"/>
          <w:sz w:val="24"/>
          <w:szCs w:val="24"/>
          <w:u w:val="none" w:color="000000"/>
        </w:rPr>
        <w:t>į trečiajai š</w:t>
      </w:r>
      <w:r>
        <w:rPr>
          <w:rFonts w:cs="Times New Roman" w:ascii="Arial" w:hAnsi="Arial"/>
          <w:sz w:val="24"/>
          <w:szCs w:val="24"/>
          <w:u w:val="none" w:color="000000"/>
          <w:lang w:val="it-IT"/>
        </w:rPr>
        <w:t xml:space="preserve">aliai. </w:t>
      </w:r>
    </w:p>
    <w:p>
      <w:pPr>
        <w:pStyle w:val="Body"/>
        <w:tabs>
          <w:tab w:val="left" w:pos="720" w:leader="none"/>
          <w:tab w:val="left" w:pos="108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32" w:leader="none"/>
        </w:tabs>
        <w:spacing w:lineRule="auto" w:line="24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5</w:t>
      </w:r>
      <w:r>
        <w:rPr>
          <w:rFonts w:cs="Times New Roman" w:ascii="Arial" w:hAnsi="Arial"/>
          <w:sz w:val="24"/>
          <w:szCs w:val="24"/>
          <w:u w:val="none" w:color="000000"/>
        </w:rPr>
        <w:t>. Asmenys, atsakingi už Sutarties vykdymą: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5</w:t>
      </w:r>
      <w:r>
        <w:rPr>
          <w:rFonts w:cs="Times New Roman" w:ascii="Arial" w:hAnsi="Arial"/>
          <w:sz w:val="24"/>
          <w:szCs w:val="24"/>
          <w:u w:val="none" w:color="000000"/>
        </w:rPr>
        <w:t>.1. Pirkė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 xml:space="preserve">jo 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atstovas: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 Linutė Mikušauskienė, Statybos ir ekonominės plėtros skyriaus vyriausioji specialistė, tel. 8 319 61 121, el. p. </w:t>
      </w:r>
      <w:hyperlink r:id="rId2">
        <w:r>
          <w:rPr>
            <w:rStyle w:val="Hyperlink"/>
            <w:rFonts w:cs="Times New Roman" w:ascii="Arial" w:hAnsi="Arial"/>
            <w:sz w:val="24"/>
            <w:szCs w:val="24"/>
            <w:u w:val="none" w:color="000000"/>
          </w:rPr>
          <w:t>linute.mikusaukiene</w:t>
        </w:r>
        <w:r>
          <w:rPr>
            <w:rStyle w:val="Hyperlink"/>
            <w:rFonts w:cs="Times New Roman" w:ascii="Arial" w:hAnsi="Arial"/>
            <w:sz w:val="24"/>
            <w:szCs w:val="24"/>
            <w:u w:val="none" w:color="000000"/>
            <w:lang w:val="en-US"/>
          </w:rPr>
          <w:t>@</w:t>
        </w:r>
        <w:r>
          <w:rPr>
            <w:rStyle w:val="Hyperlink"/>
            <w:rFonts w:cs="Times New Roman" w:ascii="Arial" w:hAnsi="Arial"/>
            <w:sz w:val="24"/>
            <w:szCs w:val="24"/>
            <w:u w:val="none" w:color="000000"/>
          </w:rPr>
          <w:t>prienai.lt</w:t>
        </w:r>
      </w:hyperlink>
      <w:r>
        <w:rPr>
          <w:rFonts w:cs="Times New Roman" w:ascii="Arial" w:hAnsi="Arial"/>
          <w:sz w:val="24"/>
          <w:szCs w:val="24"/>
          <w:u w:val="none" w:color="000000"/>
        </w:rPr>
        <w:t>;</w:t>
      </w:r>
    </w:p>
    <w:p>
      <w:pPr>
        <w:pStyle w:val="Body"/>
        <w:tabs>
          <w:tab w:val="clear" w:pos="720"/>
          <w:tab w:val="left" w:pos="108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rPr/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5</w:t>
      </w:r>
      <w:r>
        <w:rPr>
          <w:rFonts w:cs="Times New Roman" w:ascii="Arial" w:hAnsi="Arial"/>
          <w:sz w:val="24"/>
          <w:szCs w:val="24"/>
          <w:u w:val="none" w:color="000000"/>
        </w:rPr>
        <w:t>.2. Pardavė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jo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atstovas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: Regvyta Gelumbauskienė, email: </w:t>
      </w:r>
      <w:hyperlink r:id="rId3">
        <w:r>
          <w:rPr>
            <w:rStyle w:val="Hyperlink"/>
            <w:rFonts w:cs="Times New Roman" w:ascii="Arial" w:hAnsi="Arial"/>
            <w:sz w:val="24"/>
            <w:szCs w:val="24"/>
          </w:rPr>
          <w:t>r.gelumbauskiene@ecocost.lt</w:t>
        </w:r>
      </w:hyperlink>
      <w:r>
        <w:rPr>
          <w:rFonts w:cs="Times New Roman" w:ascii="Arial" w:hAnsi="Arial"/>
          <w:sz w:val="24"/>
          <w:szCs w:val="24"/>
          <w:u w:val="none" w:color="000000"/>
        </w:rPr>
        <w:t>, tel. +370 (6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87</w:t>
      </w:r>
      <w:r>
        <w:rPr>
          <w:rFonts w:cs="Times New Roman" w:ascii="Arial" w:hAnsi="Arial"/>
          <w:sz w:val="24"/>
          <w:szCs w:val="24"/>
          <w:u w:val="none" w:color="000000"/>
        </w:rPr>
        <w:t>) 57 664</w:t>
      </w:r>
      <w:r>
        <w:rPr>
          <w:rFonts w:eastAsia="MS Mincho" w:cs="MS Mincho" w:ascii="Arial" w:hAnsi="Arial"/>
          <w:sz w:val="24"/>
          <w:szCs w:val="24"/>
          <w:u w:val="none" w:color="000000"/>
        </w:rPr>
        <w:t>‬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;</w:t>
      </w:r>
    </w:p>
    <w:p>
      <w:pPr>
        <w:pStyle w:val="Body"/>
        <w:tabs>
          <w:tab w:val="clear" w:pos="720"/>
          <w:tab w:val="left" w:pos="1080" w:leader="none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20"/>
        <w:rPr/>
      </w:pPr>
      <w:r>
        <w:rPr>
          <w:rFonts w:cs="Times New Roman" w:ascii="Arial" w:hAnsi="Arial"/>
          <w:sz w:val="24"/>
          <w:szCs w:val="24"/>
          <w:u w:val="none" w:color="000000"/>
          <w:lang w:val="en-US"/>
        </w:rPr>
        <w:t>25.3. Pirk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ėjo aptarnavimas vykdomas per Pardavėjo klientų aptarnavimo sistemą užklausas siunčiant email: </w:t>
      </w:r>
      <w:hyperlink r:id="rId4">
        <w:r>
          <w:rPr>
            <w:rStyle w:val="Hyperlink"/>
            <w:rFonts w:cs="Times New Roman" w:ascii="Arial" w:hAnsi="Arial"/>
            <w:sz w:val="24"/>
            <w:szCs w:val="24"/>
          </w:rPr>
          <w:t>bendras</w:t>
        </w:r>
        <w:r>
          <w:rPr>
            <w:rStyle w:val="Hyperlink"/>
            <w:rFonts w:cs="Times New Roman" w:ascii="Arial" w:hAnsi="Arial"/>
            <w:sz w:val="24"/>
            <w:szCs w:val="24"/>
            <w:lang w:val="en-US"/>
          </w:rPr>
          <w:t>@ecocost.lt</w:t>
        </w:r>
      </w:hyperlink>
      <w:r>
        <w:rPr>
          <w:rFonts w:cs="Times New Roman" w:ascii="Arial" w:hAnsi="Arial"/>
          <w:sz w:val="24"/>
          <w:szCs w:val="24"/>
          <w:u w:val="none" w:color="000000"/>
          <w:lang w:val="en-US"/>
        </w:rPr>
        <w:t>arba tel. +370 (652) 51 733</w:t>
      </w:r>
      <w:r>
        <w:rPr>
          <w:rFonts w:eastAsia="MS Mincho" w:cs="MS Mincho" w:ascii="Arial" w:hAnsi="Arial"/>
          <w:sz w:val="24"/>
          <w:szCs w:val="24"/>
          <w:u w:val="none" w:color="000000"/>
          <w:lang w:val="en-US"/>
        </w:rPr>
        <w:t>‬.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u w:val="none" w:color="000000"/>
        </w:rPr>
        <w:t>2</w:t>
      </w:r>
      <w:r>
        <w:rPr>
          <w:rFonts w:cs="Times New Roman" w:ascii="Arial" w:hAnsi="Arial"/>
          <w:sz w:val="24"/>
          <w:szCs w:val="24"/>
          <w:u w:val="none" w:color="000000"/>
          <w:lang w:val="en-US"/>
        </w:rPr>
        <w:t>7</w:t>
      </w:r>
      <w:r>
        <w:rPr>
          <w:rFonts w:cs="Times New Roman" w:ascii="Arial" w:hAnsi="Arial"/>
          <w:sz w:val="24"/>
          <w:szCs w:val="24"/>
          <w:u w:val="none" w:color="000000"/>
          <w:lang w:val="es-ES_tradnl"/>
        </w:rPr>
        <w:t>. Sutarties priedas</w:t>
      </w:r>
      <w:r>
        <w:rPr>
          <w:rFonts w:cs="Times New Roman" w:ascii="Arial" w:hAnsi="Arial"/>
          <w:sz w:val="24"/>
          <w:szCs w:val="24"/>
          <w:u w:val="none" w:color="000000"/>
        </w:rPr>
        <w:t xml:space="preserve">– </w:t>
      </w:r>
      <w:r>
        <w:rPr>
          <w:rFonts w:cs="Times New Roman" w:ascii="Arial" w:hAnsi="Arial"/>
          <w:sz w:val="24"/>
          <w:szCs w:val="24"/>
          <w:u w:val="none" w:color="000000"/>
          <w:lang w:val="de-DE"/>
        </w:rPr>
        <w:t>technin</w:t>
      </w:r>
      <w:r>
        <w:rPr>
          <w:rFonts w:cs="Times New Roman" w:ascii="Arial" w:hAnsi="Arial"/>
          <w:sz w:val="24"/>
          <w:szCs w:val="24"/>
          <w:u w:val="none" w:color="000000"/>
        </w:rPr>
        <w:t>ė specifikacija.</w:t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rPr>
          <w:rFonts w:ascii="Arial" w:hAnsi="Arial" w:eastAsia="Times New Roman" w:cs="Times New Roman"/>
          <w:b/>
          <w:bCs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b/>
          <w:bCs/>
          <w:sz w:val="24"/>
          <w:szCs w:val="24"/>
          <w:u w:val="none" w:color="000000"/>
        </w:rPr>
      </w:r>
    </w:p>
    <w:p>
      <w:pPr>
        <w:pStyle w:val="Body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 xml:space="preserve">VIII. ŠALIŲ </w:t>
      </w:r>
      <w:r>
        <w:rPr>
          <w:rFonts w:cs="Times New Roman" w:ascii="Arial" w:hAnsi="Arial"/>
          <w:b/>
          <w:bCs/>
          <w:sz w:val="24"/>
          <w:szCs w:val="24"/>
          <w:u w:val="none" w:color="000000"/>
          <w:lang w:val="en-US"/>
        </w:rPr>
        <w:t>JURIDINIAI ADRESAI IR REKVIZITAI</w:t>
      </w:r>
    </w:p>
    <w:p>
      <w:pPr>
        <w:pStyle w:val="Body"/>
        <w:widowControl w:val="false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ind w:firstLine="567"/>
        <w:jc w:val="both"/>
        <w:rPr>
          <w:rFonts w:ascii="Arial" w:hAnsi="Arial" w:eastAsia="Times New Roman" w:cs="Times New Roman"/>
          <w:sz w:val="24"/>
          <w:szCs w:val="24"/>
          <w:u w:val="none" w:color="000000"/>
        </w:rPr>
      </w:pPr>
      <w:r>
        <w:rPr>
          <w:rFonts w:eastAsia="Times New Roman" w:cs="Times New Roman" w:ascii="Arial" w:hAnsi="Arial"/>
          <w:sz w:val="24"/>
          <w:szCs w:val="24"/>
          <w:u w:val="none" w:color="000000"/>
        </w:rPr>
      </w:r>
    </w:p>
    <w:tbl>
      <w:tblPr>
        <w:tblW w:w="9854" w:type="dxa"/>
        <w:jc w:val="righ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4928"/>
        <w:gridCol w:w="4925"/>
      </w:tblGrid>
      <w:tr>
        <w:trPr>
          <w:trHeight w:val="3624" w:hRule="atLeast"/>
        </w:trPr>
        <w:tc>
          <w:tcPr>
            <w:tcW w:w="4928" w:type="dxa"/>
            <w:tcBorders/>
            <w:shd w:color="auto" w:fill="auto" w:val="clear"/>
          </w:tcPr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lt-LT"/>
              </w:rPr>
              <w:t xml:space="preserve">PIRKĖJAS </w:t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1125" w:leader="none"/>
              </w:tabs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Prienų rajono savivaldybės administracija</w:t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1125" w:leader="none"/>
              </w:tabs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Įstaigos kodas:  288742590</w:t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1125" w:leader="none"/>
              </w:tabs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PVM mokėtojo kodas -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FAFAFA" w:val="clear"/>
              </w:rPr>
              <w:t>Laisvės a. 12, LT-59126 Prienai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FAFAFA" w:val="clear"/>
              </w:rPr>
              <w:t>Tel. +370 319 61 105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shd w:fill="FAFAFA" w:val="clear"/>
              </w:rPr>
              <w:t>E-paštas: administracija</w:t>
            </w:r>
            <w:r>
              <w:rPr>
                <w:rFonts w:ascii="Arial" w:hAnsi="Arial"/>
                <w:color w:val="000000"/>
                <w:sz w:val="24"/>
                <w:szCs w:val="24"/>
                <w:shd w:fill="FAFAFA" w:val="clear"/>
                <w:lang w:val="en-US"/>
              </w:rPr>
              <w:t>@prienai.lt</w:t>
            </w:r>
          </w:p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  <w:lang w:val="lt-LT"/>
              </w:rPr>
            </w:pPr>
            <w:r>
              <w:rPr>
                <w:rFonts w:ascii="Arial" w:hAnsi="Arial"/>
                <w:sz w:val="24"/>
                <w:szCs w:val="24"/>
                <w:lang w:val="lt-LT"/>
              </w:rPr>
            </w:r>
          </w:p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  <w:lang w:val="lt-LT"/>
              </w:rPr>
            </w:pPr>
            <w:r>
              <w:rPr>
                <w:rFonts w:ascii="Arial" w:hAnsi="Arial"/>
                <w:sz w:val="24"/>
                <w:szCs w:val="24"/>
                <w:lang w:val="lt-LT"/>
              </w:rPr>
            </w:r>
          </w:p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  <w:lang w:val="lt-LT"/>
              </w:rPr>
            </w:pPr>
            <w:r>
              <w:rPr>
                <w:rFonts w:ascii="Arial" w:hAnsi="Arial"/>
                <w:sz w:val="24"/>
                <w:szCs w:val="24"/>
                <w:lang w:val="lt-LT"/>
              </w:rPr>
            </w:r>
          </w:p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lt-LT"/>
              </w:rPr>
              <w:t>Direktorė</w:t>
            </w:r>
          </w:p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lt-LT"/>
              </w:rPr>
              <w:t xml:space="preserve">Jūratė </w:t>
            </w:r>
            <w:r>
              <w:rPr>
                <w:rFonts w:ascii="Arial" w:hAnsi="Arial"/>
                <w:sz w:val="24"/>
                <w:szCs w:val="24"/>
                <w:lang w:val="lt-LT"/>
              </w:rPr>
              <w:t>Mickevičienė</w:t>
            </w:r>
          </w:p>
          <w:p>
            <w:pPr>
              <w:pStyle w:val="Prastasis12pt"/>
              <w:spacing w:lineRule="auto" w:line="240" w:before="0" w:after="200"/>
              <w:rPr>
                <w:rFonts w:ascii="Arial" w:hAnsi="Arial"/>
                <w:sz w:val="24"/>
                <w:szCs w:val="24"/>
                <w:lang w:val="lt-LT"/>
              </w:rPr>
            </w:pPr>
            <w:r>
              <w:rPr>
                <w:rFonts w:ascii="Arial" w:hAnsi="Arial"/>
                <w:sz w:val="24"/>
                <w:szCs w:val="24"/>
                <w:lang w:val="lt-LT"/>
              </w:rPr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Prastasis12pt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lt-LT"/>
              </w:rPr>
              <w:t>PARDAVĖJAS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UAB Ecocost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Vokiečių g. 28/17-19, 01130 Vilnius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Įmonės kodas: 301795597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PVM mokėtojo kodas: LT100004195411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Bankas: AB SEB bankas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Sąskaitos Nr.: LT37 7044 0600 0748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7735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Tel. +370 612 03 376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E-paštas: bendras@ecocost.lt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Direktorius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Karolis Šerpytis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Normal"/>
        <w:rPr>
          <w:rFonts w:ascii="Arial" w:hAnsi="Arial" w:eastAsia="Times New Roman" w:cs="Times New Roman"/>
          <w:color w:val="000000"/>
          <w:sz w:val="24"/>
          <w:szCs w:val="24"/>
          <w:lang w:val="de-DE" w:eastAsia="lt-LT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de-DE" w:eastAsia="lt-LT"/>
        </w:rPr>
      </w:r>
      <w:r>
        <w:br w:type="page"/>
      </w:r>
    </w:p>
    <w:p>
      <w:pPr>
        <w:pStyle w:val="Body2"/>
        <w:spacing w:before="0" w:after="40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Vie</w:t>
      </w:r>
      <w:r>
        <w:rPr>
          <w:rFonts w:ascii="Arial" w:hAnsi="Arial"/>
          <w:sz w:val="24"/>
          <w:szCs w:val="24"/>
        </w:rPr>
        <w:t>šųjų pirkimų planavimo, registravimo ir valdymo</w:t>
      </w:r>
    </w:p>
    <w:p>
      <w:pPr>
        <w:pStyle w:val="Body2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programinės įrangos licencijų pirkimo-pardavimo sutarties, </w:t>
      </w:r>
    </w:p>
    <w:p>
      <w:pPr>
        <w:pStyle w:val="Body2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pasirašytos 202</w:t>
      </w:r>
      <w:r>
        <w:rPr>
          <w:rFonts w:ascii="Arial" w:hAnsi="Arial"/>
          <w:sz w:val="24"/>
          <w:szCs w:val="24"/>
          <w:lang w:val="en-US"/>
        </w:rPr>
        <w:t>_</w:t>
      </w:r>
      <w:r>
        <w:rPr>
          <w:rFonts w:ascii="Arial" w:hAnsi="Arial"/>
          <w:sz w:val="24"/>
          <w:szCs w:val="24"/>
        </w:rPr>
        <w:t xml:space="preserve"> m. </w:t>
      </w:r>
      <w:r>
        <w:rPr>
          <w:rFonts w:ascii="Arial" w:hAnsi="Arial"/>
          <w:sz w:val="24"/>
          <w:szCs w:val="24"/>
          <w:lang w:val="en-US"/>
        </w:rPr>
        <w:t>________</w:t>
      </w:r>
      <w:r>
        <w:rPr>
          <w:rFonts w:ascii="Arial" w:hAnsi="Arial"/>
          <w:sz w:val="24"/>
          <w:szCs w:val="24"/>
          <w:lang w:val="de-DE"/>
        </w:rPr>
        <w:t xml:space="preserve"> d. Nr. ___</w:t>
      </w:r>
    </w:p>
    <w:p>
      <w:pPr>
        <w:pStyle w:val="Body2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Priedas</w:t>
      </w:r>
      <w:r>
        <w:rPr>
          <w:rFonts w:ascii="Arial" w:hAnsi="Arial"/>
          <w:sz w:val="24"/>
          <w:szCs w:val="24"/>
          <w:lang w:val="en-US"/>
        </w:rPr>
        <w:t>Nr. 1</w:t>
      </w:r>
    </w:p>
    <w:p>
      <w:pPr>
        <w:pStyle w:val="Body2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ab/>
      </w:r>
    </w:p>
    <w:p>
      <w:pPr>
        <w:pStyle w:val="Body"/>
        <w:widowControl w:val="false"/>
        <w:tabs>
          <w:tab w:val="clear" w:pos="720"/>
          <w:tab w:val="left" w:pos="1296" w:leader="none"/>
          <w:tab w:val="left" w:pos="2592" w:leader="none"/>
          <w:tab w:val="left" w:pos="3888" w:leader="none"/>
          <w:tab w:val="left" w:pos="5184" w:leader="none"/>
          <w:tab w:val="left" w:pos="6480" w:leader="none"/>
          <w:tab w:val="left" w:pos="7776" w:leader="none"/>
          <w:tab w:val="left" w:pos="9072" w:leader="none"/>
        </w:tabs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  <w:u w:val="none" w:color="000000"/>
          <w:lang w:val="de-DE"/>
        </w:rPr>
        <w:t>TECHNIN</w:t>
      </w:r>
      <w:r>
        <w:rPr>
          <w:rFonts w:cs="Times New Roman" w:ascii="Arial" w:hAnsi="Arial"/>
          <w:b/>
          <w:bCs/>
          <w:sz w:val="24"/>
          <w:szCs w:val="24"/>
          <w:u w:val="none" w:color="000000"/>
        </w:rPr>
        <w:t>Ė SPECIFIKACIJA</w:t>
      </w:r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Darbo viet</w:t>
      </w:r>
      <w:r>
        <w:rPr>
          <w:rFonts w:ascii="Arial" w:hAnsi="Arial"/>
          <w:sz w:val="24"/>
          <w:szCs w:val="24"/>
        </w:rPr>
        <w:t>ų skaičius: 2</w:t>
      </w:r>
    </w:p>
    <w:p>
      <w:pPr>
        <w:pStyle w:val="Body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Konkurencinių licencijų skaičius: 5</w:t>
      </w:r>
    </w:p>
    <w:p>
      <w:pPr>
        <w:pStyle w:val="Body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Naudojimosi sistema trukmė: 36 mėn.</w:t>
      </w:r>
    </w:p>
    <w:p>
      <w:pPr>
        <w:pStyle w:val="Body2"/>
        <w:jc w:val="left"/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hAnsi="Arial"/>
          <w:sz w:val="24"/>
          <w:szCs w:val="24"/>
        </w:rPr>
        <w:t>Įsigyjami moduliai: planavimo ir vykdymo</w:t>
      </w:r>
      <w:bookmarkEnd w:id="0"/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Body2"/>
        <w:jc w:val="right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</w:r>
    </w:p>
    <w:p>
      <w:pPr>
        <w:pStyle w:val="Normal"/>
        <w:rPr>
          <w:rFonts w:ascii="Arial" w:hAnsi="Arial" w:eastAsia="Times New Roman" w:cs="Times New Roman"/>
          <w:color w:val="000000"/>
          <w:sz w:val="24"/>
          <w:szCs w:val="24"/>
          <w:lang w:val="de-DE" w:eastAsia="lt-LT"/>
        </w:rPr>
      </w:pPr>
      <w:r>
        <w:rPr>
          <w:rFonts w:eastAsia="Times New Roman" w:cs="Times New Roman" w:ascii="Arial" w:hAnsi="Arial"/>
          <w:color w:val="000000"/>
          <w:sz w:val="24"/>
          <w:szCs w:val="24"/>
          <w:lang w:val="de-DE" w:eastAsia="lt-LT"/>
        </w:rPr>
      </w:r>
    </w:p>
    <w:p>
      <w:pPr>
        <w:pStyle w:val="Normal"/>
        <w:spacing w:before="0" w:after="2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0" w:top="1701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 Light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18922268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18922268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3f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uiPriority w:val="99"/>
    <w:qFormat/>
    <w:rsid w:val="004f3f6c"/>
    <w:rPr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6a309d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qFormat/>
    <w:rsid w:val="006a309d"/>
    <w:rPr>
      <w:color w:val="605E5C"/>
      <w:shd w:fill="E1DFDD" w:val="clear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4f3f6c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ody" w:customStyle="1">
    <w:name w:val="Body"/>
    <w:qFormat/>
    <w:rsid w:val="004f3f6c"/>
    <w:pPr>
      <w:widowControl/>
      <w:suppressAutoHyphens w:val="true"/>
      <w:bidi w:val="0"/>
      <w:spacing w:lineRule="auto" w:line="312" w:before="0" w:after="0"/>
      <w:jc w:val="left"/>
    </w:pPr>
    <w:rPr>
      <w:rFonts w:ascii="Helvetica Neue Light" w:hAnsi="Helvetica Neue Light" w:eastAsia="Arial Unicode MS" w:cs="Arial Unicode MS"/>
      <w:color w:val="000000"/>
      <w:kern w:val="0"/>
      <w:sz w:val="20"/>
      <w:szCs w:val="20"/>
      <w:lang w:val="lt-LT" w:eastAsia="lt-LT" w:bidi="ar-SA"/>
    </w:rPr>
  </w:style>
  <w:style w:type="paragraph" w:styleId="Body2" w:customStyle="1">
    <w:name w:val="Body 2"/>
    <w:qFormat/>
    <w:rsid w:val="004f3f6c"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lt-LT" w:eastAsia="lt-LT" w:bidi="ar-SA"/>
    </w:rPr>
  </w:style>
  <w:style w:type="paragraph" w:styleId="Prastasis12pt">
    <w:name w:val="Įprastasis + 12 pt"/>
    <w:basedOn w:val="Normal"/>
    <w:qFormat/>
    <w:pPr>
      <w:suppressAutoHyphens w:val="false"/>
    </w:pPr>
    <w:rPr>
      <w:lang w:val="en-GB" w:eastAsia="en-US"/>
    </w:rPr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nute.mikusaukiene@prienai.lt" TargetMode="External"/><Relationship Id="rId3" Type="http://schemas.openxmlformats.org/officeDocument/2006/relationships/hyperlink" Target="mailto:r.gelumbauskiene@ecocost.lt" TargetMode="External"/><Relationship Id="rId4" Type="http://schemas.openxmlformats.org/officeDocument/2006/relationships/hyperlink" Target="mailto:bendras@ecocost.lt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LibreOffice/24.2.0.3$Windows_X86_64 LibreOffice_project/da48488a73ddd66ea24cf16bbc4f7b9c08e9bea1</Application>
  <AppVersion>15.0000</AppVersion>
  <Pages>5</Pages>
  <Words>1070</Words>
  <Characters>7561</Characters>
  <CharactersWithSpaces>8565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2022-10-13T13:06:00Z</dcterms:created>
  <dc:creator>Regvyta Gelumbauskiene</dc:creator>
  <dc:description/>
  <dc:language>lt-LT</dc:language>
  <cp:lastModifiedBy/>
  <dcterms:modified xsi:type="dcterms:W3CDTF">2024-11-19T08:39:16Z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