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C5CBD" w14:textId="77777777" w:rsidR="008530FB" w:rsidRPr="0085757C" w:rsidRDefault="008530FB" w:rsidP="008530FB">
      <w:pPr>
        <w:spacing w:before="120" w:after="120"/>
        <w:ind w:right="856"/>
        <w:jc w:val="right"/>
        <w:textAlignment w:val="baseline"/>
        <w:rPr>
          <w:b/>
          <w:sz w:val="24"/>
          <w:szCs w:val="24"/>
          <w:lang w:val="lt-LT"/>
        </w:rPr>
      </w:pPr>
      <w:r w:rsidRPr="0085757C">
        <w:rPr>
          <w:b/>
          <w:sz w:val="24"/>
          <w:szCs w:val="24"/>
          <w:lang w:val="lt-LT"/>
        </w:rPr>
        <w:t>RVPL233</w:t>
      </w:r>
    </w:p>
    <w:p w14:paraId="61F3B6E6" w14:textId="4D10F937" w:rsidR="00C564CB" w:rsidRPr="0085757C" w:rsidRDefault="00EC16B2" w:rsidP="00E71905">
      <w:pPr>
        <w:spacing w:before="120" w:after="120"/>
        <w:ind w:right="856"/>
        <w:jc w:val="center"/>
        <w:textAlignment w:val="baseline"/>
        <w:rPr>
          <w:b/>
          <w:sz w:val="24"/>
          <w:szCs w:val="24"/>
          <w:lang w:val="lt-LT"/>
        </w:rPr>
      </w:pPr>
      <w:r w:rsidRPr="0085757C">
        <w:rPr>
          <w:b/>
          <w:sz w:val="24"/>
          <w:szCs w:val="24"/>
          <w:lang w:val="lt-LT"/>
        </w:rPr>
        <w:t>FINANSINIŲ ATASKAITŲ AUDITO</w:t>
      </w:r>
      <w:r w:rsidR="00C564CB" w:rsidRPr="0085757C">
        <w:rPr>
          <w:b/>
          <w:sz w:val="24"/>
          <w:szCs w:val="24"/>
          <w:lang w:val="lt-LT"/>
        </w:rPr>
        <w:t xml:space="preserve"> </w:t>
      </w:r>
      <w:r w:rsidRPr="0085757C">
        <w:rPr>
          <w:rFonts w:eastAsiaTheme="minorHAnsi"/>
          <w:b/>
          <w:sz w:val="24"/>
          <w:szCs w:val="24"/>
          <w:lang w:val="lt-LT"/>
        </w:rPr>
        <w:t xml:space="preserve">PASLAUGŲ TEIKIMO SUTARTIS </w:t>
      </w:r>
    </w:p>
    <w:p w14:paraId="5DBC896E" w14:textId="0411EA12" w:rsidR="00EC16B2" w:rsidRPr="0085757C" w:rsidRDefault="00E3143B" w:rsidP="00E3143B">
      <w:pPr>
        <w:tabs>
          <w:tab w:val="left" w:pos="993"/>
        </w:tabs>
        <w:suppressAutoHyphens/>
        <w:overflowPunct/>
        <w:autoSpaceDE/>
        <w:adjustRightInd/>
        <w:spacing w:before="120" w:after="120"/>
        <w:ind w:right="-846"/>
        <w:jc w:val="center"/>
        <w:rPr>
          <w:rFonts w:eastAsia="Calibri"/>
          <w:b/>
          <w:bCs/>
          <w:sz w:val="24"/>
          <w:szCs w:val="24"/>
          <w:lang w:val="lt-LT"/>
        </w:rPr>
      </w:pPr>
      <w:r w:rsidRPr="0085757C">
        <w:rPr>
          <w:rFonts w:eastAsia="Calibri"/>
          <w:b/>
          <w:bCs/>
          <w:sz w:val="24"/>
          <w:szCs w:val="24"/>
          <w:lang w:val="lt-LT"/>
        </w:rPr>
        <w:t>202</w:t>
      </w:r>
      <w:r w:rsidR="00AA5638" w:rsidRPr="0085757C">
        <w:rPr>
          <w:rFonts w:eastAsia="Calibri"/>
          <w:b/>
          <w:bCs/>
          <w:sz w:val="24"/>
          <w:szCs w:val="24"/>
          <w:lang w:val="lt-LT"/>
        </w:rPr>
        <w:t>4</w:t>
      </w:r>
      <w:r w:rsidR="00EC16B2" w:rsidRPr="0085757C">
        <w:rPr>
          <w:rFonts w:eastAsia="Calibri"/>
          <w:b/>
          <w:bCs/>
          <w:sz w:val="24"/>
          <w:szCs w:val="24"/>
          <w:lang w:val="lt-LT"/>
        </w:rPr>
        <w:t xml:space="preserve"> m. </w:t>
      </w:r>
      <w:r w:rsidR="008530FB" w:rsidRPr="0085757C">
        <w:rPr>
          <w:rFonts w:eastAsia="Calibri"/>
          <w:b/>
          <w:bCs/>
          <w:sz w:val="24"/>
          <w:szCs w:val="24"/>
          <w:lang w:val="lt-LT"/>
        </w:rPr>
        <w:t>gruodžio</w:t>
      </w:r>
      <w:r w:rsidR="00C564CB" w:rsidRPr="0085757C">
        <w:rPr>
          <w:rFonts w:eastAsia="Calibri"/>
          <w:b/>
          <w:bCs/>
          <w:sz w:val="24"/>
          <w:szCs w:val="24"/>
          <w:lang w:val="lt-LT"/>
        </w:rPr>
        <w:t xml:space="preserve"> mėn. </w:t>
      </w:r>
      <w:r w:rsidR="00576375">
        <w:rPr>
          <w:rFonts w:eastAsia="Calibri"/>
          <w:b/>
          <w:bCs/>
          <w:sz w:val="24"/>
          <w:szCs w:val="24"/>
          <w:lang w:val="lt-LT"/>
        </w:rPr>
        <w:t>6</w:t>
      </w:r>
      <w:r w:rsidR="00EC16B2" w:rsidRPr="0085757C">
        <w:rPr>
          <w:rFonts w:eastAsia="Calibri"/>
          <w:b/>
          <w:bCs/>
          <w:sz w:val="24"/>
          <w:szCs w:val="24"/>
          <w:lang w:val="lt-LT"/>
        </w:rPr>
        <w:t xml:space="preserve"> d.</w:t>
      </w:r>
      <w:r w:rsidR="008530FB" w:rsidRPr="0085757C">
        <w:rPr>
          <w:rFonts w:eastAsia="Calibri"/>
          <w:b/>
          <w:bCs/>
          <w:sz w:val="24"/>
          <w:szCs w:val="24"/>
          <w:lang w:val="lt-LT"/>
        </w:rPr>
        <w:t xml:space="preserve"> Nr. S1-</w:t>
      </w:r>
      <w:r w:rsidR="00576375">
        <w:rPr>
          <w:rFonts w:eastAsia="Calibri"/>
          <w:b/>
          <w:bCs/>
          <w:sz w:val="24"/>
          <w:szCs w:val="24"/>
          <w:lang w:val="lt-LT"/>
        </w:rPr>
        <w:t>248</w:t>
      </w:r>
    </w:p>
    <w:p w14:paraId="52F6C11D" w14:textId="6D445C71" w:rsidR="00EC16B2" w:rsidRPr="0085757C" w:rsidRDefault="00C564CB" w:rsidP="00E71905">
      <w:pPr>
        <w:tabs>
          <w:tab w:val="left" w:pos="993"/>
        </w:tabs>
        <w:suppressAutoHyphens/>
        <w:overflowPunct/>
        <w:autoSpaceDE/>
        <w:adjustRightInd/>
        <w:spacing w:before="120" w:after="120"/>
        <w:ind w:left="709" w:hanging="709"/>
        <w:jc w:val="center"/>
        <w:rPr>
          <w:rFonts w:eastAsiaTheme="minorHAnsi"/>
          <w:b/>
          <w:bCs/>
          <w:sz w:val="24"/>
          <w:szCs w:val="24"/>
          <w:lang w:val="lt-LT"/>
        </w:rPr>
      </w:pPr>
      <w:r w:rsidRPr="0085757C">
        <w:rPr>
          <w:rFonts w:eastAsia="Calibri"/>
          <w:b/>
          <w:bCs/>
          <w:sz w:val="24"/>
          <w:szCs w:val="24"/>
          <w:lang w:val="lt-LT"/>
        </w:rPr>
        <w:t>Vilnius</w:t>
      </w:r>
    </w:p>
    <w:p w14:paraId="281838ED" w14:textId="081CEB39" w:rsidR="008530FB" w:rsidRPr="0085757C" w:rsidRDefault="008530FB" w:rsidP="00E71905">
      <w:pPr>
        <w:tabs>
          <w:tab w:val="left" w:pos="993"/>
        </w:tabs>
        <w:suppressAutoHyphens/>
        <w:overflowPunct/>
        <w:autoSpaceDE/>
        <w:adjustRightInd/>
        <w:spacing w:before="120" w:after="120"/>
        <w:jc w:val="both"/>
        <w:rPr>
          <w:rFonts w:eastAsia="Calibri"/>
          <w:sz w:val="24"/>
          <w:szCs w:val="24"/>
          <w:lang w:val="lt-LT"/>
        </w:rPr>
      </w:pPr>
      <w:r w:rsidRPr="0085757C">
        <w:rPr>
          <w:rFonts w:eastAsia="Calibri"/>
          <w:b/>
          <w:sz w:val="24"/>
          <w:szCs w:val="24"/>
          <w:lang w:val="lt-LT"/>
        </w:rPr>
        <w:tab/>
      </w:r>
      <w:r w:rsidR="00EC16B2" w:rsidRPr="0085757C">
        <w:rPr>
          <w:rFonts w:eastAsia="Calibri"/>
          <w:b/>
          <w:sz w:val="24"/>
          <w:szCs w:val="24"/>
          <w:lang w:val="lt-LT"/>
        </w:rPr>
        <w:t xml:space="preserve">Viešoji įstaiga Respublikinė </w:t>
      </w:r>
      <w:r w:rsidR="007961A4" w:rsidRPr="0085757C">
        <w:rPr>
          <w:rFonts w:eastAsia="Calibri"/>
          <w:b/>
          <w:sz w:val="24"/>
          <w:szCs w:val="24"/>
          <w:lang w:val="lt-LT"/>
        </w:rPr>
        <w:t>Vilniaus psichiatrijos</w:t>
      </w:r>
      <w:r w:rsidR="00EC16B2" w:rsidRPr="0085757C">
        <w:rPr>
          <w:rFonts w:eastAsia="Calibri"/>
          <w:b/>
          <w:sz w:val="24"/>
          <w:szCs w:val="24"/>
          <w:lang w:val="lt-LT"/>
        </w:rPr>
        <w:t xml:space="preserve"> ligoninė</w:t>
      </w:r>
      <w:r w:rsidR="00EC16B2" w:rsidRPr="0085757C">
        <w:rPr>
          <w:rFonts w:eastAsia="Calibri"/>
          <w:i/>
          <w:iCs/>
          <w:sz w:val="24"/>
          <w:szCs w:val="24"/>
          <w:lang w:val="lt-LT"/>
        </w:rPr>
        <w:t>,</w:t>
      </w:r>
      <w:r w:rsidR="00EC16B2" w:rsidRPr="0085757C">
        <w:rPr>
          <w:rFonts w:eastAsia="Calibri"/>
          <w:sz w:val="24"/>
          <w:szCs w:val="24"/>
          <w:lang w:val="lt-LT"/>
        </w:rPr>
        <w:t xml:space="preserve"> atstovaujama</w:t>
      </w:r>
      <w:r w:rsidR="00ED5B8E" w:rsidRPr="0085757C">
        <w:rPr>
          <w:rFonts w:eastAsia="Calibri"/>
          <w:sz w:val="24"/>
          <w:szCs w:val="24"/>
          <w:lang w:val="lt-LT"/>
        </w:rPr>
        <w:t xml:space="preserve"> </w:t>
      </w:r>
      <w:r w:rsidR="004D6684">
        <w:rPr>
          <w:rFonts w:eastAsia="Calibri"/>
          <w:sz w:val="24"/>
          <w:szCs w:val="24"/>
          <w:lang w:val="lt-LT"/>
        </w:rPr>
        <w:t>___</w:t>
      </w:r>
      <w:r w:rsidR="00ED5B8E" w:rsidRPr="0085757C">
        <w:rPr>
          <w:rFonts w:eastAsia="Calibri"/>
          <w:sz w:val="24"/>
          <w:szCs w:val="24"/>
          <w:lang w:val="lt-LT"/>
        </w:rPr>
        <w:t xml:space="preserve"> </w:t>
      </w:r>
      <w:r w:rsidR="00EC16B2" w:rsidRPr="0085757C">
        <w:rPr>
          <w:rFonts w:eastAsia="Calibri"/>
          <w:sz w:val="24"/>
          <w:szCs w:val="24"/>
          <w:lang w:val="lt-LT"/>
        </w:rPr>
        <w:t xml:space="preserve">(toliau – </w:t>
      </w:r>
      <w:r w:rsidR="00EC16B2" w:rsidRPr="0085757C">
        <w:rPr>
          <w:rFonts w:eastAsia="Calibri"/>
          <w:b/>
          <w:bCs/>
          <w:sz w:val="24"/>
          <w:szCs w:val="24"/>
          <w:lang w:val="lt-LT"/>
        </w:rPr>
        <w:t>Užsakovas</w:t>
      </w:r>
      <w:r w:rsidR="00EC16B2" w:rsidRPr="0085757C">
        <w:rPr>
          <w:rFonts w:eastAsia="Calibri"/>
          <w:sz w:val="24"/>
          <w:szCs w:val="24"/>
          <w:lang w:val="lt-LT"/>
        </w:rPr>
        <w:t xml:space="preserve">), </w:t>
      </w:r>
    </w:p>
    <w:p w14:paraId="4BE72123" w14:textId="77777777" w:rsidR="008530FB" w:rsidRPr="0085757C" w:rsidRDefault="00EC16B2" w:rsidP="00E71905">
      <w:pPr>
        <w:tabs>
          <w:tab w:val="left" w:pos="993"/>
        </w:tabs>
        <w:suppressAutoHyphens/>
        <w:overflowPunct/>
        <w:autoSpaceDE/>
        <w:adjustRightInd/>
        <w:spacing w:before="120" w:after="120"/>
        <w:jc w:val="both"/>
        <w:rPr>
          <w:rFonts w:eastAsia="Calibri"/>
          <w:sz w:val="24"/>
          <w:szCs w:val="24"/>
          <w:lang w:val="lt-LT"/>
        </w:rPr>
      </w:pPr>
      <w:r w:rsidRPr="0085757C">
        <w:rPr>
          <w:rFonts w:eastAsia="Calibri"/>
          <w:sz w:val="24"/>
          <w:szCs w:val="24"/>
          <w:lang w:val="lt-LT"/>
        </w:rPr>
        <w:t xml:space="preserve">ir </w:t>
      </w:r>
    </w:p>
    <w:p w14:paraId="501763FB" w14:textId="4EB4938A" w:rsidR="00EC16B2" w:rsidRPr="0085757C" w:rsidRDefault="008530FB" w:rsidP="00E71905">
      <w:pPr>
        <w:tabs>
          <w:tab w:val="left" w:pos="993"/>
        </w:tabs>
        <w:suppressAutoHyphens/>
        <w:overflowPunct/>
        <w:autoSpaceDE/>
        <w:adjustRightInd/>
        <w:spacing w:before="120" w:after="120"/>
        <w:jc w:val="both"/>
        <w:rPr>
          <w:rFonts w:eastAsia="Calibri"/>
          <w:sz w:val="24"/>
          <w:szCs w:val="24"/>
          <w:lang w:val="lt-LT"/>
        </w:rPr>
      </w:pPr>
      <w:r w:rsidRPr="0085757C">
        <w:rPr>
          <w:rFonts w:eastAsia="Calibri"/>
          <w:b/>
          <w:sz w:val="24"/>
          <w:szCs w:val="24"/>
          <w:lang w:val="lt-LT"/>
        </w:rPr>
        <w:tab/>
      </w:r>
      <w:r w:rsidR="00ED5B8E" w:rsidRPr="0085757C">
        <w:rPr>
          <w:rFonts w:eastAsia="Calibri"/>
          <w:b/>
          <w:sz w:val="24"/>
          <w:szCs w:val="24"/>
          <w:lang w:val="lt-LT"/>
        </w:rPr>
        <w:t>Uždaroji akcinė bendrovė „</w:t>
      </w:r>
      <w:proofErr w:type="spellStart"/>
      <w:r w:rsidR="00ED5B8E" w:rsidRPr="0085757C">
        <w:rPr>
          <w:rFonts w:eastAsia="Calibri"/>
          <w:b/>
          <w:sz w:val="24"/>
          <w:szCs w:val="24"/>
          <w:lang w:val="lt-LT"/>
        </w:rPr>
        <w:t>Gaudera</w:t>
      </w:r>
      <w:proofErr w:type="spellEnd"/>
      <w:r w:rsidR="00ED5B8E" w:rsidRPr="0085757C">
        <w:rPr>
          <w:rFonts w:eastAsia="Calibri"/>
          <w:b/>
          <w:sz w:val="24"/>
          <w:szCs w:val="24"/>
          <w:lang w:val="lt-LT"/>
        </w:rPr>
        <w:t>“</w:t>
      </w:r>
      <w:r w:rsidR="00EC16B2" w:rsidRPr="0085757C">
        <w:rPr>
          <w:rFonts w:eastAsia="Calibri"/>
          <w:sz w:val="24"/>
          <w:szCs w:val="24"/>
          <w:lang w:val="lt-LT"/>
        </w:rPr>
        <w:t xml:space="preserve">, atstovaujama </w:t>
      </w:r>
      <w:r w:rsidR="004D6684">
        <w:rPr>
          <w:rFonts w:eastAsia="Calibri"/>
          <w:sz w:val="24"/>
          <w:szCs w:val="24"/>
          <w:lang w:val="lt-LT"/>
        </w:rPr>
        <w:t>____</w:t>
      </w:r>
      <w:r w:rsidR="00EC16B2" w:rsidRPr="0085757C">
        <w:rPr>
          <w:rFonts w:eastAsia="Calibri"/>
          <w:sz w:val="24"/>
          <w:szCs w:val="24"/>
          <w:lang w:val="lt-LT"/>
        </w:rPr>
        <w:t xml:space="preserve"> (toliau – </w:t>
      </w:r>
      <w:r w:rsidR="00202A16" w:rsidRPr="0085757C">
        <w:rPr>
          <w:rFonts w:eastAsia="Calibri"/>
          <w:b/>
          <w:bCs/>
          <w:sz w:val="24"/>
          <w:szCs w:val="24"/>
          <w:lang w:val="lt-LT"/>
        </w:rPr>
        <w:t>Vykdytojas</w:t>
      </w:r>
      <w:r w:rsidR="00EC16B2" w:rsidRPr="0085757C">
        <w:rPr>
          <w:rFonts w:eastAsia="Calibri"/>
          <w:sz w:val="24"/>
          <w:szCs w:val="24"/>
          <w:lang w:val="lt-LT"/>
        </w:rPr>
        <w:t xml:space="preserve">), toliau kartu šioje </w:t>
      </w:r>
      <w:r w:rsidR="007961A4" w:rsidRPr="0085757C">
        <w:rPr>
          <w:rFonts w:eastAsia="Calibri"/>
          <w:sz w:val="24"/>
          <w:szCs w:val="24"/>
          <w:lang w:val="lt-LT"/>
        </w:rPr>
        <w:t xml:space="preserve">finansinių ataskaitų audito </w:t>
      </w:r>
      <w:r w:rsidR="00EC16B2" w:rsidRPr="0085757C">
        <w:rPr>
          <w:rFonts w:eastAsia="Calibri"/>
          <w:sz w:val="24"/>
          <w:szCs w:val="24"/>
          <w:lang w:val="lt-LT"/>
        </w:rPr>
        <w:t>paslaugų viešojo pirkimo – pardavimo sutartyje vadinami Šalimis, o kiekvienas atskirai – Šalimi, sudarė šią finansinių ataskaitų audito paslaugų viešojo pirkimo – pardavimo sutartį, toliau vadinamą Sutartimi, ir susitarė dėl toliau išvardintų sąlygų.</w:t>
      </w:r>
    </w:p>
    <w:p w14:paraId="2C637F2F" w14:textId="77777777" w:rsidR="001033C2" w:rsidRPr="0085757C" w:rsidRDefault="00EC16B2" w:rsidP="00E3143B">
      <w:pPr>
        <w:numPr>
          <w:ilvl w:val="0"/>
          <w:numId w:val="5"/>
        </w:numPr>
        <w:tabs>
          <w:tab w:val="clear" w:pos="416"/>
          <w:tab w:val="num" w:pos="540"/>
          <w:tab w:val="num" w:pos="567"/>
          <w:tab w:val="left" w:pos="9181"/>
        </w:tabs>
        <w:spacing w:before="120" w:after="120"/>
        <w:ind w:left="540" w:right="856" w:hanging="540"/>
        <w:jc w:val="both"/>
        <w:textAlignment w:val="baseline"/>
        <w:rPr>
          <w:b/>
          <w:bCs/>
          <w:smallCaps/>
          <w:sz w:val="24"/>
          <w:szCs w:val="24"/>
          <w:lang w:val="lt-LT"/>
        </w:rPr>
      </w:pPr>
      <w:r w:rsidRPr="0085757C">
        <w:rPr>
          <w:b/>
          <w:bCs/>
          <w:smallCaps/>
          <w:sz w:val="24"/>
          <w:szCs w:val="24"/>
          <w:lang w:val="lt-LT"/>
        </w:rPr>
        <w:t>Sutarties dalykas</w:t>
      </w:r>
    </w:p>
    <w:p w14:paraId="0012F03D" w14:textId="6E255094" w:rsidR="00EC16B2" w:rsidRPr="0085757C" w:rsidRDefault="00EC16B2" w:rsidP="00E3143B">
      <w:pPr>
        <w:numPr>
          <w:ilvl w:val="1"/>
          <w:numId w:val="4"/>
        </w:numPr>
        <w:tabs>
          <w:tab w:val="clear" w:pos="356"/>
          <w:tab w:val="num"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 xml:space="preserve">Užsakovas skiria Vykdytoją savo audito įmone, o Vykdytojas sutinka tapti Užsakovo audito įmone ir atlikti </w:t>
      </w:r>
      <w:r w:rsidRPr="0085757C">
        <w:rPr>
          <w:b/>
          <w:bCs/>
          <w:i/>
          <w:iCs/>
          <w:sz w:val="24"/>
          <w:szCs w:val="24"/>
          <w:lang w:val="lt-LT"/>
        </w:rPr>
        <w:t xml:space="preserve">Užsakovo </w:t>
      </w:r>
      <w:r w:rsidR="00E3143B" w:rsidRPr="0085757C">
        <w:rPr>
          <w:b/>
          <w:bCs/>
          <w:i/>
          <w:iCs/>
          <w:sz w:val="24"/>
          <w:szCs w:val="24"/>
          <w:lang w:val="lt-LT"/>
        </w:rPr>
        <w:t>202</w:t>
      </w:r>
      <w:r w:rsidR="00AA5638" w:rsidRPr="0085757C">
        <w:rPr>
          <w:b/>
          <w:bCs/>
          <w:i/>
          <w:iCs/>
          <w:sz w:val="24"/>
          <w:szCs w:val="24"/>
          <w:lang w:val="lt-LT"/>
        </w:rPr>
        <w:t>4</w:t>
      </w:r>
      <w:r w:rsidRPr="0085757C">
        <w:rPr>
          <w:b/>
          <w:bCs/>
          <w:i/>
          <w:iCs/>
          <w:sz w:val="24"/>
          <w:szCs w:val="24"/>
          <w:lang w:val="lt-LT"/>
        </w:rPr>
        <w:t xml:space="preserve"> m. finansinių ataskaitų, parengtų pagal </w:t>
      </w:r>
      <w:r w:rsidR="00D405F2" w:rsidRPr="0085757C">
        <w:rPr>
          <w:b/>
          <w:bCs/>
          <w:i/>
          <w:iCs/>
          <w:sz w:val="24"/>
          <w:szCs w:val="24"/>
          <w:lang w:val="lt-LT"/>
        </w:rPr>
        <w:t>viešojo sektoriaus apskaitos ir finansinės atskaitomybės standartus</w:t>
      </w:r>
      <w:r w:rsidRPr="0085757C">
        <w:rPr>
          <w:b/>
          <w:bCs/>
          <w:i/>
          <w:iCs/>
          <w:sz w:val="24"/>
          <w:szCs w:val="24"/>
          <w:lang w:val="lt-LT"/>
        </w:rPr>
        <w:t xml:space="preserve"> (toliau – finansinės ataskaitos)</w:t>
      </w:r>
      <w:r w:rsidR="00F819F5" w:rsidRPr="0085757C">
        <w:rPr>
          <w:b/>
          <w:bCs/>
          <w:i/>
          <w:iCs/>
          <w:sz w:val="24"/>
          <w:szCs w:val="24"/>
          <w:lang w:val="lt-LT"/>
        </w:rPr>
        <w:t>,</w:t>
      </w:r>
      <w:r w:rsidRPr="0085757C">
        <w:rPr>
          <w:b/>
          <w:bCs/>
          <w:i/>
          <w:iCs/>
          <w:sz w:val="24"/>
          <w:szCs w:val="24"/>
          <w:lang w:val="lt-LT"/>
        </w:rPr>
        <w:t xml:space="preserve">  auditą</w:t>
      </w:r>
      <w:r w:rsidR="00F819F5" w:rsidRPr="0085757C">
        <w:rPr>
          <w:sz w:val="24"/>
          <w:szCs w:val="24"/>
          <w:lang w:val="lt-LT"/>
        </w:rPr>
        <w:t xml:space="preserve"> (toliau – Auditas arba Paslaugos)</w:t>
      </w:r>
      <w:r w:rsidRPr="0085757C">
        <w:rPr>
          <w:sz w:val="24"/>
          <w:szCs w:val="24"/>
          <w:lang w:val="lt-LT"/>
        </w:rPr>
        <w:t>.</w:t>
      </w:r>
    </w:p>
    <w:p w14:paraId="7197168B" w14:textId="77777777" w:rsidR="00EC16B2" w:rsidRPr="0085757C" w:rsidRDefault="00F819F5" w:rsidP="00E3143B">
      <w:pPr>
        <w:numPr>
          <w:ilvl w:val="1"/>
          <w:numId w:val="4"/>
        </w:numPr>
        <w:tabs>
          <w:tab w:val="clear" w:pos="356"/>
          <w:tab w:val="num"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A</w:t>
      </w:r>
      <w:r w:rsidR="00EC16B2" w:rsidRPr="0085757C">
        <w:rPr>
          <w:sz w:val="24"/>
          <w:szCs w:val="24"/>
          <w:lang w:val="lt-LT"/>
        </w:rPr>
        <w:t>udito tikslai:</w:t>
      </w:r>
    </w:p>
    <w:p w14:paraId="4C48D027" w14:textId="3B767762" w:rsidR="00EC16B2" w:rsidRPr="0085757C"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 xml:space="preserve">nustatyti, ar Užsakovo finansinės ataskaitos visais reikšmingais atvejais tikrai ir teisingai parodo Užsakovo </w:t>
      </w:r>
      <w:r w:rsidR="00E3143B" w:rsidRPr="0085757C">
        <w:rPr>
          <w:sz w:val="24"/>
          <w:szCs w:val="24"/>
          <w:lang w:val="lt-LT"/>
        </w:rPr>
        <w:t>20</w:t>
      </w:r>
      <w:r w:rsidR="00AA5638" w:rsidRPr="0085757C">
        <w:rPr>
          <w:sz w:val="24"/>
          <w:szCs w:val="24"/>
          <w:lang w:val="lt-LT"/>
        </w:rPr>
        <w:t>24</w:t>
      </w:r>
      <w:r w:rsidRPr="0085757C">
        <w:rPr>
          <w:sz w:val="24"/>
          <w:szCs w:val="24"/>
          <w:lang w:val="lt-LT"/>
        </w:rPr>
        <w:t xml:space="preserve"> m. gruodžio 31 d. finansinę būklę, tą dieną pasibaigusių metų finansinius veiklos rezultatus ir pinigų srautus pagal taikomus finansinės atskaitomybės reikalavimus; </w:t>
      </w:r>
    </w:p>
    <w:p w14:paraId="206640CF" w14:textId="77777777" w:rsidR="00EC16B2" w:rsidRPr="0085757C"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 xml:space="preserve">nustatyti, ar Užsakovo finansinės ataskaitos parengtos pagal teisės aktus, reglamentuojančius buhalterinę apskaitą ir finansinių ataskaitų sudarymą; </w:t>
      </w:r>
    </w:p>
    <w:p w14:paraId="0DD11A79" w14:textId="77777777" w:rsidR="00EC16B2" w:rsidRPr="0085757C"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pateikti nuomonę, ar Užs</w:t>
      </w:r>
      <w:r w:rsidR="00974C28" w:rsidRPr="0085757C">
        <w:rPr>
          <w:sz w:val="24"/>
          <w:szCs w:val="24"/>
          <w:lang w:val="lt-LT"/>
        </w:rPr>
        <w:t>akovo veiklos ataskaita parengta</w:t>
      </w:r>
      <w:r w:rsidRPr="0085757C">
        <w:rPr>
          <w:sz w:val="24"/>
          <w:szCs w:val="24"/>
          <w:lang w:val="lt-LT"/>
        </w:rPr>
        <w:t xml:space="preserve"> laikantis teisės aktų reikalavimų;</w:t>
      </w:r>
    </w:p>
    <w:p w14:paraId="29F13C32" w14:textId="77777777" w:rsidR="00EC16B2" w:rsidRPr="0085757C"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pateikti nuomonę, ar Užsakovo veiklos ataskaitoje pateikti finansiniai duomenys atitinka metinių finansinių ataskaitų duomenis;</w:t>
      </w:r>
    </w:p>
    <w:p w14:paraId="269F1266" w14:textId="77777777" w:rsidR="00EC16B2" w:rsidRPr="0085757C"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85757C">
        <w:rPr>
          <w:sz w:val="24"/>
          <w:szCs w:val="24"/>
          <w:lang w:val="lt-LT"/>
        </w:rPr>
        <w:t xml:space="preserve">nurodyti, ar atsižvelgiant į </w:t>
      </w:r>
      <w:r w:rsidR="00F564C8" w:rsidRPr="0085757C">
        <w:rPr>
          <w:sz w:val="24"/>
          <w:szCs w:val="24"/>
          <w:lang w:val="lt-LT"/>
        </w:rPr>
        <w:t>Audito</w:t>
      </w:r>
      <w:r w:rsidRPr="0085757C">
        <w:rPr>
          <w:sz w:val="24"/>
          <w:szCs w:val="24"/>
          <w:lang w:val="lt-LT"/>
        </w:rPr>
        <w:t xml:space="preserve"> metu gautą informaciją ir įgytą supratimą apie įstaigą bei jos aplinką veiklos ataskaitoje nustatyta reikšmingų iškraipymų ir, jei nustatyta, nurodyti tokių iškraipymų pobūdį.</w:t>
      </w:r>
    </w:p>
    <w:p w14:paraId="3F918A6D" w14:textId="77777777" w:rsidR="00EC16B2" w:rsidRPr="0085757C" w:rsidRDefault="00F564C8" w:rsidP="00E3143B">
      <w:pPr>
        <w:numPr>
          <w:ilvl w:val="1"/>
          <w:numId w:val="4"/>
        </w:numPr>
        <w:tabs>
          <w:tab w:val="clear" w:pos="356"/>
          <w:tab w:val="left" w:pos="567"/>
          <w:tab w:val="left" w:pos="1134"/>
          <w:tab w:val="left" w:pos="8789"/>
        </w:tabs>
        <w:overflowPunct/>
        <w:autoSpaceDE/>
        <w:autoSpaceDN/>
        <w:adjustRightInd/>
        <w:spacing w:before="120" w:after="120"/>
        <w:ind w:left="567" w:right="73" w:hanging="601"/>
        <w:jc w:val="both"/>
        <w:textAlignment w:val="baseline"/>
        <w:rPr>
          <w:sz w:val="24"/>
          <w:szCs w:val="24"/>
          <w:lang w:val="lt-LT"/>
        </w:rPr>
      </w:pPr>
      <w:r w:rsidRPr="0085757C">
        <w:rPr>
          <w:sz w:val="24"/>
          <w:szCs w:val="24"/>
          <w:lang w:val="lt-LT"/>
        </w:rPr>
        <w:t>Vykdytojo atliekamo A</w:t>
      </w:r>
      <w:r w:rsidR="00EC16B2" w:rsidRPr="0085757C">
        <w:rPr>
          <w:sz w:val="24"/>
          <w:szCs w:val="24"/>
          <w:lang w:val="lt-LT"/>
        </w:rPr>
        <w:t xml:space="preserve">udito tikslas – gauti pakankamą užtikrinimą dėl to, ar finansinės ataskaitos kaip visuma nėra reikšmingai iškraipytos dėl apgaulės ar klaidos, ir </w:t>
      </w:r>
      <w:r w:rsidRPr="0085757C">
        <w:rPr>
          <w:sz w:val="24"/>
          <w:szCs w:val="24"/>
          <w:lang w:val="lt-LT"/>
        </w:rPr>
        <w:t>parengti</w:t>
      </w:r>
      <w:r w:rsidR="00EC16B2" w:rsidRPr="0085757C">
        <w:rPr>
          <w:sz w:val="24"/>
          <w:szCs w:val="24"/>
          <w:lang w:val="lt-LT"/>
        </w:rPr>
        <w:t xml:space="preserve"> auditoriaus išvadą, kurioje pateikiama Vykdytojo nuomonė. </w:t>
      </w:r>
    </w:p>
    <w:p w14:paraId="4D785A5A" w14:textId="77777777" w:rsidR="00EC16B2" w:rsidRPr="0085757C" w:rsidRDefault="00EC16B2" w:rsidP="00E3143B">
      <w:pPr>
        <w:numPr>
          <w:ilvl w:val="1"/>
          <w:numId w:val="4"/>
        </w:numPr>
        <w:tabs>
          <w:tab w:val="clear" w:pos="356"/>
          <w:tab w:val="left" w:pos="567"/>
          <w:tab w:val="left" w:pos="1134"/>
          <w:tab w:val="left" w:pos="8789"/>
        </w:tabs>
        <w:overflowPunct/>
        <w:autoSpaceDE/>
        <w:autoSpaceDN/>
        <w:adjustRightInd/>
        <w:spacing w:before="120" w:after="120"/>
        <w:ind w:left="567" w:right="73" w:hanging="601"/>
        <w:jc w:val="both"/>
        <w:textAlignment w:val="baseline"/>
        <w:rPr>
          <w:sz w:val="24"/>
          <w:szCs w:val="24"/>
          <w:lang w:val="lt-LT"/>
        </w:rPr>
      </w:pPr>
      <w:r w:rsidRPr="0085757C">
        <w:rPr>
          <w:sz w:val="24"/>
          <w:szCs w:val="24"/>
          <w:lang w:val="lt-LT"/>
        </w:rPr>
        <w:t xml:space="preserve">Užsakovas atsako už tai, kad būtų užkirstas kelias apgaulei, klaidoms ir Lietuvos Respublikos įstatymų bei kitų norminių aktų pažeidimams. Vykdytojas įsipareigoja planuoti </w:t>
      </w:r>
      <w:r w:rsidR="00F400F3" w:rsidRPr="0085757C">
        <w:rPr>
          <w:sz w:val="24"/>
          <w:szCs w:val="24"/>
          <w:lang w:val="lt-LT"/>
        </w:rPr>
        <w:t>A</w:t>
      </w:r>
      <w:r w:rsidRPr="0085757C">
        <w:rPr>
          <w:sz w:val="24"/>
          <w:szCs w:val="24"/>
          <w:lang w:val="lt-LT"/>
        </w:rPr>
        <w:t xml:space="preserve">uditą taip, kad turėtų pakankamas galimybes pastebėti reikšmingus finansinių ataskaitų ir apskaitos įrašų iškraipymus (tarp jų bet kokius reikšmingus informacijos iškraipymus, susidariusius dėl apgaulės, klaidų ar įstatymų bei kitų norminių aktų pažeidimų). Atsižvelgdamas į tai, kad </w:t>
      </w:r>
      <w:r w:rsidR="00F400F3" w:rsidRPr="0085757C">
        <w:rPr>
          <w:sz w:val="24"/>
          <w:szCs w:val="24"/>
          <w:lang w:val="lt-LT"/>
        </w:rPr>
        <w:t>A</w:t>
      </w:r>
      <w:r w:rsidRPr="0085757C">
        <w:rPr>
          <w:sz w:val="24"/>
          <w:szCs w:val="24"/>
          <w:lang w:val="lt-LT"/>
        </w:rPr>
        <w:t xml:space="preserve">udito metu naudojamas atrankinio tikrinimo principas, Vykdytojas negarantuoja, kad bus aptiktos visos esminės klaidos ir (ar) reikšmingi informacijos iškraipymai, jei tokių būtų. </w:t>
      </w:r>
    </w:p>
    <w:p w14:paraId="32B766CD" w14:textId="1A0C9A5C" w:rsidR="00202A16" w:rsidRPr="0085757C" w:rsidRDefault="00AA5638" w:rsidP="00AA5638">
      <w:pPr>
        <w:pStyle w:val="BlockText"/>
        <w:numPr>
          <w:ilvl w:val="1"/>
          <w:numId w:val="4"/>
        </w:numPr>
        <w:tabs>
          <w:tab w:val="clear" w:pos="356"/>
          <w:tab w:val="num" w:pos="567"/>
        </w:tabs>
        <w:ind w:left="567" w:hanging="601"/>
        <w:jc w:val="both"/>
        <w:rPr>
          <w:sz w:val="24"/>
          <w:szCs w:val="24"/>
          <w:lang w:val="lt-LT"/>
        </w:rPr>
      </w:pPr>
      <w:bookmarkStart w:id="0" w:name="_Hlk180933215"/>
      <w:r w:rsidRPr="0085757C">
        <w:rPr>
          <w:sz w:val="24"/>
          <w:szCs w:val="24"/>
          <w:lang w:val="lt-LT"/>
        </w:rPr>
        <w:t xml:space="preserve">Auditas bus atliekamas vadovaujantis Tarptautinės apskaitos profesionalų federacijos patvirtintais tarptautiniais audito standartais, LR finansinių ataskaitų audito ir kitų užtikrinimo </w:t>
      </w:r>
      <w:r w:rsidRPr="0085757C">
        <w:rPr>
          <w:sz w:val="24"/>
          <w:szCs w:val="24"/>
          <w:lang w:val="lt-LT"/>
        </w:rPr>
        <w:lastRenderedPageBreak/>
        <w:t>paslaugų įstatymu ir kitais teisės aktais, reglamentuojančiais finansinių ataskaitų auditą bei auditorių darbą, bei laikantis Tarptautinių apskaitos specialistų etikos standartų valdybos išleisto Tarptautinio apskaitos profesionalų etikos kodekso (įskaitant tarptautinius nepriklausomumo standartus</w:t>
      </w:r>
      <w:bookmarkEnd w:id="0"/>
      <w:r w:rsidRPr="0085757C">
        <w:rPr>
          <w:sz w:val="24"/>
          <w:szCs w:val="24"/>
          <w:lang w:val="lt-LT"/>
        </w:rPr>
        <w:t>).</w:t>
      </w:r>
    </w:p>
    <w:p w14:paraId="40EF9AEB" w14:textId="77777777" w:rsidR="001033C2" w:rsidRPr="0085757C" w:rsidRDefault="00EC16B2" w:rsidP="00E3143B">
      <w:pPr>
        <w:numPr>
          <w:ilvl w:val="0"/>
          <w:numId w:val="4"/>
        </w:numPr>
        <w:tabs>
          <w:tab w:val="num" w:pos="567"/>
          <w:tab w:val="left" w:pos="1242"/>
          <w:tab w:val="left" w:pos="9181"/>
        </w:tabs>
        <w:spacing w:before="120" w:after="120"/>
        <w:ind w:left="540" w:hanging="540"/>
        <w:jc w:val="both"/>
        <w:textAlignment w:val="baseline"/>
        <w:rPr>
          <w:b/>
          <w:smallCaps/>
          <w:sz w:val="24"/>
          <w:szCs w:val="24"/>
          <w:lang w:val="lt-LT"/>
        </w:rPr>
      </w:pPr>
      <w:r w:rsidRPr="0085757C">
        <w:rPr>
          <w:b/>
          <w:smallCaps/>
          <w:sz w:val="24"/>
          <w:szCs w:val="24"/>
          <w:lang w:val="lt-LT"/>
        </w:rPr>
        <w:t>audito apimtis ir audito atlikimas</w:t>
      </w:r>
    </w:p>
    <w:p w14:paraId="4316F80C" w14:textId="77777777" w:rsidR="00EC16B2" w:rsidRPr="0085757C" w:rsidRDefault="00CE38CB"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A</w:t>
      </w:r>
      <w:r w:rsidR="00EC16B2" w:rsidRPr="0085757C">
        <w:rPr>
          <w:sz w:val="24"/>
          <w:szCs w:val="24"/>
          <w:lang w:val="lt-LT"/>
        </w:rPr>
        <w:t xml:space="preserve">udito tikslais Vykdytojas įvertins Užsakovo apskaitos ir vidaus kontrolės sistemas tiek, kad galėtų spręsti, ar jos sudaro pakankamą pagrindą finansinėms ataskaitoms parengti ir nustatyti, ar Užsakovas tinkamai tvarko apskaitą. </w:t>
      </w:r>
    </w:p>
    <w:p w14:paraId="6336B38F" w14:textId="77777777" w:rsidR="00EC16B2" w:rsidRPr="0085757C" w:rsidRDefault="00CE38CB"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A</w:t>
      </w:r>
      <w:r w:rsidR="00EC16B2" w:rsidRPr="0085757C">
        <w:rPr>
          <w:sz w:val="24"/>
          <w:szCs w:val="24"/>
          <w:lang w:val="lt-LT"/>
        </w:rPr>
        <w:t xml:space="preserve">udito procedūrų pobūdis ir apimtis priklausys nuo to, kaip Vykdytojas įvertins Užsakovo apskaitos ir vidaus kontrolės sistemas. </w:t>
      </w:r>
    </w:p>
    <w:p w14:paraId="6239CD71" w14:textId="08DB84C3" w:rsidR="00EC16B2" w:rsidRPr="0085757C" w:rsidRDefault="00AA5638"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Vykdytojas pateiks Užsakovui auditoriaus išvadą apie finansines ataskaitas, parengtą pagal tarptautinių audito standartų reikalavimus (toliau – „audito darbo rezultatus“). Auditoriaus išvados forma ir turinys gali būti kaip 700-ojo tarptautinio audito standarto „Nuomonės apie finansines ataskaitas susidarymas ir pateikimas“ priede pateiktuose pavyzdžiuose, tačiau gali būti aplinkybių, dėl kurių auditoriaus išvados forma ir turinys gali skirtis nuo minėtų pavyzdžių</w:t>
      </w:r>
      <w:r w:rsidR="00EC16B2" w:rsidRPr="0085757C">
        <w:rPr>
          <w:sz w:val="24"/>
          <w:szCs w:val="24"/>
          <w:lang w:val="lt-LT"/>
        </w:rPr>
        <w:t>.</w:t>
      </w:r>
    </w:p>
    <w:p w14:paraId="5E8B4DCD" w14:textId="77777777" w:rsidR="00EC16B2" w:rsidRPr="0085757C" w:rsidRDefault="00EC16B2"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Vykdytojas iš anksto planuoja </w:t>
      </w:r>
      <w:r w:rsidR="00485C10" w:rsidRPr="0085757C">
        <w:rPr>
          <w:sz w:val="24"/>
          <w:szCs w:val="24"/>
          <w:lang w:val="lt-LT"/>
        </w:rPr>
        <w:t>A</w:t>
      </w:r>
      <w:r w:rsidRPr="0085757C">
        <w:rPr>
          <w:sz w:val="24"/>
          <w:szCs w:val="24"/>
          <w:lang w:val="lt-LT"/>
        </w:rPr>
        <w:t xml:space="preserve">udito darbą paruošdamas </w:t>
      </w:r>
      <w:r w:rsidR="00485C10" w:rsidRPr="0085757C">
        <w:rPr>
          <w:sz w:val="24"/>
          <w:szCs w:val="24"/>
          <w:lang w:val="lt-LT"/>
        </w:rPr>
        <w:t>A</w:t>
      </w:r>
      <w:r w:rsidRPr="0085757C">
        <w:rPr>
          <w:sz w:val="24"/>
          <w:szCs w:val="24"/>
          <w:lang w:val="lt-LT"/>
        </w:rPr>
        <w:t xml:space="preserve">udito planą. Tačiau, atsižvelgdamas į konkrečias aplinkybes, Vykdytojas gali keisti </w:t>
      </w:r>
      <w:r w:rsidR="00485C10" w:rsidRPr="0085757C">
        <w:rPr>
          <w:sz w:val="24"/>
          <w:szCs w:val="24"/>
          <w:lang w:val="lt-LT"/>
        </w:rPr>
        <w:t>A</w:t>
      </w:r>
      <w:r w:rsidRPr="0085757C">
        <w:rPr>
          <w:sz w:val="24"/>
          <w:szCs w:val="24"/>
          <w:lang w:val="lt-LT"/>
        </w:rPr>
        <w:t xml:space="preserve">udito apimtį ir akcentuojamas sritis.  </w:t>
      </w:r>
    </w:p>
    <w:p w14:paraId="2134A4F0" w14:textId="77777777" w:rsidR="00EC16B2" w:rsidRPr="0085757C" w:rsidRDefault="00485C10"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A</w:t>
      </w:r>
      <w:r w:rsidR="00EC16B2" w:rsidRPr="0085757C">
        <w:rPr>
          <w:sz w:val="24"/>
          <w:szCs w:val="24"/>
          <w:lang w:val="lt-LT"/>
        </w:rPr>
        <w:t xml:space="preserve">udito planavimo metu Užsakovas ir Vykdytojas susitaria dėl grafiko, pagal kurį Vykdytojui bus pateikta informacija ir pagrindžiantys dokumentai, dėl finansinių ataskaitų projekto (toliau – finansinių ataskaitų projektas), taip pat dėl Užsakovo parengtos veiklos ataskaitos pateikimo. Užsakovas atsako už tai, kad Vykdytojui būtų pateikta visa reikalinga informacija, finansinių ataskaitų projektas bei Užsakovo parengta veiklos ataskaita pagal sutartą grafiką siekiant efektyviai ir laiku atlikti </w:t>
      </w:r>
      <w:r w:rsidR="006C7AC2" w:rsidRPr="0085757C">
        <w:rPr>
          <w:sz w:val="24"/>
          <w:szCs w:val="24"/>
          <w:lang w:val="lt-LT"/>
        </w:rPr>
        <w:t>A</w:t>
      </w:r>
      <w:r w:rsidR="00EC16B2" w:rsidRPr="0085757C">
        <w:rPr>
          <w:sz w:val="24"/>
          <w:szCs w:val="24"/>
          <w:lang w:val="lt-LT"/>
        </w:rPr>
        <w:t xml:space="preserve">uditą. </w:t>
      </w:r>
    </w:p>
    <w:p w14:paraId="7BA86180" w14:textId="77777777" w:rsidR="00EC16B2" w:rsidRPr="0085757C" w:rsidRDefault="00C3554A"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Šia S</w:t>
      </w:r>
      <w:r w:rsidR="00EC16B2" w:rsidRPr="0085757C">
        <w:rPr>
          <w:sz w:val="24"/>
          <w:szCs w:val="24"/>
          <w:lang w:val="lt-LT"/>
        </w:rPr>
        <w:t xml:space="preserve">utartimi apibrėžtas </w:t>
      </w:r>
      <w:r w:rsidRPr="0085757C">
        <w:rPr>
          <w:sz w:val="24"/>
          <w:szCs w:val="24"/>
          <w:lang w:val="lt-LT"/>
        </w:rPr>
        <w:t>A</w:t>
      </w:r>
      <w:r w:rsidR="00EC16B2" w:rsidRPr="0085757C">
        <w:rPr>
          <w:sz w:val="24"/>
          <w:szCs w:val="24"/>
          <w:lang w:val="lt-LT"/>
        </w:rPr>
        <w:t xml:space="preserve">uditas bus laikomas baigtu, kai Užsakovui pateikti visi </w:t>
      </w:r>
      <w:r w:rsidRPr="0085757C">
        <w:rPr>
          <w:sz w:val="24"/>
          <w:szCs w:val="24"/>
          <w:lang w:val="lt-LT"/>
        </w:rPr>
        <w:t>Audito</w:t>
      </w:r>
      <w:r w:rsidR="00EC16B2" w:rsidRPr="0085757C">
        <w:rPr>
          <w:sz w:val="24"/>
          <w:szCs w:val="24"/>
          <w:lang w:val="lt-LT"/>
        </w:rPr>
        <w:t xml:space="preserve"> d</w:t>
      </w:r>
      <w:r w:rsidRPr="0085757C">
        <w:rPr>
          <w:sz w:val="24"/>
          <w:szCs w:val="24"/>
          <w:lang w:val="lt-LT"/>
        </w:rPr>
        <w:t>arbo rezultatai, nurodyti šios S</w:t>
      </w:r>
      <w:r w:rsidR="00EC16B2" w:rsidRPr="0085757C">
        <w:rPr>
          <w:sz w:val="24"/>
          <w:szCs w:val="24"/>
          <w:lang w:val="lt-LT"/>
        </w:rPr>
        <w:t xml:space="preserve">utarties 2.3 punkte, kas ir bus laikoma paslaugų perdavimu–priėmimu, patvirtinančiu, kad įsipareigojimai buvo įvykdyti tinkamai ir laiku, nebent Šalys būtų pasirašiusios atskirą perdavimo–priėmimo aktą. </w:t>
      </w:r>
    </w:p>
    <w:p w14:paraId="03ED9996" w14:textId="481FE02E" w:rsidR="00202A16" w:rsidRPr="0085757C" w:rsidRDefault="00C3554A" w:rsidP="00E71905">
      <w:pPr>
        <w:numPr>
          <w:ilvl w:val="1"/>
          <w:numId w:val="4"/>
        </w:numPr>
        <w:tabs>
          <w:tab w:val="clear" w:pos="356"/>
          <w:tab w:val="num" w:pos="567"/>
          <w:tab w:val="left" w:pos="7218"/>
          <w:tab w:val="left" w:pos="7758"/>
          <w:tab w:val="left" w:pos="7831"/>
        </w:tabs>
        <w:spacing w:before="120" w:after="120"/>
        <w:ind w:left="567" w:right="73" w:hanging="567"/>
        <w:jc w:val="both"/>
        <w:textAlignment w:val="baseline"/>
        <w:rPr>
          <w:sz w:val="24"/>
          <w:szCs w:val="24"/>
          <w:lang w:val="lt-LT"/>
        </w:rPr>
      </w:pPr>
      <w:r w:rsidRPr="0085757C">
        <w:rPr>
          <w:sz w:val="24"/>
          <w:szCs w:val="24"/>
          <w:lang w:val="lt-LT"/>
        </w:rPr>
        <w:t>Auditoriaus išvada ir A</w:t>
      </w:r>
      <w:r w:rsidR="00EC16B2" w:rsidRPr="0085757C">
        <w:rPr>
          <w:sz w:val="24"/>
          <w:szCs w:val="24"/>
          <w:lang w:val="lt-LT"/>
        </w:rPr>
        <w:t xml:space="preserve">udito ataskaita </w:t>
      </w:r>
      <w:r w:rsidR="00591A01" w:rsidRPr="0085757C">
        <w:rPr>
          <w:sz w:val="24"/>
          <w:szCs w:val="24"/>
          <w:lang w:val="lt-LT"/>
        </w:rPr>
        <w:t>turi būti</w:t>
      </w:r>
      <w:r w:rsidR="00DC4458" w:rsidRPr="0085757C">
        <w:rPr>
          <w:sz w:val="24"/>
          <w:szCs w:val="24"/>
          <w:lang w:val="lt-LT"/>
        </w:rPr>
        <w:t xml:space="preserve"> pateikta Užsakovui iki </w:t>
      </w:r>
      <w:r w:rsidR="00E3143B" w:rsidRPr="0085757C">
        <w:rPr>
          <w:b/>
          <w:bCs/>
          <w:sz w:val="24"/>
          <w:szCs w:val="24"/>
          <w:lang w:val="lt-LT"/>
        </w:rPr>
        <w:t>202</w:t>
      </w:r>
      <w:r w:rsidR="00AA5638" w:rsidRPr="0085757C">
        <w:rPr>
          <w:b/>
          <w:bCs/>
          <w:sz w:val="24"/>
          <w:szCs w:val="24"/>
          <w:lang w:val="lt-LT"/>
        </w:rPr>
        <w:t>5</w:t>
      </w:r>
      <w:r w:rsidR="00DC4458" w:rsidRPr="0085757C">
        <w:rPr>
          <w:b/>
          <w:bCs/>
          <w:sz w:val="24"/>
          <w:szCs w:val="24"/>
          <w:lang w:val="lt-LT"/>
        </w:rPr>
        <w:t xml:space="preserve"> m. kovo </w:t>
      </w:r>
      <w:r w:rsidR="00B95EC2" w:rsidRPr="0085757C">
        <w:rPr>
          <w:b/>
          <w:bCs/>
          <w:sz w:val="24"/>
          <w:szCs w:val="24"/>
          <w:lang w:val="lt-LT"/>
        </w:rPr>
        <w:t>3</w:t>
      </w:r>
      <w:r w:rsidR="00EC16B2" w:rsidRPr="0085757C">
        <w:rPr>
          <w:b/>
          <w:bCs/>
          <w:sz w:val="24"/>
          <w:szCs w:val="24"/>
          <w:lang w:val="lt-LT"/>
        </w:rPr>
        <w:t xml:space="preserve"> d.</w:t>
      </w:r>
      <w:r w:rsidR="00726D0E" w:rsidRPr="0085757C">
        <w:rPr>
          <w:sz w:val="24"/>
          <w:szCs w:val="24"/>
          <w:lang w:val="lt-LT"/>
        </w:rPr>
        <w:t>, tačiau ne vėliau nei iki Lietuvos Respublikos sveikatos apsaugos ministerijos nurodyto termino.</w:t>
      </w:r>
    </w:p>
    <w:p w14:paraId="4D29D314" w14:textId="77777777" w:rsidR="001033C2" w:rsidRPr="0085757C"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85757C">
        <w:rPr>
          <w:b/>
          <w:smallCaps/>
          <w:sz w:val="24"/>
          <w:szCs w:val="24"/>
          <w:lang w:val="lt-LT"/>
        </w:rPr>
        <w:t>audito grupė</w:t>
      </w:r>
    </w:p>
    <w:p w14:paraId="589379F6" w14:textId="6141F1C7" w:rsidR="00EC16B2" w:rsidRPr="0085757C" w:rsidRDefault="00AA5638" w:rsidP="00E3143B">
      <w:pPr>
        <w:numPr>
          <w:ilvl w:val="1"/>
          <w:numId w:val="4"/>
        </w:numPr>
        <w:tabs>
          <w:tab w:val="clear" w:pos="356"/>
          <w:tab w:val="num" w:pos="567"/>
          <w:tab w:val="left" w:pos="1241"/>
          <w:tab w:val="left" w:pos="9180"/>
        </w:tabs>
        <w:spacing w:before="120" w:after="120"/>
        <w:ind w:left="567" w:right="6" w:hanging="601"/>
        <w:jc w:val="both"/>
        <w:textAlignment w:val="baseline"/>
        <w:rPr>
          <w:color w:val="000000"/>
          <w:sz w:val="24"/>
          <w:szCs w:val="24"/>
          <w:lang w:val="lt-LT"/>
        </w:rPr>
      </w:pPr>
      <w:bookmarkStart w:id="1" w:name="_Hlk180932717"/>
      <w:r w:rsidRPr="0085757C">
        <w:rPr>
          <w:color w:val="000000"/>
          <w:sz w:val="24"/>
          <w:szCs w:val="24"/>
          <w:lang w:val="lt-LT"/>
        </w:rPr>
        <w:t xml:space="preserve">Audito grupę sudarys auditorė Edita </w:t>
      </w:r>
      <w:proofErr w:type="spellStart"/>
      <w:r w:rsidRPr="0085757C">
        <w:rPr>
          <w:color w:val="000000"/>
          <w:sz w:val="24"/>
          <w:szCs w:val="24"/>
          <w:lang w:val="lt-LT"/>
        </w:rPr>
        <w:t>Malūkienė</w:t>
      </w:r>
      <w:proofErr w:type="spellEnd"/>
      <w:r w:rsidRPr="0085757C">
        <w:rPr>
          <w:color w:val="000000"/>
          <w:sz w:val="24"/>
          <w:szCs w:val="24"/>
          <w:lang w:val="lt-LT"/>
        </w:rPr>
        <w:t xml:space="preserve"> bei du Vykdytojo nuožiūra paskirti audito darbo grupės nariai</w:t>
      </w:r>
      <w:bookmarkEnd w:id="1"/>
      <w:r w:rsidR="00EC16B2" w:rsidRPr="0085757C">
        <w:rPr>
          <w:color w:val="000000"/>
          <w:sz w:val="24"/>
          <w:szCs w:val="24"/>
          <w:lang w:val="lt-LT"/>
        </w:rPr>
        <w:t>.</w:t>
      </w:r>
    </w:p>
    <w:p w14:paraId="2CBAA816"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right="6" w:hanging="601"/>
        <w:jc w:val="both"/>
        <w:textAlignment w:val="baseline"/>
        <w:rPr>
          <w:color w:val="000000"/>
          <w:sz w:val="24"/>
          <w:szCs w:val="24"/>
          <w:lang w:val="lt-LT"/>
        </w:rPr>
      </w:pPr>
      <w:r w:rsidRPr="0085757C">
        <w:rPr>
          <w:color w:val="000000"/>
          <w:sz w:val="24"/>
          <w:szCs w:val="24"/>
          <w:lang w:val="lt-LT"/>
        </w:rPr>
        <w:t>Vykdytojas pasilieka teisę įtraukti kitus ir (arba) pakeisti darbuotojus ir (arba) atstovus atskirai to nederindamas su Užsakovu, tačiau iš karto apie tai jį informuodamas.</w:t>
      </w:r>
    </w:p>
    <w:p w14:paraId="18F32381" w14:textId="79B8317E" w:rsidR="00202A16" w:rsidRPr="0085757C" w:rsidRDefault="00EC16B2" w:rsidP="00E71905">
      <w:pPr>
        <w:numPr>
          <w:ilvl w:val="1"/>
          <w:numId w:val="4"/>
        </w:numPr>
        <w:tabs>
          <w:tab w:val="clear" w:pos="356"/>
          <w:tab w:val="num" w:pos="540"/>
          <w:tab w:val="num" w:pos="567"/>
          <w:tab w:val="left" w:pos="1241"/>
          <w:tab w:val="left" w:pos="9180"/>
        </w:tabs>
        <w:spacing w:before="120" w:after="120"/>
        <w:ind w:left="567" w:right="6" w:hanging="601"/>
        <w:jc w:val="both"/>
        <w:textAlignment w:val="baseline"/>
        <w:rPr>
          <w:color w:val="000000"/>
          <w:sz w:val="24"/>
          <w:szCs w:val="24"/>
          <w:lang w:val="lt-LT"/>
        </w:rPr>
      </w:pPr>
      <w:r w:rsidRPr="0085757C">
        <w:rPr>
          <w:color w:val="000000"/>
          <w:sz w:val="24"/>
          <w:szCs w:val="24"/>
          <w:lang w:val="lt-LT"/>
        </w:rPr>
        <w:t xml:space="preserve">Vykdytojas turi teisę inicijuoti atlikto </w:t>
      </w:r>
      <w:r w:rsidR="00591A01" w:rsidRPr="0085757C">
        <w:rPr>
          <w:sz w:val="24"/>
          <w:szCs w:val="24"/>
          <w:lang w:val="lt-LT"/>
        </w:rPr>
        <w:t>A</w:t>
      </w:r>
      <w:r w:rsidRPr="0085757C">
        <w:rPr>
          <w:color w:val="000000"/>
          <w:sz w:val="24"/>
          <w:szCs w:val="24"/>
          <w:lang w:val="lt-LT"/>
        </w:rPr>
        <w:t>udito peržiūros atlikimą ir tuo tikslu savo nuožiūra paskirti auditorių, kuris nebūtinai yra Vykdytojo darbuotojas.</w:t>
      </w:r>
    </w:p>
    <w:p w14:paraId="42A5C57C" w14:textId="77777777" w:rsidR="001033C2" w:rsidRPr="0085757C" w:rsidRDefault="00EC16B2" w:rsidP="00E3143B">
      <w:pPr>
        <w:numPr>
          <w:ilvl w:val="0"/>
          <w:numId w:val="4"/>
        </w:numPr>
        <w:tabs>
          <w:tab w:val="num" w:pos="567"/>
          <w:tab w:val="left" w:pos="1241"/>
          <w:tab w:val="left" w:pos="9180"/>
        </w:tabs>
        <w:spacing w:before="120" w:after="120"/>
        <w:ind w:right="89" w:hanging="532"/>
        <w:jc w:val="both"/>
        <w:textAlignment w:val="baseline"/>
        <w:rPr>
          <w:b/>
          <w:smallCaps/>
          <w:sz w:val="24"/>
          <w:szCs w:val="24"/>
          <w:lang w:val="lt-LT"/>
        </w:rPr>
      </w:pPr>
      <w:r w:rsidRPr="0085757C">
        <w:rPr>
          <w:b/>
          <w:smallCaps/>
          <w:sz w:val="24"/>
          <w:szCs w:val="24"/>
          <w:lang w:val="lt-LT"/>
        </w:rPr>
        <w:t>Informacijos atskleidimas</w:t>
      </w:r>
    </w:p>
    <w:p w14:paraId="6C95F3AC"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85757C">
        <w:rPr>
          <w:sz w:val="24"/>
          <w:szCs w:val="24"/>
          <w:lang w:val="lt-LT"/>
        </w:rPr>
        <w:t>Audito darbo rezultatai ir bet kurie kiti dokumentai, kuriuos Vykdytojas pateikia veikdamas kaip audito įmonė, negali būti atskleidžiami ir (arba) perduodami trečiosioms šalims be išankstinio raštiško Vykdytojo sutikimo, išskyrus Lietuvos Respublikos įstatymuose numatytus atvejus. Apie bet kokį informacijos atskleidimo atvejį Užsakovas iš anksto ne vėliau kaip prieš 5 (penkias) kalendorines dienas informuos Vykdytoją.</w:t>
      </w:r>
    </w:p>
    <w:p w14:paraId="4FB1EE37"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85757C">
        <w:rPr>
          <w:sz w:val="24"/>
          <w:szCs w:val="24"/>
          <w:lang w:val="lt-LT"/>
        </w:rPr>
        <w:lastRenderedPageBreak/>
        <w:t xml:space="preserve">Užsakovas įsipareigoja apsaugoti Vykdytoją nuo bet kokių trečiųjų šalių Užsakovui padarytų nuostolių ar žalos, kilusios trečiosioms šalims netinkamai panaudojus Vykdytojo pateiktus dokumentus ar informaciją.   </w:t>
      </w:r>
    </w:p>
    <w:p w14:paraId="780CA0FF"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85757C">
        <w:rPr>
          <w:sz w:val="24"/>
          <w:szCs w:val="24"/>
          <w:lang w:val="lt-LT"/>
        </w:rPr>
        <w:t>Jei Užsakovas ketina publikuoti ar kitaip platinti dokumentą, kuriame be finansinių ataskaitų ir auditoriaus išvados yra ir kitos informacijos, Užsakovas privalo:</w:t>
      </w:r>
    </w:p>
    <w:p w14:paraId="178961DB" w14:textId="77777777" w:rsidR="00EC16B2" w:rsidRPr="0085757C" w:rsidRDefault="00EC16B2" w:rsidP="00E3143B">
      <w:pPr>
        <w:numPr>
          <w:ilvl w:val="2"/>
          <w:numId w:val="4"/>
        </w:numPr>
        <w:tabs>
          <w:tab w:val="num" w:pos="567"/>
          <w:tab w:val="num" w:pos="851"/>
          <w:tab w:val="left" w:pos="9180"/>
        </w:tabs>
        <w:spacing w:before="120" w:after="120"/>
        <w:ind w:left="567" w:right="-1" w:hanging="567"/>
        <w:jc w:val="both"/>
        <w:textAlignment w:val="baseline"/>
        <w:rPr>
          <w:sz w:val="24"/>
          <w:szCs w:val="24"/>
          <w:lang w:val="lt-LT"/>
        </w:rPr>
      </w:pPr>
      <w:r w:rsidRPr="0085757C">
        <w:rPr>
          <w:sz w:val="24"/>
          <w:szCs w:val="24"/>
          <w:lang w:val="lt-LT"/>
        </w:rPr>
        <w:t xml:space="preserve">pateikti Vykdytojui tokio dokumento projektą; ir </w:t>
      </w:r>
    </w:p>
    <w:p w14:paraId="05A4045B" w14:textId="5E987F00" w:rsidR="00202A16" w:rsidRPr="0085757C" w:rsidRDefault="00EC16B2" w:rsidP="00E71905">
      <w:pPr>
        <w:numPr>
          <w:ilvl w:val="2"/>
          <w:numId w:val="4"/>
        </w:numPr>
        <w:tabs>
          <w:tab w:val="num" w:pos="567"/>
          <w:tab w:val="num" w:pos="851"/>
          <w:tab w:val="left" w:pos="9180"/>
        </w:tabs>
        <w:spacing w:before="120" w:after="120"/>
        <w:ind w:left="567" w:right="-1" w:hanging="567"/>
        <w:jc w:val="both"/>
        <w:textAlignment w:val="baseline"/>
        <w:rPr>
          <w:sz w:val="24"/>
          <w:szCs w:val="24"/>
          <w:lang w:val="lt-LT"/>
        </w:rPr>
      </w:pPr>
      <w:r w:rsidRPr="0085757C">
        <w:rPr>
          <w:sz w:val="24"/>
          <w:szCs w:val="24"/>
          <w:lang w:val="lt-LT"/>
        </w:rPr>
        <w:t xml:space="preserve">gauti išankstinį raštišką Vykdytojo sutikimą publikuoti ir (arba) platinti auditoriaus išvadą kartu su kita informacija. </w:t>
      </w:r>
    </w:p>
    <w:p w14:paraId="0047C764" w14:textId="77777777" w:rsidR="001033C2" w:rsidRPr="0085757C" w:rsidRDefault="00EC16B2" w:rsidP="00E3143B">
      <w:pPr>
        <w:keepNext/>
        <w:numPr>
          <w:ilvl w:val="0"/>
          <w:numId w:val="4"/>
        </w:numPr>
        <w:tabs>
          <w:tab w:val="num" w:pos="567"/>
          <w:tab w:val="left" w:pos="1242"/>
          <w:tab w:val="left" w:pos="9181"/>
        </w:tabs>
        <w:spacing w:before="120" w:after="120"/>
        <w:ind w:left="540" w:hanging="540"/>
        <w:jc w:val="both"/>
        <w:textAlignment w:val="baseline"/>
        <w:outlineLvl w:val="1"/>
        <w:rPr>
          <w:b/>
          <w:bCs/>
          <w:smallCaps/>
          <w:sz w:val="24"/>
          <w:szCs w:val="24"/>
          <w:lang w:val="lt-LT"/>
        </w:rPr>
      </w:pPr>
      <w:r w:rsidRPr="0085757C">
        <w:rPr>
          <w:b/>
          <w:bCs/>
          <w:smallCaps/>
          <w:sz w:val="24"/>
          <w:szCs w:val="24"/>
          <w:lang w:val="lt-LT"/>
        </w:rPr>
        <w:t>Užsakovo teisės ir pareigos</w:t>
      </w:r>
    </w:p>
    <w:p w14:paraId="5CB900DF"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Užsakovas ir jo vadovybė atsako už finansinių ataskaitų bei tinkamą apskaitos įrašų, pakankamai tiksliai bet kokiu laikotarpiu atskleidžiančių Užsakovo finansinę būklę, tvarkymą, jų tikslumą, išbaigtumą ir pagrįstumą.   </w:t>
      </w:r>
    </w:p>
    <w:p w14:paraId="40635809"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Užsakovo vadovybė taip pat atsako už tai, kad Vykdytojui būtų laiku pateikiami visi jam reikalingi Užsakovo apskaitos duomenys bei visa kita atitinkama dokumentacija, įskaitant savininkų ir vadovybės sprendimus ar tokią informaciją bei duomenis, kurie, Vykdytojo nuomone, yra b</w:t>
      </w:r>
      <w:r w:rsidR="0027088C" w:rsidRPr="0085757C">
        <w:rPr>
          <w:sz w:val="24"/>
          <w:szCs w:val="24"/>
          <w:lang w:val="lt-LT"/>
        </w:rPr>
        <w:t>ūtini, kad jis galėtų pateikti A</w:t>
      </w:r>
      <w:r w:rsidRPr="0085757C">
        <w:rPr>
          <w:sz w:val="24"/>
          <w:szCs w:val="24"/>
          <w:lang w:val="lt-LT"/>
        </w:rPr>
        <w:t xml:space="preserve">udito darbo rezultatus. Užsakovas sutinka suteikti Vykdytojui neribotą galimybę bendrauti su vadovais ir visais kitais reikalingais darbuotojais, kurie </w:t>
      </w:r>
      <w:r w:rsidR="0027088C" w:rsidRPr="0085757C">
        <w:rPr>
          <w:sz w:val="24"/>
          <w:szCs w:val="24"/>
          <w:lang w:val="lt-LT"/>
        </w:rPr>
        <w:t>A</w:t>
      </w:r>
      <w:r w:rsidRPr="0085757C">
        <w:rPr>
          <w:sz w:val="24"/>
          <w:szCs w:val="24"/>
          <w:lang w:val="lt-LT"/>
        </w:rPr>
        <w:t>udito metu teiktų visokeriopą praktinę pagalbą ir tinkamus paaiškinimus.</w:t>
      </w:r>
    </w:p>
    <w:p w14:paraId="3E351E25"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Užsakovo vadovybės naudojama informacija rengiant finansines ataskaitas neišvengiamai apima ir tokius faktus bei vertinimus, kurie nėra tiesiogiai atspindėti buhalterinė</w:t>
      </w:r>
      <w:r w:rsidR="0027088C" w:rsidRPr="0085757C">
        <w:rPr>
          <w:sz w:val="24"/>
          <w:szCs w:val="24"/>
          <w:lang w:val="lt-LT"/>
        </w:rPr>
        <w:t>s apskaitos įrašuose. Viena iš A</w:t>
      </w:r>
      <w:r w:rsidRPr="0085757C">
        <w:rPr>
          <w:sz w:val="24"/>
          <w:szCs w:val="24"/>
          <w:lang w:val="lt-LT"/>
        </w:rPr>
        <w:t xml:space="preserve">udito procedūrų bus Vykdytojo prašymas, kad atitinkami Užsakovo vadovaujantys darbuotojai raštu patvirtintų tokius faktus ir sprendimus bei kitą žodžiu pateiktą informaciją, kurią </w:t>
      </w:r>
      <w:r w:rsidR="0027088C" w:rsidRPr="0085757C">
        <w:rPr>
          <w:sz w:val="24"/>
          <w:szCs w:val="24"/>
          <w:lang w:val="lt-LT"/>
        </w:rPr>
        <w:t>A</w:t>
      </w:r>
      <w:r w:rsidRPr="0085757C">
        <w:rPr>
          <w:sz w:val="24"/>
          <w:szCs w:val="24"/>
          <w:lang w:val="lt-LT"/>
        </w:rPr>
        <w:t>udito metu Vykdytojui pateikė vadovaujantys Užsakovo darbuotojai finansinių ataskaitų klausimais ir kuri gali turėti reikšmingos įtakos finansinėms ataskaitoms</w:t>
      </w:r>
      <w:r w:rsidRPr="0085757C">
        <w:rPr>
          <w:color w:val="000000"/>
          <w:sz w:val="24"/>
          <w:szCs w:val="24"/>
          <w:lang w:val="lt-LT"/>
        </w:rPr>
        <w:t>. Vadovaudamasis tarptautiniais audito standartais, Vykdytojas prašys, o Užsakovas įsipareigoja raštu patvirtinti Vykdytojui (toliau – Vadovybės pareiškimų laiškas), kad finansinėse ataskaitose esanti ir su ja susijusi informacija, kuri Vykdytojui buvo pateikta raštu ar žodžiu, yra teisinga, tiksli ir išsami. Vadovybės pareiškimų laiškas yra būtina sąlyg</w:t>
      </w:r>
      <w:r w:rsidR="00EA071E" w:rsidRPr="0085757C">
        <w:rPr>
          <w:color w:val="000000"/>
          <w:sz w:val="24"/>
          <w:szCs w:val="24"/>
          <w:lang w:val="lt-LT"/>
        </w:rPr>
        <w:t>a, kad Užsakovui būtų pateikti A</w:t>
      </w:r>
      <w:r w:rsidRPr="0085757C">
        <w:rPr>
          <w:color w:val="000000"/>
          <w:sz w:val="24"/>
          <w:szCs w:val="24"/>
          <w:lang w:val="lt-LT"/>
        </w:rPr>
        <w:t xml:space="preserve">udito darbo rezultatai. Vadovybės pareiškimų laiško nepateikimas bus laikomas darbo apimties apribojimu, dėl kurio Vykdytojas pateiks modifikuotą auditoriaus išvadą arba atsisakys pareikšti nuomonę apie finansines ataskaitas.  </w:t>
      </w:r>
    </w:p>
    <w:p w14:paraId="16D25938"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Užsakovas sutinka ir įsipareigoja apsaugoti Vykdytoją, jo darbuotojus ir (arba) atstovus nuo bet kokios atsakomybės, kuri gali kilti dėl Užsakovo darbuotojų netinkamo ir (arba) neteisingo informacijos pateikimo.   </w:t>
      </w:r>
    </w:p>
    <w:p w14:paraId="1EB582C7"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Užsakovas ir jo vadovybė atsako už teisingą visos informacijos bei duomenų, reikalingų </w:t>
      </w:r>
      <w:r w:rsidR="00EA071E" w:rsidRPr="0085757C">
        <w:rPr>
          <w:sz w:val="24"/>
          <w:szCs w:val="24"/>
          <w:lang w:val="lt-LT"/>
        </w:rPr>
        <w:t>A</w:t>
      </w:r>
      <w:r w:rsidRPr="0085757C">
        <w:rPr>
          <w:sz w:val="24"/>
          <w:szCs w:val="24"/>
          <w:lang w:val="lt-LT"/>
        </w:rPr>
        <w:t>uditui atlikti, pateikimą Vykdytojui raštu ir žodžiu, įskaitant, informaciją, atspindėtą ar neatspindėtą finansinėse ataskaitose, bet ja neapsiribojant.</w:t>
      </w:r>
    </w:p>
    <w:p w14:paraId="3466C012"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Šalys įgalioja viena kitą siųsti ir gauti duomenis ir informaciją, kuri yra būtina at</w:t>
      </w:r>
      <w:r w:rsidR="0074428D" w:rsidRPr="0085757C">
        <w:rPr>
          <w:sz w:val="24"/>
          <w:szCs w:val="24"/>
          <w:lang w:val="lt-LT"/>
        </w:rPr>
        <w:t>liekamo darbo dalis (įskaitant A</w:t>
      </w:r>
      <w:r w:rsidRPr="0085757C">
        <w:rPr>
          <w:sz w:val="24"/>
          <w:szCs w:val="24"/>
          <w:lang w:val="lt-LT"/>
        </w:rPr>
        <w:t>udito darbo rezultatų projektus, bet jais neapsiribojant)</w:t>
      </w:r>
      <w:r w:rsidR="0009249E" w:rsidRPr="0085757C">
        <w:rPr>
          <w:sz w:val="24"/>
          <w:szCs w:val="24"/>
          <w:lang w:val="lt-LT"/>
        </w:rPr>
        <w:t>, elektroniniu paštu</w:t>
      </w:r>
      <w:r w:rsidRPr="0085757C">
        <w:rPr>
          <w:sz w:val="24"/>
          <w:szCs w:val="24"/>
          <w:lang w:val="lt-LT"/>
        </w:rPr>
        <w:t xml:space="preserve">. Šalys supranta ir pripažįsta, kad elektroninio pašto naudojimas yra rizikingas tuo, kad nė viena Šalis negali garantuoti elektroniniu paštu siunčiamos informacijos bei duomenų konfidencialumo ir apsaugoti jos nuo neįgaliotų trečiųjų asmenų prieigos. Taip pat Šalys pripažįsta, kad jos neatsako viena kitai, jeigu tretieji asmenys elektroniniu paštu siunčiamą ar gaunamą informaciją bei </w:t>
      </w:r>
      <w:r w:rsidRPr="0085757C">
        <w:rPr>
          <w:sz w:val="24"/>
          <w:szCs w:val="24"/>
          <w:lang w:val="lt-LT"/>
        </w:rPr>
        <w:lastRenderedPageBreak/>
        <w:t>duomenis panaudoja prieš vieną iš Šalių ar tokie trečiųjų asmenų veiksmai sąlygoja žalos (nuostolių ir pan.) atsiradimą Šaliai.</w:t>
      </w:r>
    </w:p>
    <w:p w14:paraId="7C2A371C" w14:textId="0F60F7B4" w:rsidR="00202A16" w:rsidRPr="0085757C" w:rsidRDefault="00EC16B2" w:rsidP="00734F92">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Užsakovas turi savo sąskaita užtikrinti Vykdytojo darbuotojams ir (arba) atstovams tinkamas darbo sąlygas Užsakovo patalpose, tarp jų galimybę naudotis dokumentų kopijavimo ir informacijos perdavimo priemonėmis. </w:t>
      </w:r>
    </w:p>
    <w:p w14:paraId="7A912341" w14:textId="77777777" w:rsidR="001033C2" w:rsidRPr="0085757C" w:rsidRDefault="00EC16B2" w:rsidP="00E3143B">
      <w:pPr>
        <w:numPr>
          <w:ilvl w:val="0"/>
          <w:numId w:val="4"/>
        </w:numPr>
        <w:tabs>
          <w:tab w:val="num" w:pos="567"/>
          <w:tab w:val="left" w:pos="1242"/>
          <w:tab w:val="left" w:pos="9181"/>
        </w:tabs>
        <w:spacing w:before="120" w:after="120"/>
        <w:ind w:left="540" w:hanging="540"/>
        <w:jc w:val="both"/>
        <w:textAlignment w:val="baseline"/>
        <w:rPr>
          <w:b/>
          <w:smallCaps/>
          <w:sz w:val="24"/>
          <w:szCs w:val="24"/>
          <w:lang w:val="lt-LT"/>
        </w:rPr>
      </w:pPr>
      <w:r w:rsidRPr="0085757C">
        <w:rPr>
          <w:b/>
          <w:smallCaps/>
          <w:sz w:val="24"/>
          <w:szCs w:val="24"/>
          <w:lang w:val="lt-LT"/>
        </w:rPr>
        <w:t>Vykdytojo teisės ir pareigos</w:t>
      </w:r>
    </w:p>
    <w:p w14:paraId="2D027F02"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Vykdytojo teisinė ir profesinė </w:t>
      </w:r>
      <w:r w:rsidR="0074428D" w:rsidRPr="0085757C">
        <w:rPr>
          <w:sz w:val="24"/>
          <w:szCs w:val="24"/>
          <w:lang w:val="lt-LT"/>
        </w:rPr>
        <w:t>pareiga yra pateikti Užsakovui A</w:t>
      </w:r>
      <w:r w:rsidRPr="0085757C">
        <w:rPr>
          <w:sz w:val="24"/>
          <w:szCs w:val="24"/>
          <w:lang w:val="lt-LT"/>
        </w:rPr>
        <w:t xml:space="preserve">udito darbo rezultatus. </w:t>
      </w:r>
    </w:p>
    <w:p w14:paraId="53CF3615"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Vykdyt</w:t>
      </w:r>
      <w:r w:rsidR="0074428D" w:rsidRPr="0085757C">
        <w:rPr>
          <w:sz w:val="24"/>
          <w:szCs w:val="24"/>
          <w:lang w:val="lt-LT"/>
        </w:rPr>
        <w:t>ojas pasilieka teisę nustatyti A</w:t>
      </w:r>
      <w:r w:rsidRPr="0085757C">
        <w:rPr>
          <w:sz w:val="24"/>
          <w:szCs w:val="24"/>
          <w:lang w:val="lt-LT"/>
        </w:rPr>
        <w:t xml:space="preserve">udito darbo rezultatų turinį ir formuluotę, kaip apibrėžta </w:t>
      </w:r>
      <w:r w:rsidR="0009249E" w:rsidRPr="0085757C">
        <w:rPr>
          <w:sz w:val="24"/>
          <w:szCs w:val="24"/>
          <w:lang w:val="lt-LT"/>
        </w:rPr>
        <w:t>šios S</w:t>
      </w:r>
      <w:r w:rsidRPr="0085757C">
        <w:rPr>
          <w:sz w:val="24"/>
          <w:szCs w:val="24"/>
          <w:lang w:val="lt-LT"/>
        </w:rPr>
        <w:t>utarties 2.3 punkte.</w:t>
      </w:r>
    </w:p>
    <w:p w14:paraId="4F5AB2F9"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Užsakovas suteiks Vykdytojui galimybę gauti visus įrodymus, kokie pastarajam atrodys reikalingi siekiant padaryti pagrįstas išvadas.   </w:t>
      </w:r>
    </w:p>
    <w:p w14:paraId="6590D126" w14:textId="77777777" w:rsidR="00EC16B2" w:rsidRPr="0085757C" w:rsidRDefault="00E132AA"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Atlikdamas A</w:t>
      </w:r>
      <w:r w:rsidR="00EC16B2" w:rsidRPr="0085757C">
        <w:rPr>
          <w:sz w:val="24"/>
          <w:szCs w:val="24"/>
          <w:lang w:val="lt-LT"/>
        </w:rPr>
        <w:t xml:space="preserve">uditą, Vykdytojas naudosis visais reikiamais įgūdžiais, bus atidus ir uolus bei vykdys savo įsipareigojimus pagal taikytinus profesinės etikos principus. </w:t>
      </w:r>
    </w:p>
    <w:p w14:paraId="7FB47EB6"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Esant būtinybei, Vykdytojas turi teisę samdyti kitus atstovus bei atskleisti jiems informaciją</w:t>
      </w:r>
      <w:r w:rsidR="00E132AA" w:rsidRPr="0085757C">
        <w:rPr>
          <w:sz w:val="24"/>
          <w:szCs w:val="24"/>
          <w:lang w:val="lt-LT"/>
        </w:rPr>
        <w:t xml:space="preserve"> bei duomenis, reikalingus šia S</w:t>
      </w:r>
      <w:r w:rsidRPr="0085757C">
        <w:rPr>
          <w:sz w:val="24"/>
          <w:szCs w:val="24"/>
          <w:lang w:val="lt-LT"/>
        </w:rPr>
        <w:t xml:space="preserve">utartimi apibrėžtam </w:t>
      </w:r>
      <w:r w:rsidR="00E132AA" w:rsidRPr="0085757C">
        <w:rPr>
          <w:sz w:val="24"/>
          <w:szCs w:val="24"/>
          <w:lang w:val="lt-LT"/>
        </w:rPr>
        <w:t>A</w:t>
      </w:r>
      <w:r w:rsidRPr="0085757C">
        <w:rPr>
          <w:sz w:val="24"/>
          <w:szCs w:val="24"/>
          <w:lang w:val="lt-LT"/>
        </w:rPr>
        <w:t>uditui atlikti.</w:t>
      </w:r>
    </w:p>
    <w:p w14:paraId="4A6DF923"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Audito metu Vykdytojo parengti darbo dokumentai ir (arba) Užsakovo parengti ir Vykdytojui pateikti dokumentai bei kita medžiaga ir (arba) informacija, kurią Vykdytojas gavo atlikdamas </w:t>
      </w:r>
      <w:r w:rsidR="00E132AA" w:rsidRPr="0085757C">
        <w:rPr>
          <w:sz w:val="24"/>
          <w:szCs w:val="24"/>
          <w:lang w:val="lt-LT"/>
        </w:rPr>
        <w:t>A</w:t>
      </w:r>
      <w:r w:rsidRPr="0085757C">
        <w:rPr>
          <w:sz w:val="24"/>
          <w:szCs w:val="24"/>
          <w:lang w:val="lt-LT"/>
        </w:rPr>
        <w:t xml:space="preserve">uditą, yra laikoma darbo dokumentais ir yra Vykdytojo nuosavybė. Darbo dokumentai yra konfidencialūs, juos saugo Vykdytojas pagal Lietuvos Respublikos įstatymų reikalavimus bei Vykdytojo nustatytą politiką ir procedūras, tačiau jie gali būti atskleisti taikytinų Lietuvos Respublikos įstatymų numatytais atvejais.   </w:t>
      </w:r>
    </w:p>
    <w:p w14:paraId="77FB98A4" w14:textId="77777777" w:rsidR="00EC16B2" w:rsidRPr="0085757C"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85757C">
        <w:rPr>
          <w:sz w:val="24"/>
          <w:szCs w:val="24"/>
          <w:lang w:val="lt-LT"/>
        </w:rPr>
        <w:t xml:space="preserve">Vykdytojui priklauso autoriaus ir kitos intelektinės nuosavybės teisės į tai, kas paruošta iki </w:t>
      </w:r>
      <w:r w:rsidR="00E132AA" w:rsidRPr="0085757C">
        <w:rPr>
          <w:sz w:val="24"/>
          <w:szCs w:val="24"/>
          <w:lang w:val="lt-LT"/>
        </w:rPr>
        <w:t>A</w:t>
      </w:r>
      <w:r w:rsidRPr="0085757C">
        <w:rPr>
          <w:sz w:val="24"/>
          <w:szCs w:val="24"/>
          <w:lang w:val="lt-LT"/>
        </w:rPr>
        <w:t xml:space="preserve">udito arba </w:t>
      </w:r>
      <w:r w:rsidR="00334563" w:rsidRPr="0085757C">
        <w:rPr>
          <w:sz w:val="24"/>
          <w:szCs w:val="24"/>
          <w:lang w:val="lt-LT"/>
        </w:rPr>
        <w:t>A</w:t>
      </w:r>
      <w:r w:rsidRPr="0085757C">
        <w:rPr>
          <w:sz w:val="24"/>
          <w:szCs w:val="24"/>
          <w:lang w:val="lt-LT"/>
        </w:rPr>
        <w:t>udito metu, įskaitant sistemas, metodiką, programinę įrangą ir technologijas, bet jomis neapsiribojant. Vykdytojui priklauso visos autoriaus ir kitos intelektinės nuosavybės teisės į visas ataskaitas, konsultacijas raštu bei kitą medžiagą, kurią Vykdytojas pateikė Užsakovui, tačia</w:t>
      </w:r>
      <w:r w:rsidR="00334563" w:rsidRPr="0085757C">
        <w:rPr>
          <w:sz w:val="24"/>
          <w:szCs w:val="24"/>
          <w:lang w:val="lt-LT"/>
        </w:rPr>
        <w:t>u Užsakovas turi teisę naudoti Audito darbo rezultatus šioje S</w:t>
      </w:r>
      <w:r w:rsidRPr="0085757C">
        <w:rPr>
          <w:sz w:val="24"/>
          <w:szCs w:val="24"/>
          <w:lang w:val="lt-LT"/>
        </w:rPr>
        <w:t xml:space="preserve">utartyje numatytais būdais. </w:t>
      </w:r>
    </w:p>
    <w:p w14:paraId="0A1BBF1F" w14:textId="77777777" w:rsidR="00EC16B2" w:rsidRPr="0085757C" w:rsidRDefault="00EC16B2" w:rsidP="00E3143B">
      <w:pPr>
        <w:numPr>
          <w:ilvl w:val="1"/>
          <w:numId w:val="4"/>
        </w:numPr>
        <w:tabs>
          <w:tab w:val="clear" w:pos="356"/>
          <w:tab w:val="num" w:pos="567"/>
          <w:tab w:val="left" w:pos="9181"/>
        </w:tabs>
        <w:spacing w:before="120" w:after="120"/>
        <w:ind w:left="567" w:hanging="601"/>
        <w:jc w:val="both"/>
        <w:textAlignment w:val="baseline"/>
        <w:rPr>
          <w:sz w:val="24"/>
          <w:szCs w:val="24"/>
          <w:lang w:val="lt-LT"/>
        </w:rPr>
      </w:pPr>
      <w:r w:rsidRPr="0085757C">
        <w:rPr>
          <w:sz w:val="24"/>
          <w:szCs w:val="24"/>
          <w:lang w:val="lt-LT"/>
        </w:rPr>
        <w:t>Vykdytojas nesuteikia užtikrinimo dėl Užsakovo veiklos tęstinumo ateityje ar užtikrinimo dėl to, kaip veiksmingai Užsakovo vadovas arba kolegialus valdymo organas tvarkė ar tvarkys įmonės reikalus.</w:t>
      </w:r>
    </w:p>
    <w:p w14:paraId="70DC0D1F" w14:textId="0035CB5C" w:rsidR="00773ADA" w:rsidRPr="0085757C" w:rsidRDefault="00521F36" w:rsidP="00E3143B">
      <w:pPr>
        <w:numPr>
          <w:ilvl w:val="1"/>
          <w:numId w:val="4"/>
        </w:numPr>
        <w:tabs>
          <w:tab w:val="clear" w:pos="356"/>
          <w:tab w:val="left" w:pos="9181"/>
        </w:tabs>
        <w:spacing w:before="120" w:after="120"/>
        <w:ind w:left="567" w:hanging="567"/>
        <w:jc w:val="both"/>
        <w:textAlignment w:val="baseline"/>
        <w:rPr>
          <w:sz w:val="24"/>
          <w:szCs w:val="24"/>
          <w:lang w:val="lt-LT"/>
        </w:rPr>
      </w:pPr>
      <w:r w:rsidRPr="0085757C">
        <w:rPr>
          <w:sz w:val="24"/>
          <w:szCs w:val="24"/>
          <w:lang w:val="lt-LT"/>
        </w:rPr>
        <w:t>Vykdytojas Užsakovui įsipareigoja, kad Sutartį vykdys tik tokią teisę turintys asmenys.</w:t>
      </w:r>
    </w:p>
    <w:p w14:paraId="44F05805" w14:textId="77777777" w:rsidR="001033C2" w:rsidRPr="0085757C"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85757C">
        <w:rPr>
          <w:b/>
          <w:smallCaps/>
          <w:sz w:val="24"/>
          <w:szCs w:val="24"/>
          <w:lang w:val="lt-LT"/>
        </w:rPr>
        <w:t>Atsiskaitymas</w:t>
      </w:r>
    </w:p>
    <w:p w14:paraId="536D9819" w14:textId="4A9AF7E2" w:rsidR="00EC16B2" w:rsidRPr="0085757C" w:rsidRDefault="00EC16B2" w:rsidP="00E3143B">
      <w:pPr>
        <w:numPr>
          <w:ilvl w:val="1"/>
          <w:numId w:val="4"/>
        </w:numPr>
        <w:tabs>
          <w:tab w:val="clear" w:pos="356"/>
          <w:tab w:val="num" w:pos="567"/>
          <w:tab w:val="left" w:pos="993"/>
          <w:tab w:val="left" w:pos="1134"/>
          <w:tab w:val="left" w:pos="1985"/>
        </w:tabs>
        <w:suppressAutoHyphens/>
        <w:overflowPunct/>
        <w:autoSpaceDE/>
        <w:adjustRightInd/>
        <w:spacing w:before="120" w:after="120"/>
        <w:ind w:left="567" w:right="-68" w:hanging="601"/>
        <w:jc w:val="both"/>
        <w:textAlignment w:val="baseline"/>
        <w:rPr>
          <w:rFonts w:eastAsia="Calibri"/>
          <w:sz w:val="24"/>
          <w:szCs w:val="24"/>
          <w:lang w:val="lt-LT"/>
        </w:rPr>
      </w:pPr>
      <w:r w:rsidRPr="0085757C">
        <w:rPr>
          <w:sz w:val="24"/>
          <w:szCs w:val="24"/>
          <w:lang w:val="lt-LT"/>
        </w:rPr>
        <w:t>Sutarties kaina</w:t>
      </w:r>
      <w:r w:rsidR="008530FB" w:rsidRPr="0085757C">
        <w:rPr>
          <w:sz w:val="24"/>
          <w:szCs w:val="24"/>
          <w:lang w:val="lt-LT"/>
        </w:rPr>
        <w:t xml:space="preserve"> be PVM </w:t>
      </w:r>
      <w:r w:rsidRPr="0085757C">
        <w:rPr>
          <w:sz w:val="24"/>
          <w:szCs w:val="24"/>
          <w:lang w:val="lt-LT"/>
        </w:rPr>
        <w:t>yra</w:t>
      </w:r>
      <w:r w:rsidR="00594952" w:rsidRPr="0085757C">
        <w:rPr>
          <w:sz w:val="24"/>
          <w:szCs w:val="24"/>
          <w:lang w:val="lt-LT"/>
        </w:rPr>
        <w:t xml:space="preserve"> </w:t>
      </w:r>
      <w:r w:rsidR="00591155" w:rsidRPr="0085757C">
        <w:rPr>
          <w:b/>
          <w:bCs/>
          <w:sz w:val="24"/>
          <w:szCs w:val="24"/>
          <w:lang w:val="lt-LT"/>
        </w:rPr>
        <w:t>50</w:t>
      </w:r>
      <w:r w:rsidR="00F61FF6" w:rsidRPr="0085757C">
        <w:rPr>
          <w:b/>
          <w:bCs/>
          <w:sz w:val="24"/>
          <w:szCs w:val="24"/>
          <w:lang w:val="lt-LT"/>
        </w:rPr>
        <w:t>00</w:t>
      </w:r>
      <w:r w:rsidR="00594952" w:rsidRPr="0085757C">
        <w:rPr>
          <w:b/>
          <w:bCs/>
          <w:sz w:val="24"/>
          <w:szCs w:val="24"/>
          <w:lang w:val="lt-LT"/>
        </w:rPr>
        <w:t xml:space="preserve">,00 </w:t>
      </w:r>
      <w:r w:rsidRPr="0085757C">
        <w:rPr>
          <w:b/>
          <w:bCs/>
          <w:sz w:val="24"/>
          <w:szCs w:val="24"/>
          <w:lang w:val="lt-LT"/>
        </w:rPr>
        <w:t>E</w:t>
      </w:r>
      <w:r w:rsidR="008530FB" w:rsidRPr="0085757C">
        <w:rPr>
          <w:b/>
          <w:bCs/>
          <w:sz w:val="24"/>
          <w:szCs w:val="24"/>
          <w:lang w:val="lt-LT"/>
        </w:rPr>
        <w:t>ur</w:t>
      </w:r>
      <w:r w:rsidR="008530FB" w:rsidRPr="0085757C">
        <w:rPr>
          <w:sz w:val="24"/>
          <w:szCs w:val="24"/>
          <w:lang w:val="lt-LT"/>
        </w:rPr>
        <w:t xml:space="preserve"> </w:t>
      </w:r>
      <w:r w:rsidRPr="0085757C">
        <w:rPr>
          <w:sz w:val="24"/>
          <w:szCs w:val="24"/>
          <w:lang w:val="lt-LT"/>
        </w:rPr>
        <w:t>(</w:t>
      </w:r>
      <w:r w:rsidR="00591155" w:rsidRPr="0085757C">
        <w:rPr>
          <w:iCs/>
          <w:sz w:val="24"/>
          <w:szCs w:val="24"/>
          <w:lang w:val="lt-LT"/>
        </w:rPr>
        <w:t>penki</w:t>
      </w:r>
      <w:r w:rsidR="00594952" w:rsidRPr="0085757C">
        <w:rPr>
          <w:iCs/>
          <w:sz w:val="24"/>
          <w:szCs w:val="24"/>
          <w:lang w:val="lt-LT"/>
        </w:rPr>
        <w:t xml:space="preserve"> tūkstančiai eurų, 00 ct</w:t>
      </w:r>
      <w:r w:rsidRPr="0085757C">
        <w:rPr>
          <w:sz w:val="24"/>
          <w:szCs w:val="24"/>
          <w:lang w:val="lt-LT"/>
        </w:rPr>
        <w:t>),</w:t>
      </w:r>
      <w:r w:rsidR="008530FB" w:rsidRPr="0085757C">
        <w:rPr>
          <w:sz w:val="24"/>
          <w:szCs w:val="24"/>
          <w:lang w:val="lt-LT"/>
        </w:rPr>
        <w:t xml:space="preserve"> </w:t>
      </w:r>
      <w:r w:rsidRPr="0085757C">
        <w:rPr>
          <w:sz w:val="24"/>
          <w:szCs w:val="24"/>
          <w:lang w:val="lt-LT"/>
        </w:rPr>
        <w:t xml:space="preserve">PVM </w:t>
      </w:r>
      <w:r w:rsidR="008530FB" w:rsidRPr="0085757C">
        <w:rPr>
          <w:sz w:val="24"/>
          <w:szCs w:val="24"/>
          <w:lang w:val="lt-LT"/>
        </w:rPr>
        <w:t xml:space="preserve">21proc. </w:t>
      </w:r>
      <w:r w:rsidRPr="0085757C">
        <w:rPr>
          <w:sz w:val="24"/>
          <w:szCs w:val="24"/>
          <w:lang w:val="lt-LT"/>
        </w:rPr>
        <w:t>sudaro</w:t>
      </w:r>
      <w:r w:rsidR="00594952" w:rsidRPr="0085757C">
        <w:rPr>
          <w:sz w:val="24"/>
          <w:szCs w:val="24"/>
          <w:lang w:val="lt-LT"/>
        </w:rPr>
        <w:t xml:space="preserve"> </w:t>
      </w:r>
      <w:r w:rsidR="00591155" w:rsidRPr="0085757C">
        <w:rPr>
          <w:sz w:val="24"/>
          <w:szCs w:val="24"/>
          <w:lang w:val="lt-LT"/>
        </w:rPr>
        <w:t>1.050</w:t>
      </w:r>
      <w:r w:rsidR="00594952" w:rsidRPr="0085757C">
        <w:rPr>
          <w:sz w:val="24"/>
          <w:szCs w:val="24"/>
          <w:lang w:val="lt-LT"/>
        </w:rPr>
        <w:t xml:space="preserve">,00 </w:t>
      </w:r>
      <w:r w:rsidRPr="0085757C">
        <w:rPr>
          <w:sz w:val="24"/>
          <w:szCs w:val="24"/>
          <w:lang w:val="lt-LT"/>
        </w:rPr>
        <w:t>EUR (</w:t>
      </w:r>
      <w:r w:rsidR="00591155" w:rsidRPr="0085757C">
        <w:rPr>
          <w:iCs/>
          <w:sz w:val="24"/>
          <w:szCs w:val="24"/>
          <w:lang w:val="lt-LT"/>
        </w:rPr>
        <w:t>vienas tūkstantis penkiasdešimt eurų</w:t>
      </w:r>
      <w:r w:rsidR="00594952" w:rsidRPr="0085757C">
        <w:rPr>
          <w:iCs/>
          <w:sz w:val="24"/>
          <w:szCs w:val="24"/>
          <w:lang w:val="lt-LT"/>
        </w:rPr>
        <w:t>, 00 ct</w:t>
      </w:r>
      <w:r w:rsidRPr="0085757C">
        <w:rPr>
          <w:sz w:val="24"/>
          <w:szCs w:val="24"/>
          <w:lang w:val="lt-LT"/>
        </w:rPr>
        <w:t xml:space="preserve">). </w:t>
      </w:r>
      <w:r w:rsidR="008530FB" w:rsidRPr="0085757C">
        <w:rPr>
          <w:sz w:val="24"/>
          <w:szCs w:val="24"/>
          <w:lang w:val="lt-LT"/>
        </w:rPr>
        <w:t>Sutarties kaina su  PVM yra 6 050,00 Eur (</w:t>
      </w:r>
      <w:r w:rsidR="008530FB" w:rsidRPr="0085757C">
        <w:rPr>
          <w:iCs/>
          <w:sz w:val="24"/>
          <w:szCs w:val="24"/>
          <w:lang w:val="lt-LT"/>
        </w:rPr>
        <w:t>šeši tūkstančiai penkiasdešimt eurų, 00 ct</w:t>
      </w:r>
      <w:r w:rsidR="008530FB" w:rsidRPr="0085757C">
        <w:rPr>
          <w:sz w:val="24"/>
          <w:szCs w:val="24"/>
          <w:lang w:val="lt-LT"/>
        </w:rPr>
        <w:t>).</w:t>
      </w:r>
    </w:p>
    <w:p w14:paraId="3237583F" w14:textId="05A4FF2D" w:rsidR="008530FB" w:rsidRPr="0085757C" w:rsidRDefault="008530FB" w:rsidP="008530FB">
      <w:pPr>
        <w:tabs>
          <w:tab w:val="left" w:pos="993"/>
          <w:tab w:val="left" w:pos="1134"/>
          <w:tab w:val="left" w:pos="1985"/>
        </w:tabs>
        <w:suppressAutoHyphens/>
        <w:overflowPunct/>
        <w:autoSpaceDE/>
        <w:adjustRightInd/>
        <w:spacing w:before="120" w:after="120"/>
        <w:ind w:left="567" w:right="-68"/>
        <w:jc w:val="both"/>
        <w:textAlignment w:val="baseline"/>
        <w:rPr>
          <w:rFonts w:eastAsia="Calibri"/>
          <w:sz w:val="24"/>
          <w:szCs w:val="24"/>
          <w:lang w:val="lt-LT"/>
        </w:rPr>
      </w:pPr>
      <w:r w:rsidRPr="0085757C">
        <w:rPr>
          <w:sz w:val="24"/>
          <w:szCs w:val="24"/>
          <w:lang w:val="lt-LT"/>
        </w:rPr>
        <w:t>Sutarčiai taikoma fiksuotos kainos kainodara.</w:t>
      </w:r>
    </w:p>
    <w:p w14:paraId="2E70E095" w14:textId="77777777" w:rsidR="00EC16B2" w:rsidRPr="0085757C" w:rsidRDefault="00EC16B2" w:rsidP="00E3143B">
      <w:pPr>
        <w:numPr>
          <w:ilvl w:val="1"/>
          <w:numId w:val="4"/>
        </w:numPr>
        <w:tabs>
          <w:tab w:val="clear" w:pos="356"/>
          <w:tab w:val="left" w:pos="284"/>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85757C">
        <w:rPr>
          <w:sz w:val="24"/>
          <w:szCs w:val="24"/>
          <w:lang w:val="lt-LT"/>
        </w:rPr>
        <w:t>Į Sutarties kainą yra įskaičiuoti visi mokesčiai ir visos Vykdytojo išlaidos, būtinos Sutarties įvykdymui.</w:t>
      </w:r>
    </w:p>
    <w:p w14:paraId="3B648461" w14:textId="77777777" w:rsidR="00EC16B2" w:rsidRPr="0085757C" w:rsidRDefault="00EC16B2" w:rsidP="00E3143B">
      <w:pPr>
        <w:numPr>
          <w:ilvl w:val="1"/>
          <w:numId w:val="4"/>
        </w:numPr>
        <w:tabs>
          <w:tab w:val="clear" w:pos="356"/>
          <w:tab w:val="num" w:pos="567"/>
          <w:tab w:val="left" w:pos="851"/>
          <w:tab w:val="left" w:pos="993"/>
        </w:tabs>
        <w:suppressAutoHyphens/>
        <w:overflowPunct/>
        <w:autoSpaceDE/>
        <w:adjustRightInd/>
        <w:spacing w:before="120" w:after="120"/>
        <w:ind w:left="567" w:hanging="601"/>
        <w:jc w:val="both"/>
        <w:textAlignment w:val="baseline"/>
        <w:rPr>
          <w:rFonts w:eastAsia="Calibri"/>
          <w:sz w:val="24"/>
          <w:szCs w:val="24"/>
          <w:lang w:val="lt-LT"/>
        </w:rPr>
      </w:pPr>
      <w:r w:rsidRPr="0085757C">
        <w:rPr>
          <w:rFonts w:eastAsia="Calibri"/>
          <w:sz w:val="24"/>
          <w:szCs w:val="24"/>
          <w:lang w:val="lt-LT"/>
        </w:rPr>
        <w:t>Sutartyje nustatyta Paslaugų kaina per visą Sutarties galiojimo laikotarpį nebus keičiama (nei pasikeitus kainų lygiui, nei mokesčiams (išskyrus PVM). Pasikeitus Paslaugoms taikomam PVM tarifui (įsigaliojus tą patvirtinantiems Lietuvos Respublikos teisės aktams), Sutartyje nustatyt</w:t>
      </w:r>
      <w:r w:rsidR="00C046A9" w:rsidRPr="0085757C">
        <w:rPr>
          <w:rFonts w:eastAsia="Calibri"/>
          <w:sz w:val="24"/>
          <w:szCs w:val="24"/>
          <w:lang w:val="lt-LT"/>
        </w:rPr>
        <w:t>a</w:t>
      </w:r>
      <w:r w:rsidRPr="0085757C">
        <w:rPr>
          <w:rFonts w:eastAsia="Calibri"/>
          <w:sz w:val="24"/>
          <w:szCs w:val="24"/>
          <w:lang w:val="lt-LT"/>
        </w:rPr>
        <w:t xml:space="preserve"> Paslaugų </w:t>
      </w:r>
      <w:r w:rsidR="00C046A9" w:rsidRPr="0085757C">
        <w:rPr>
          <w:rFonts w:eastAsia="Calibri"/>
          <w:sz w:val="24"/>
          <w:szCs w:val="24"/>
          <w:lang w:val="lt-LT"/>
        </w:rPr>
        <w:t>kaina</w:t>
      </w:r>
      <w:r w:rsidRPr="0085757C">
        <w:rPr>
          <w:rFonts w:eastAsia="Calibri"/>
          <w:sz w:val="24"/>
          <w:szCs w:val="24"/>
          <w:lang w:val="lt-LT"/>
        </w:rPr>
        <w:t xml:space="preserve"> perskaičiuojam</w:t>
      </w:r>
      <w:r w:rsidR="00C046A9" w:rsidRPr="0085757C">
        <w:rPr>
          <w:rFonts w:eastAsia="Calibri"/>
          <w:sz w:val="24"/>
          <w:szCs w:val="24"/>
          <w:lang w:val="lt-LT"/>
        </w:rPr>
        <w:t>a</w:t>
      </w:r>
      <w:r w:rsidRPr="0085757C">
        <w:rPr>
          <w:rFonts w:eastAsia="Calibri"/>
          <w:sz w:val="24"/>
          <w:szCs w:val="24"/>
          <w:lang w:val="lt-LT"/>
        </w:rPr>
        <w:t xml:space="preserve"> tokia tvarka: </w:t>
      </w:r>
      <w:r w:rsidR="00C046A9" w:rsidRPr="0085757C">
        <w:rPr>
          <w:rFonts w:eastAsia="Calibri"/>
          <w:sz w:val="24"/>
          <w:szCs w:val="24"/>
          <w:lang w:val="lt-LT"/>
        </w:rPr>
        <w:t>kaina</w:t>
      </w:r>
      <w:r w:rsidRPr="0085757C">
        <w:rPr>
          <w:rFonts w:eastAsia="Calibri"/>
          <w:sz w:val="24"/>
          <w:szCs w:val="24"/>
          <w:lang w:val="lt-LT"/>
        </w:rPr>
        <w:t xml:space="preserve"> EUR be PVM nekeičiam</w:t>
      </w:r>
      <w:r w:rsidR="00C046A9" w:rsidRPr="0085757C">
        <w:rPr>
          <w:rFonts w:eastAsia="Calibri"/>
          <w:sz w:val="24"/>
          <w:szCs w:val="24"/>
          <w:lang w:val="lt-LT"/>
        </w:rPr>
        <w:t>a</w:t>
      </w:r>
      <w:r w:rsidRPr="0085757C">
        <w:rPr>
          <w:rFonts w:eastAsia="Calibri"/>
          <w:sz w:val="24"/>
          <w:szCs w:val="24"/>
          <w:lang w:val="lt-LT"/>
        </w:rPr>
        <w:t>, o prie j</w:t>
      </w:r>
      <w:r w:rsidR="00C046A9" w:rsidRPr="0085757C">
        <w:rPr>
          <w:rFonts w:eastAsia="Calibri"/>
          <w:sz w:val="24"/>
          <w:szCs w:val="24"/>
          <w:lang w:val="lt-LT"/>
        </w:rPr>
        <w:t>os</w:t>
      </w:r>
      <w:r w:rsidRPr="0085757C">
        <w:rPr>
          <w:rFonts w:eastAsia="Calibri"/>
          <w:sz w:val="24"/>
          <w:szCs w:val="24"/>
          <w:lang w:val="lt-LT"/>
        </w:rPr>
        <w:t xml:space="preserve"> </w:t>
      </w:r>
      <w:r w:rsidRPr="0085757C">
        <w:rPr>
          <w:rFonts w:eastAsia="Calibri"/>
          <w:sz w:val="24"/>
          <w:szCs w:val="24"/>
          <w:lang w:val="lt-LT"/>
        </w:rPr>
        <w:lastRenderedPageBreak/>
        <w:t xml:space="preserve">pridedamas naujas PVM tarifas. </w:t>
      </w:r>
      <w:r w:rsidR="00C046A9" w:rsidRPr="0085757C">
        <w:rPr>
          <w:rFonts w:eastAsia="Calibri"/>
          <w:sz w:val="24"/>
          <w:szCs w:val="24"/>
          <w:lang w:val="lt-LT"/>
        </w:rPr>
        <w:t>Kainos</w:t>
      </w:r>
      <w:r w:rsidRPr="0085757C">
        <w:rPr>
          <w:rFonts w:eastAsia="Calibri"/>
          <w:sz w:val="24"/>
          <w:szCs w:val="24"/>
          <w:lang w:val="lt-LT"/>
        </w:rPr>
        <w:t xml:space="preserve"> perskaičiavimas įforminamas Šalims pasirašius papildomą susitarimą prie Sutarties. Naujas PVM tarifas taikomas po </w:t>
      </w:r>
      <w:r w:rsidR="00C046A9" w:rsidRPr="0085757C">
        <w:rPr>
          <w:rFonts w:eastAsia="Calibri"/>
          <w:sz w:val="24"/>
          <w:szCs w:val="24"/>
          <w:lang w:val="lt-LT"/>
        </w:rPr>
        <w:t>kainos</w:t>
      </w:r>
      <w:r w:rsidRPr="0085757C">
        <w:rPr>
          <w:rFonts w:eastAsia="Calibri"/>
          <w:sz w:val="24"/>
          <w:szCs w:val="24"/>
          <w:lang w:val="lt-LT"/>
        </w:rPr>
        <w:t xml:space="preserve"> perskaičiavimo suteiktoms Paslaugoms.</w:t>
      </w:r>
    </w:p>
    <w:p w14:paraId="18AA08D0" w14:textId="635DA905" w:rsidR="00726D0E" w:rsidRPr="0085757C" w:rsidRDefault="00726D0E" w:rsidP="00E3143B">
      <w:pPr>
        <w:numPr>
          <w:ilvl w:val="1"/>
          <w:numId w:val="4"/>
        </w:numPr>
        <w:tabs>
          <w:tab w:val="clear" w:pos="356"/>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85757C">
        <w:rPr>
          <w:rFonts w:eastAsia="Calibri"/>
          <w:color w:val="000000"/>
          <w:sz w:val="24"/>
          <w:szCs w:val="24"/>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w:t>
      </w:r>
      <w:r w:rsidR="00FF35F1" w:rsidRPr="0085757C">
        <w:rPr>
          <w:rFonts w:eastAsia="Calibri"/>
          <w:color w:val="000000"/>
          <w:sz w:val="24"/>
          <w:szCs w:val="24"/>
          <w:lang w:val="lt-LT"/>
        </w:rPr>
        <w:t>SABIS</w:t>
      </w:r>
      <w:r w:rsidRPr="0085757C">
        <w:rPr>
          <w:rFonts w:eastAsia="Calibri"/>
          <w:color w:val="000000"/>
          <w:sz w:val="24"/>
          <w:szCs w:val="24"/>
          <w:lang w:val="lt-LT"/>
        </w:rPr>
        <w:t xml:space="preserve"> priemonėmis. Išlaidas, susijusias su atsiskaitymo dokumentų pateikimu per informacinę sistemą</w:t>
      </w:r>
      <w:r w:rsidR="00FF35F1" w:rsidRPr="0085757C">
        <w:rPr>
          <w:rFonts w:eastAsia="Calibri"/>
          <w:color w:val="000000"/>
          <w:sz w:val="24"/>
          <w:szCs w:val="24"/>
          <w:lang w:val="lt-LT"/>
        </w:rPr>
        <w:t xml:space="preserve"> SABIS</w:t>
      </w:r>
      <w:r w:rsidRPr="0085757C">
        <w:rPr>
          <w:rFonts w:eastAsia="Calibri"/>
          <w:color w:val="000000"/>
          <w:sz w:val="24"/>
          <w:szCs w:val="24"/>
          <w:lang w:val="lt-LT"/>
        </w:rPr>
        <w:t xml:space="preserve">, apmoka Vykdytojas. </w:t>
      </w:r>
    </w:p>
    <w:p w14:paraId="556B2A96" w14:textId="07C48189" w:rsidR="00EC16B2" w:rsidRPr="0085757C" w:rsidRDefault="00EC16B2" w:rsidP="00E3143B">
      <w:pPr>
        <w:numPr>
          <w:ilvl w:val="1"/>
          <w:numId w:val="4"/>
        </w:numPr>
        <w:tabs>
          <w:tab w:val="clear" w:pos="356"/>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85757C">
        <w:rPr>
          <w:sz w:val="24"/>
          <w:szCs w:val="24"/>
          <w:lang w:val="lt-LT"/>
        </w:rPr>
        <w:t xml:space="preserve">Su Vykdytoju atsiskaitoma per 30 (trisdešimt) kalendorinių dienų nuo sąskaitos – faktūros už Užsakovui tinkamai suteiktas Paslaugas pateikimo dienos. Atsiskaitoma eurais, mokėjimo pavedimu į Vykdytojo Sutartyje nurodytą sąskaitą. Mokėjimas laikomas įvykdytu, kai pinigai patenka į Vykdytojo Sutartyje nurodytą sąskaitą. </w:t>
      </w:r>
    </w:p>
    <w:p w14:paraId="0B4DA77E" w14:textId="77777777" w:rsidR="00EC16B2" w:rsidRPr="0085757C" w:rsidRDefault="00EC16B2" w:rsidP="00E3143B">
      <w:pPr>
        <w:numPr>
          <w:ilvl w:val="1"/>
          <w:numId w:val="4"/>
        </w:numPr>
        <w:tabs>
          <w:tab w:val="clear" w:pos="356"/>
          <w:tab w:val="num" w:pos="540"/>
          <w:tab w:val="num" w:pos="567"/>
        </w:tabs>
        <w:spacing w:before="120" w:after="120"/>
        <w:ind w:left="567" w:right="-1" w:hanging="601"/>
        <w:jc w:val="both"/>
        <w:textAlignment w:val="baseline"/>
        <w:rPr>
          <w:sz w:val="24"/>
          <w:szCs w:val="24"/>
          <w:lang w:val="lt-LT"/>
        </w:rPr>
      </w:pPr>
      <w:r w:rsidRPr="0085757C">
        <w:rPr>
          <w:sz w:val="24"/>
          <w:szCs w:val="24"/>
          <w:lang w:val="lt-LT"/>
        </w:rPr>
        <w:t>7.1 punkte nurodytas užmokestis yra nustatytas darant prielaidą, kad Užsakovas pagal iš anksto suderintą grafiką pateikia pagal priimtinus standartus parengtą dokumentaciją ir kad Užsakovo darbuotojai bendradarbiaus su Vykdytoju ir pateiks visus reikalingus dokumentus, duomenis ir (arba) informaciją,</w:t>
      </w:r>
      <w:r w:rsidR="00314C3C" w:rsidRPr="0085757C">
        <w:rPr>
          <w:sz w:val="24"/>
          <w:szCs w:val="24"/>
          <w:lang w:val="lt-LT"/>
        </w:rPr>
        <w:t xml:space="preserve"> kuri galioja ir atitinka šios S</w:t>
      </w:r>
      <w:r w:rsidRPr="0085757C">
        <w:rPr>
          <w:sz w:val="24"/>
          <w:szCs w:val="24"/>
          <w:lang w:val="lt-LT"/>
        </w:rPr>
        <w:t xml:space="preserve">utarties reikalavimus ir yra būtina </w:t>
      </w:r>
      <w:r w:rsidR="00314C3C" w:rsidRPr="0085757C">
        <w:rPr>
          <w:sz w:val="24"/>
          <w:szCs w:val="24"/>
          <w:lang w:val="lt-LT"/>
        </w:rPr>
        <w:t>A</w:t>
      </w:r>
      <w:r w:rsidRPr="0085757C">
        <w:rPr>
          <w:sz w:val="24"/>
          <w:szCs w:val="24"/>
          <w:lang w:val="lt-LT"/>
        </w:rPr>
        <w:t xml:space="preserve">uditui pagal šią </w:t>
      </w:r>
      <w:r w:rsidR="00314C3C" w:rsidRPr="0085757C">
        <w:rPr>
          <w:sz w:val="24"/>
          <w:szCs w:val="24"/>
          <w:lang w:val="lt-LT"/>
        </w:rPr>
        <w:t>S</w:t>
      </w:r>
      <w:r w:rsidRPr="0085757C">
        <w:rPr>
          <w:sz w:val="24"/>
          <w:szCs w:val="24"/>
          <w:lang w:val="lt-LT"/>
        </w:rPr>
        <w:t xml:space="preserve">utartį atlikti. </w:t>
      </w:r>
    </w:p>
    <w:p w14:paraId="3D1F4EF0" w14:textId="77777777" w:rsidR="00EC16B2" w:rsidRPr="0085757C" w:rsidRDefault="00EC16B2" w:rsidP="00E3143B">
      <w:pPr>
        <w:numPr>
          <w:ilvl w:val="1"/>
          <w:numId w:val="4"/>
        </w:numPr>
        <w:tabs>
          <w:tab w:val="clear" w:pos="356"/>
          <w:tab w:val="num" w:pos="540"/>
          <w:tab w:val="num" w:pos="567"/>
          <w:tab w:val="left" w:pos="1134"/>
          <w:tab w:val="left" w:pos="9180"/>
        </w:tabs>
        <w:overflowPunct/>
        <w:autoSpaceDE/>
        <w:autoSpaceDN/>
        <w:adjustRightInd/>
        <w:spacing w:before="120" w:after="120"/>
        <w:ind w:left="567" w:hanging="601"/>
        <w:jc w:val="both"/>
        <w:textAlignment w:val="baseline"/>
        <w:rPr>
          <w:sz w:val="24"/>
          <w:szCs w:val="24"/>
          <w:lang w:val="lt-LT"/>
        </w:rPr>
      </w:pPr>
      <w:r w:rsidRPr="0085757C">
        <w:rPr>
          <w:sz w:val="24"/>
          <w:szCs w:val="24"/>
          <w:lang w:val="lt-LT"/>
        </w:rPr>
        <w:t>Jei Užsakovas pageidaus, kad Vykdytojas suteiktų papildomas paslaugas, dėl tokio darbo apimties ir užmokesčio bus tariamasi iš anksto, ir sąskaitos už tokį darbą bus pateikiamos atskirai.</w:t>
      </w:r>
    </w:p>
    <w:p w14:paraId="037651B3" w14:textId="3B0C4965" w:rsidR="00A36BD7" w:rsidRPr="0085757C" w:rsidRDefault="00EC16B2" w:rsidP="00E3143B">
      <w:pPr>
        <w:numPr>
          <w:ilvl w:val="1"/>
          <w:numId w:val="4"/>
        </w:numPr>
        <w:tabs>
          <w:tab w:val="clear" w:pos="356"/>
          <w:tab w:val="num" w:pos="540"/>
          <w:tab w:val="num" w:pos="567"/>
          <w:tab w:val="left" w:pos="1134"/>
          <w:tab w:val="left" w:pos="9180"/>
        </w:tabs>
        <w:overflowPunct/>
        <w:autoSpaceDE/>
        <w:autoSpaceDN/>
        <w:adjustRightInd/>
        <w:spacing w:before="120" w:after="120"/>
        <w:ind w:left="567" w:hanging="601"/>
        <w:jc w:val="both"/>
        <w:textAlignment w:val="baseline"/>
        <w:rPr>
          <w:sz w:val="24"/>
          <w:szCs w:val="24"/>
          <w:lang w:val="lt-LT"/>
        </w:rPr>
      </w:pPr>
      <w:r w:rsidRPr="0085757C">
        <w:rPr>
          <w:sz w:val="24"/>
          <w:szCs w:val="24"/>
          <w:lang w:val="lt-LT"/>
        </w:rPr>
        <w:t>Tuo atve</w:t>
      </w:r>
      <w:r w:rsidR="008E75BC" w:rsidRPr="0085757C">
        <w:rPr>
          <w:sz w:val="24"/>
          <w:szCs w:val="24"/>
          <w:lang w:val="lt-LT"/>
        </w:rPr>
        <w:t>ju, jei Užsakovas nevykdo šios S</w:t>
      </w:r>
      <w:r w:rsidRPr="0085757C">
        <w:rPr>
          <w:sz w:val="24"/>
          <w:szCs w:val="24"/>
          <w:lang w:val="lt-LT"/>
        </w:rPr>
        <w:t xml:space="preserve">utarties nuostatų, t. y. nepateikia pagal priimtinus standartus parengtos dokumentacijos iš anksto suderintu grafiku, arba Užsakovo darbuotojai nebendradarbiauja su Vykdytoju, arba Užsakovas nepateikia visų kitų reikalingų dokumentų, duomenų ir (arba) informacijos, kuri galioja ir atitinka šios </w:t>
      </w:r>
      <w:r w:rsidR="00314C3C" w:rsidRPr="0085757C">
        <w:rPr>
          <w:sz w:val="24"/>
          <w:szCs w:val="24"/>
          <w:lang w:val="lt-LT"/>
        </w:rPr>
        <w:t>S</w:t>
      </w:r>
      <w:r w:rsidRPr="0085757C">
        <w:rPr>
          <w:sz w:val="24"/>
          <w:szCs w:val="24"/>
          <w:lang w:val="lt-LT"/>
        </w:rPr>
        <w:t xml:space="preserve">utarties reikalavimus ir yra būtina </w:t>
      </w:r>
      <w:r w:rsidR="00401C53" w:rsidRPr="0085757C">
        <w:rPr>
          <w:sz w:val="24"/>
          <w:szCs w:val="24"/>
          <w:lang w:val="lt-LT"/>
        </w:rPr>
        <w:t>A</w:t>
      </w:r>
      <w:r w:rsidR="004C1580" w:rsidRPr="0085757C">
        <w:rPr>
          <w:sz w:val="24"/>
          <w:szCs w:val="24"/>
          <w:lang w:val="lt-LT"/>
        </w:rPr>
        <w:t>uditui pagal šią S</w:t>
      </w:r>
      <w:r w:rsidRPr="0085757C">
        <w:rPr>
          <w:sz w:val="24"/>
          <w:szCs w:val="24"/>
          <w:lang w:val="lt-LT"/>
        </w:rPr>
        <w:t xml:space="preserve">utartį atlikti, arba Užsakovas nepateikia finansinių ataskaitų projekto, veiklos ataskaitos ir dėl išvardytų priežasčių Vykdytojas turi atlikti nurodytus veiksmus Užsakovo vardu jį apie tai informuodamas, tai tokie Vykdytojo veiksmai bus vertinami kaip papildomas darbas, viršijantis </w:t>
      </w:r>
      <w:r w:rsidR="00401C53" w:rsidRPr="0085757C">
        <w:rPr>
          <w:sz w:val="24"/>
          <w:szCs w:val="24"/>
          <w:lang w:val="lt-LT"/>
        </w:rPr>
        <w:t>A</w:t>
      </w:r>
      <w:r w:rsidRPr="0085757C">
        <w:rPr>
          <w:sz w:val="24"/>
          <w:szCs w:val="24"/>
          <w:lang w:val="lt-LT"/>
        </w:rPr>
        <w:t xml:space="preserve">udito darbo apimtį, nustatytą šia </w:t>
      </w:r>
      <w:r w:rsidR="00401C53" w:rsidRPr="0085757C">
        <w:rPr>
          <w:sz w:val="24"/>
          <w:szCs w:val="24"/>
          <w:lang w:val="lt-LT"/>
        </w:rPr>
        <w:t>S</w:t>
      </w:r>
      <w:r w:rsidRPr="0085757C">
        <w:rPr>
          <w:sz w:val="24"/>
          <w:szCs w:val="24"/>
          <w:lang w:val="lt-LT"/>
        </w:rPr>
        <w:t>utartimi, ir Užsakovas privalės atlyginti Vykdytojui už tokius papildomus darbus pagal papildomą susitarimą.</w:t>
      </w:r>
    </w:p>
    <w:p w14:paraId="6D28E4AA" w14:textId="77777777" w:rsidR="001033C2" w:rsidRPr="0085757C" w:rsidRDefault="00EC16B2" w:rsidP="00E3143B">
      <w:pPr>
        <w:numPr>
          <w:ilvl w:val="0"/>
          <w:numId w:val="4"/>
        </w:numPr>
        <w:tabs>
          <w:tab w:val="num" w:pos="567"/>
          <w:tab w:val="left" w:pos="1241"/>
          <w:tab w:val="left" w:pos="9180"/>
        </w:tabs>
        <w:spacing w:before="120" w:after="120"/>
        <w:ind w:left="540" w:right="856" w:hanging="540"/>
        <w:jc w:val="both"/>
        <w:textAlignment w:val="baseline"/>
        <w:rPr>
          <w:b/>
          <w:smallCaps/>
          <w:sz w:val="24"/>
          <w:szCs w:val="24"/>
          <w:lang w:val="lt-LT"/>
        </w:rPr>
      </w:pPr>
      <w:r w:rsidRPr="0085757C">
        <w:rPr>
          <w:b/>
          <w:smallCaps/>
          <w:sz w:val="24"/>
          <w:szCs w:val="24"/>
          <w:lang w:val="lt-LT"/>
        </w:rPr>
        <w:t xml:space="preserve">Konfidencialumas </w:t>
      </w:r>
    </w:p>
    <w:p w14:paraId="54D94724" w14:textId="77777777" w:rsidR="00EC16B2" w:rsidRPr="0085757C" w:rsidRDefault="00EC16B2" w:rsidP="00E3143B">
      <w:pPr>
        <w:numPr>
          <w:ilvl w:val="1"/>
          <w:numId w:val="4"/>
        </w:numPr>
        <w:tabs>
          <w:tab w:val="clear" w:pos="356"/>
          <w:tab w:val="num" w:pos="540"/>
          <w:tab w:val="num" w:pos="567"/>
          <w:tab w:val="left" w:pos="1134"/>
          <w:tab w:val="left" w:pos="1241"/>
          <w:tab w:val="left" w:pos="9180"/>
        </w:tabs>
        <w:overflowPunct/>
        <w:autoSpaceDE/>
        <w:autoSpaceDN/>
        <w:adjustRightInd/>
        <w:spacing w:before="120" w:after="120"/>
        <w:ind w:left="567" w:right="-1" w:hanging="567"/>
        <w:jc w:val="both"/>
        <w:textAlignment w:val="baseline"/>
        <w:rPr>
          <w:sz w:val="24"/>
          <w:szCs w:val="24"/>
          <w:lang w:val="lt-LT"/>
        </w:rPr>
      </w:pPr>
      <w:r w:rsidRPr="0085757C">
        <w:rPr>
          <w:sz w:val="24"/>
          <w:szCs w:val="24"/>
          <w:lang w:val="lt-LT"/>
        </w:rPr>
        <w:t>Šalys prip</w:t>
      </w:r>
      <w:r w:rsidR="004C1580" w:rsidRPr="0085757C">
        <w:rPr>
          <w:sz w:val="24"/>
          <w:szCs w:val="24"/>
          <w:lang w:val="lt-LT"/>
        </w:rPr>
        <w:t>ažįsta ir patvirtina, kad šios S</w:t>
      </w:r>
      <w:r w:rsidRPr="0085757C">
        <w:rPr>
          <w:sz w:val="24"/>
          <w:szCs w:val="24"/>
          <w:lang w:val="lt-LT"/>
        </w:rPr>
        <w:t>utarties nuostatos bei informacija, k</w:t>
      </w:r>
      <w:r w:rsidR="00C97650" w:rsidRPr="0085757C">
        <w:rPr>
          <w:sz w:val="24"/>
          <w:szCs w:val="24"/>
          <w:lang w:val="lt-LT"/>
        </w:rPr>
        <w:t>uri tapo žinoma pasirašius šią S</w:t>
      </w:r>
      <w:r w:rsidRPr="0085757C">
        <w:rPr>
          <w:sz w:val="24"/>
          <w:szCs w:val="24"/>
          <w:lang w:val="lt-LT"/>
        </w:rPr>
        <w:t>utartį, bus laikoma konfidencialia ir nebus atskleista jokiai trečiajai šaliai be išankstinio raštiško kitos Šalies sutikimo, nebent tokios informacijos atskleidimas būtų privalomas pagal Lietuvos Respublikos įstatymus arba</w:t>
      </w:r>
      <w:r w:rsidR="00C97650" w:rsidRPr="0085757C">
        <w:rPr>
          <w:sz w:val="24"/>
          <w:szCs w:val="24"/>
          <w:lang w:val="lt-LT"/>
        </w:rPr>
        <w:t xml:space="preserve"> būtinas tinkamai įvykdyti šia S</w:t>
      </w:r>
      <w:r w:rsidRPr="0085757C">
        <w:rPr>
          <w:sz w:val="24"/>
          <w:szCs w:val="24"/>
          <w:lang w:val="lt-LT"/>
        </w:rPr>
        <w:t>utartimi Šalių prisiimtus įsipareigojimus</w:t>
      </w:r>
      <w:r w:rsidR="00C97650" w:rsidRPr="0085757C">
        <w:rPr>
          <w:sz w:val="24"/>
          <w:szCs w:val="24"/>
          <w:lang w:val="lt-LT"/>
        </w:rPr>
        <w:t>.</w:t>
      </w:r>
      <w:r w:rsidRPr="0085757C">
        <w:rPr>
          <w:sz w:val="24"/>
          <w:szCs w:val="24"/>
          <w:lang w:val="lt-LT"/>
        </w:rPr>
        <w:t xml:space="preserve"> Konfidencialumo reikalavimas nėra taikomas viešai skelbiamai informacijai. </w:t>
      </w:r>
    </w:p>
    <w:p w14:paraId="60F56EF4" w14:textId="1746B4EA" w:rsidR="00FF618C" w:rsidRPr="0085757C" w:rsidRDefault="00EC16B2" w:rsidP="00E3143B">
      <w:pPr>
        <w:numPr>
          <w:ilvl w:val="1"/>
          <w:numId w:val="4"/>
        </w:numPr>
        <w:tabs>
          <w:tab w:val="clear" w:pos="356"/>
          <w:tab w:val="num" w:pos="540"/>
          <w:tab w:val="num" w:pos="567"/>
          <w:tab w:val="left" w:pos="1134"/>
          <w:tab w:val="left" w:pos="1241"/>
          <w:tab w:val="left" w:pos="9180"/>
        </w:tabs>
        <w:overflowPunct/>
        <w:autoSpaceDE/>
        <w:autoSpaceDN/>
        <w:adjustRightInd/>
        <w:spacing w:before="120" w:after="120"/>
        <w:ind w:left="567" w:right="-1" w:hanging="567"/>
        <w:jc w:val="both"/>
        <w:textAlignment w:val="baseline"/>
        <w:rPr>
          <w:sz w:val="24"/>
          <w:szCs w:val="24"/>
          <w:lang w:val="lt-LT"/>
        </w:rPr>
      </w:pPr>
      <w:r w:rsidRPr="0085757C">
        <w:rPr>
          <w:sz w:val="24"/>
          <w:szCs w:val="24"/>
          <w:lang w:val="lt-LT"/>
        </w:rPr>
        <w:t xml:space="preserve">Siekdamos išvengti nesusipratimų, Šalys vienareikšmiškai sutaria, kad 8.1 punkte nustatytas konfidencialumo reikalavimas yra taikomas bet kokiai informacijai, kuri yra susijusi su Užsakovu ir kurią Vykdytojas gavo </w:t>
      </w:r>
      <w:r w:rsidR="00401C53" w:rsidRPr="0085757C">
        <w:rPr>
          <w:sz w:val="24"/>
          <w:szCs w:val="24"/>
          <w:lang w:val="lt-LT"/>
        </w:rPr>
        <w:t>A</w:t>
      </w:r>
      <w:r w:rsidRPr="0085757C">
        <w:rPr>
          <w:sz w:val="24"/>
          <w:szCs w:val="24"/>
          <w:lang w:val="lt-LT"/>
        </w:rPr>
        <w:t xml:space="preserve">udito metu, išskyrus tuos atvejus, kai Užsakovas raštu sutinka atskleisti informaciją arba kai tai yra privaloma pagal Lietuvos Respublikos įstatymus. Užsakovas sutinka neatskleisti Vykdytojo </w:t>
      </w:r>
      <w:r w:rsidR="00401C53" w:rsidRPr="0085757C">
        <w:rPr>
          <w:sz w:val="24"/>
          <w:szCs w:val="24"/>
          <w:lang w:val="lt-LT"/>
        </w:rPr>
        <w:t>A</w:t>
      </w:r>
      <w:r w:rsidRPr="0085757C">
        <w:rPr>
          <w:sz w:val="24"/>
          <w:szCs w:val="24"/>
          <w:lang w:val="lt-LT"/>
        </w:rPr>
        <w:t xml:space="preserve">udito metodikos ir </w:t>
      </w:r>
      <w:r w:rsidR="00401C53" w:rsidRPr="0085757C">
        <w:rPr>
          <w:sz w:val="24"/>
          <w:szCs w:val="24"/>
          <w:lang w:val="lt-LT"/>
        </w:rPr>
        <w:t>A</w:t>
      </w:r>
      <w:r w:rsidRPr="0085757C">
        <w:rPr>
          <w:sz w:val="24"/>
          <w:szCs w:val="24"/>
          <w:lang w:val="lt-LT"/>
        </w:rPr>
        <w:t xml:space="preserve">udito atlikimo būdų. </w:t>
      </w:r>
    </w:p>
    <w:p w14:paraId="42AE5FF5" w14:textId="77777777" w:rsidR="00687B12" w:rsidRPr="0085757C" w:rsidRDefault="00687B12" w:rsidP="00E3143B">
      <w:pPr>
        <w:numPr>
          <w:ilvl w:val="0"/>
          <w:numId w:val="4"/>
        </w:numPr>
        <w:tabs>
          <w:tab w:val="num" w:pos="567"/>
          <w:tab w:val="left" w:pos="1241"/>
          <w:tab w:val="left" w:pos="9180"/>
        </w:tabs>
        <w:spacing w:before="120" w:after="120"/>
        <w:ind w:left="540" w:right="856" w:hanging="540"/>
        <w:jc w:val="both"/>
        <w:textAlignment w:val="baseline"/>
        <w:rPr>
          <w:b/>
          <w:smallCaps/>
          <w:sz w:val="24"/>
          <w:szCs w:val="24"/>
          <w:lang w:val="lt-LT"/>
        </w:rPr>
      </w:pPr>
      <w:r w:rsidRPr="0085757C">
        <w:rPr>
          <w:b/>
          <w:smallCaps/>
          <w:sz w:val="24"/>
          <w:szCs w:val="24"/>
          <w:lang w:val="lt-LT"/>
        </w:rPr>
        <w:t>Asmens duomenų tvarkymas</w:t>
      </w:r>
    </w:p>
    <w:p w14:paraId="36A40143" w14:textId="77777777" w:rsidR="00687B12" w:rsidRPr="0085757C"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85757C">
        <w:rPr>
          <w:rFonts w:ascii="Times New Roman" w:hAnsi="Times New Roman" w:cs="Times New Roman"/>
          <w:sz w:val="24"/>
          <w:szCs w:val="24"/>
        </w:rPr>
        <w:lastRenderedPageBreak/>
        <w:t xml:space="preserve">Vykdydamos sutartį, Šalys keičiasi informacija, kuri gali apimti asmens duomenis. Gaudamas iš Užsakovo ir toliau tvarkydamas asmens duomenis, reikalingus ar susijusius su Vykdytojo pareigų pagal šią </w:t>
      </w:r>
      <w:r w:rsidR="00FF618C" w:rsidRPr="0085757C">
        <w:rPr>
          <w:rFonts w:ascii="Times New Roman" w:hAnsi="Times New Roman" w:cs="Times New Roman"/>
          <w:sz w:val="24"/>
          <w:szCs w:val="24"/>
        </w:rPr>
        <w:t>S</w:t>
      </w:r>
      <w:r w:rsidRPr="0085757C">
        <w:rPr>
          <w:rFonts w:ascii="Times New Roman" w:hAnsi="Times New Roman" w:cs="Times New Roman"/>
          <w:sz w:val="24"/>
          <w:szCs w:val="24"/>
        </w:rPr>
        <w:t>utartį teikimu, Vykdytojas yra savarankiškas asmens duomenų valdytojas Užsakovo, kaip teikiamų asmens duomenų valdytojo, atžvilgiu.</w:t>
      </w:r>
    </w:p>
    <w:p w14:paraId="4CD13737" w14:textId="77777777" w:rsidR="00687B12" w:rsidRPr="0085757C"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85757C">
        <w:rPr>
          <w:rFonts w:ascii="Times New Roman" w:hAnsi="Times New Roman" w:cs="Times New Roman"/>
          <w:sz w:val="24"/>
          <w:szCs w:val="24"/>
        </w:rPr>
        <w:t xml:space="preserve">Priklausomai nuo šia </w:t>
      </w:r>
      <w:r w:rsidR="00FF618C" w:rsidRPr="0085757C">
        <w:rPr>
          <w:rFonts w:ascii="Times New Roman" w:hAnsi="Times New Roman" w:cs="Times New Roman"/>
          <w:sz w:val="24"/>
          <w:szCs w:val="24"/>
        </w:rPr>
        <w:t>S</w:t>
      </w:r>
      <w:r w:rsidRPr="0085757C">
        <w:rPr>
          <w:rFonts w:ascii="Times New Roman" w:hAnsi="Times New Roman" w:cs="Times New Roman"/>
          <w:sz w:val="24"/>
          <w:szCs w:val="24"/>
        </w:rPr>
        <w:t xml:space="preserve">utartimi sutarto </w:t>
      </w:r>
      <w:r w:rsidR="00FF618C" w:rsidRPr="0085757C">
        <w:rPr>
          <w:rFonts w:ascii="Times New Roman" w:hAnsi="Times New Roman" w:cs="Times New Roman"/>
          <w:sz w:val="24"/>
          <w:szCs w:val="24"/>
        </w:rPr>
        <w:t>P</w:t>
      </w:r>
      <w:r w:rsidRPr="0085757C">
        <w:rPr>
          <w:rFonts w:ascii="Times New Roman" w:hAnsi="Times New Roman" w:cs="Times New Roman"/>
          <w:sz w:val="24"/>
          <w:szCs w:val="24"/>
        </w:rPr>
        <w:t>aslaugų pobūdžio, gali būti atvejų, kai Vykdytojas pats nenustato asmens duomenų tvarkymo tikslų ir priemonių bei gautinų asmens duomenų apimties, o asmens duomenis tvarko pagal Užsakovo pavedimą ir instrukcijas. Tokiu atveju Vykdytojas bus laikomas duomenų tvarkytoju, o Šalys tarpusavio teisinius santykius aptars atskira asmens duomenų tvarkymo sutartimi.</w:t>
      </w:r>
    </w:p>
    <w:p w14:paraId="11400496" w14:textId="77777777" w:rsidR="00687B12" w:rsidRPr="0085757C"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85757C">
        <w:rPr>
          <w:rFonts w:ascii="Times New Roman" w:hAnsi="Times New Roman" w:cs="Times New Roman"/>
          <w:sz w:val="24"/>
          <w:szCs w:val="24"/>
        </w:rPr>
        <w:t>Atsižvelgiant į galiojančius teisės aktus, Vykdytojas gali teikti Užsakovo jam perduotus asmens duomenis kitiems gavėjams ir paslaugų Vykdytojui teikėjams, (toliau – Paslaugų teikėjai), kurie gali ją rinkti, naudoti, perduoti, saugoti ar kitaip apdoroti įvairiose jurisdikcijose, kuriose jos veikia, tikslais, susijusiais su:</w:t>
      </w:r>
    </w:p>
    <w:p w14:paraId="5FFCAC88" w14:textId="77777777" w:rsidR="00687B12" w:rsidRPr="0085757C" w:rsidRDefault="00687B12" w:rsidP="00E3143B">
      <w:pPr>
        <w:pStyle w:val="ListParagraph"/>
        <w:numPr>
          <w:ilvl w:val="2"/>
          <w:numId w:val="4"/>
        </w:numPr>
        <w:tabs>
          <w:tab w:val="clear" w:pos="1004"/>
          <w:tab w:val="left" w:pos="1134"/>
          <w:tab w:val="num" w:pos="2138"/>
        </w:tabs>
        <w:spacing w:before="120" w:after="120"/>
        <w:ind w:left="567" w:hanging="567"/>
        <w:contextualSpacing w:val="0"/>
        <w:jc w:val="both"/>
        <w:textAlignment w:val="baseline"/>
        <w:rPr>
          <w:sz w:val="24"/>
          <w:szCs w:val="24"/>
          <w:lang w:val="lt-LT"/>
        </w:rPr>
      </w:pPr>
      <w:r w:rsidRPr="0085757C">
        <w:rPr>
          <w:sz w:val="24"/>
          <w:szCs w:val="24"/>
          <w:lang w:val="lt-LT"/>
        </w:rPr>
        <w:t>Vykdytojo paslaugų teikimu;</w:t>
      </w:r>
    </w:p>
    <w:p w14:paraId="7B73C687" w14:textId="77777777" w:rsidR="00687B12" w:rsidRPr="0085757C" w:rsidRDefault="00687B12" w:rsidP="00E3143B">
      <w:pPr>
        <w:pStyle w:val="ListParagraph"/>
        <w:numPr>
          <w:ilvl w:val="2"/>
          <w:numId w:val="4"/>
        </w:numPr>
        <w:tabs>
          <w:tab w:val="clear" w:pos="1004"/>
          <w:tab w:val="left" w:pos="1134"/>
          <w:tab w:val="num" w:pos="2138"/>
        </w:tabs>
        <w:spacing w:before="120" w:after="120"/>
        <w:ind w:left="567" w:hanging="567"/>
        <w:contextualSpacing w:val="0"/>
        <w:jc w:val="both"/>
        <w:textAlignment w:val="baseline"/>
        <w:rPr>
          <w:sz w:val="24"/>
          <w:szCs w:val="24"/>
          <w:lang w:val="lt-LT"/>
        </w:rPr>
      </w:pPr>
      <w:r w:rsidRPr="0085757C">
        <w:rPr>
          <w:sz w:val="24"/>
          <w:szCs w:val="24"/>
          <w:lang w:val="lt-LT"/>
        </w:rPr>
        <w:t>teisės aktų reikalavimų laikymusi.</w:t>
      </w:r>
    </w:p>
    <w:p w14:paraId="2394232E" w14:textId="77777777" w:rsidR="00687B12" w:rsidRPr="0085757C"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sz w:val="24"/>
          <w:szCs w:val="24"/>
        </w:rPr>
      </w:pPr>
      <w:r w:rsidRPr="0085757C">
        <w:rPr>
          <w:rFonts w:ascii="Times New Roman" w:hAnsi="Times New Roman" w:cs="Times New Roman"/>
          <w:sz w:val="24"/>
          <w:szCs w:val="24"/>
        </w:rPr>
        <w:t xml:space="preserve">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 </w:t>
      </w:r>
    </w:p>
    <w:p w14:paraId="05165230" w14:textId="77777777" w:rsidR="00687B12" w:rsidRPr="0085757C"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sz w:val="24"/>
          <w:szCs w:val="24"/>
        </w:rPr>
      </w:pPr>
      <w:r w:rsidRPr="0085757C">
        <w:rPr>
          <w:rFonts w:ascii="Times New Roman" w:hAnsi="Times New Roman" w:cs="Times New Roman"/>
          <w:sz w:val="24"/>
          <w:szCs w:val="24"/>
        </w:rPr>
        <w:t xml:space="preserve">Kiekviena Šalis, būdama savarankišku asmens duomenų valdytoju, vykdydama šią </w:t>
      </w:r>
      <w:r w:rsidR="00FF618C" w:rsidRPr="0085757C">
        <w:rPr>
          <w:rFonts w:ascii="Times New Roman" w:hAnsi="Times New Roman" w:cs="Times New Roman"/>
          <w:sz w:val="24"/>
          <w:szCs w:val="24"/>
        </w:rPr>
        <w:t>S</w:t>
      </w:r>
      <w:r w:rsidRPr="0085757C">
        <w:rPr>
          <w:rFonts w:ascii="Times New Roman" w:hAnsi="Times New Roman" w:cs="Times New Roman"/>
          <w:sz w:val="24"/>
          <w:szCs w:val="24"/>
        </w:rPr>
        <w:t>utartį užtikrina, kad:</w:t>
      </w:r>
    </w:p>
    <w:p w14:paraId="445BB0F0"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 prieš pradėdama tvarkyti asmens duomenis įgyvendins ir visą asmens duomenų tvarkymo laiką taikys tinkamas technines ir organizacines priemones, reikalingas užtikrinti asmens duomenų saugumą ir taikytinų duomenų apsaugos teisės aktų nustatytą duomenų subjektų teisių įgyvendinimą, atsižvelgiant į techninių galimybių išsivystymo lygį bei asmens duomenų tvarkymo pobūdį, aprėptį, tikslus, riziką asmens duomenų saugumui. Šalis, kaip duomenų valdytojas, pati savo nuožiūra pasirinks ir savo lėšomis įdiegs tinkamas technines ir organizacines priemones;</w:t>
      </w:r>
    </w:p>
    <w:p w14:paraId="0C9FB531"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nustatys asmens duomenų konfidencialumo tvarką, kurios privalės laikytis bet kuri trečioji šalis, kuriai Šalis suteikia leidimą prieigai prie asmens duomenų, įskaitant duomenų tvarkytojus. Ši nuostata netaikoma asmenims, kuriems prieiga prie asmens duomenų yra reikalinga arba kurie yra įgalioti tvarkyti asmens duomenis pagal teisės aktą; </w:t>
      </w:r>
    </w:p>
    <w:p w14:paraId="65F6CFA5"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Šalis, tiek, kiek taikoma jos atliekamam savarankiškam asmens duomenų tvarkymui pagal </w:t>
      </w:r>
      <w:r w:rsidR="00FF618C" w:rsidRPr="0085757C">
        <w:rPr>
          <w:sz w:val="24"/>
          <w:szCs w:val="24"/>
          <w:lang w:val="lt-LT"/>
        </w:rPr>
        <w:t>S</w:t>
      </w:r>
      <w:r w:rsidRPr="0085757C">
        <w:rPr>
          <w:sz w:val="24"/>
          <w:szCs w:val="24"/>
          <w:lang w:val="lt-LT"/>
        </w:rPr>
        <w:t>utartį, užtikrins duomenų subjektų teisių numatytų BDAR įgyvendinimą, įskaitant informuos duomenų subjektus BDAR nustatyta tvarka apie tai, kad duomenų valdytojas tvarko ir (arba) perduoda kitai Šaliai tokio duomenų subjekto asmens duomenis, nebent duomenų subjektai jau yra apie tai informuoti arba taikytinuose teisės aktuose numatyta kitaip;</w:t>
      </w:r>
    </w:p>
    <w:p w14:paraId="4888EBA5"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 jei atskleis ir (arba) perduos asmens duomenis trečiajai šaliai, esančiai už Europos ekonominėje erdvės (EEE) ribų, užtikrins, kad tokia trečioji šalis pasirašys ES sutarčių standartines sąlygas atitinkančią sutartį ar kitą duomenų perdavimo susitarimą, patvirtintą ES kompetentingos institucijos arba bus laikomasi kitų BDAR V skyriuje numatytų reikalavimų, susijusių su asmens duomenų perdavimu į kitą trečiąją ir tinkamu apsaugos lygmeniu užtikrinimu; </w:t>
      </w:r>
    </w:p>
    <w:p w14:paraId="47C4F8B3"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pagal savo galimybes teikia pagalbą, kurios pagrįstai remdamasi taikytinais asmens duomenų apsaugos teisės aktais prašo kita Šalis, siekiant pagelbėti tai Šaliai laikytis saugumo, asmens </w:t>
      </w:r>
      <w:r w:rsidRPr="0085757C">
        <w:rPr>
          <w:sz w:val="24"/>
          <w:szCs w:val="24"/>
          <w:lang w:val="lt-LT"/>
        </w:rPr>
        <w:lastRenderedPageBreak/>
        <w:t>duomenų saugumo pažeidimo pranešimo ir komunikacijos, poveikio duomenų apsaugai vertinimo, išankstinių konsultacijų, atskaitomybės reikalavimų ar kitų Šaliai pagal taikytinus duomenų apsaugos teisės aktus nustatytų (pvz., duomenų subjekto teisių įgyvendinimo) įsipareigojimų, susijusių su asmens duomenų tvarkymu pagal šią sutartį;</w:t>
      </w:r>
    </w:p>
    <w:p w14:paraId="6A85CA1C"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jos darbuotojai, tvarkantys asmens duomenis, yra supažindinti su pareiga saugoti asmens duomenų paslaptį;</w:t>
      </w:r>
    </w:p>
    <w:p w14:paraId="29A78145" w14:textId="77777777" w:rsidR="00687B12" w:rsidRPr="0085757C"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85757C">
        <w:rPr>
          <w:sz w:val="24"/>
          <w:szCs w:val="24"/>
          <w:lang w:val="lt-LT"/>
        </w:rPr>
        <w:t xml:space="preserve">jei kyla ginčas su duomenų subjektu ar priežiūros institucija arba vienai iš Šalių arba abiem pateikiama pretenzija dėl su šios </w:t>
      </w:r>
      <w:r w:rsidR="00FF618C" w:rsidRPr="0085757C">
        <w:rPr>
          <w:sz w:val="24"/>
          <w:szCs w:val="24"/>
          <w:lang w:val="lt-LT"/>
        </w:rPr>
        <w:t>S</w:t>
      </w:r>
      <w:r w:rsidRPr="0085757C">
        <w:rPr>
          <w:sz w:val="24"/>
          <w:szCs w:val="24"/>
          <w:lang w:val="lt-LT"/>
        </w:rPr>
        <w:t>utarties vykdymu susijusio asmens duomenų tvarkymo, Šalys teisės aktų nedraudžiama apimtimi praneš viena kitai apie bet tokius ginčus ir (ar) pateiktas pretenzijas ir bendradarbiaus siekdamos juos išspręsti taikiai ir laiku.</w:t>
      </w:r>
    </w:p>
    <w:p w14:paraId="7E6F7220" w14:textId="6957D16A" w:rsidR="00202A16" w:rsidRPr="0085757C" w:rsidRDefault="00687B12" w:rsidP="00E71905">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85757C">
        <w:rPr>
          <w:rFonts w:ascii="Times New Roman" w:hAnsi="Times New Roman" w:cs="Times New Roman"/>
          <w:sz w:val="24"/>
          <w:szCs w:val="24"/>
        </w:rPr>
        <w:t xml:space="preserve">Užsakovas, pasirašydamas šią sutartį patvirtina, kad turi įgaliojimus ir (arba) teisinį pagrindą perduoti Vykdytojui asmens duomenis, susijusius su Vykdytojo paslaugų pagal šią </w:t>
      </w:r>
      <w:r w:rsidR="00FF618C" w:rsidRPr="0085757C">
        <w:rPr>
          <w:rFonts w:ascii="Times New Roman" w:hAnsi="Times New Roman" w:cs="Times New Roman"/>
          <w:sz w:val="24"/>
          <w:szCs w:val="24"/>
        </w:rPr>
        <w:t>S</w:t>
      </w:r>
      <w:r w:rsidRPr="0085757C">
        <w:rPr>
          <w:rFonts w:ascii="Times New Roman" w:hAnsi="Times New Roman" w:cs="Times New Roman"/>
          <w:sz w:val="24"/>
          <w:szCs w:val="24"/>
        </w:rPr>
        <w:t xml:space="preserve">utartį teikimu, ir kad bet kurie Užsakovo surinkti ir Vykdytojui pateikti ar ateityje pateiktini asmens duomenys buvo, yra ir bus tvarkomi laikantis taikytinų duomenų apsaugos teisės aktų, įskaitant BDAR. Užsakovas perduos Vykdytojui šios sutarties vykdymui reikalingus ar su tuo susijusius asmens duomenis tik įsitikinęs, kad duomenų perdavimas Vykdytojui yra teisėtas, o perdavimo teisėtumą pagrindžiančią informaciją pateiks tik Vykdytojo prašymu. Vykdytojas atsako už asmens duomenų konfidencialumą ir saugumą nuo asmens duomenų gavimo momento. </w:t>
      </w:r>
    </w:p>
    <w:p w14:paraId="147A3DC6" w14:textId="77777777" w:rsidR="001033C2" w:rsidRPr="0085757C"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85757C">
        <w:rPr>
          <w:b/>
          <w:smallCaps/>
          <w:sz w:val="24"/>
          <w:szCs w:val="24"/>
          <w:lang w:val="lt-LT"/>
        </w:rPr>
        <w:t>Force Majeure</w:t>
      </w:r>
    </w:p>
    <w:p w14:paraId="30A08A0E"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85757C">
        <w:rPr>
          <w:sz w:val="24"/>
          <w:szCs w:val="24"/>
          <w:lang w:val="lt-LT"/>
        </w:rPr>
        <w:t xml:space="preserve">Nė viena Šalis nebus atsakinga už šios </w:t>
      </w:r>
      <w:r w:rsidR="00401C53" w:rsidRPr="0085757C">
        <w:rPr>
          <w:sz w:val="24"/>
          <w:szCs w:val="24"/>
          <w:lang w:val="lt-LT"/>
        </w:rPr>
        <w:t>S</w:t>
      </w:r>
      <w:r w:rsidRPr="0085757C">
        <w:rPr>
          <w:sz w:val="24"/>
          <w:szCs w:val="24"/>
          <w:lang w:val="lt-LT"/>
        </w:rPr>
        <w:t xml:space="preserve">utarties įsipareigojimų nevykdymą ar netinkamą vykdymą dėl </w:t>
      </w:r>
      <w:r w:rsidRPr="0085757C">
        <w:rPr>
          <w:i/>
          <w:iCs/>
          <w:sz w:val="24"/>
          <w:szCs w:val="24"/>
          <w:lang w:val="lt-LT"/>
        </w:rPr>
        <w:t xml:space="preserve">force majeure </w:t>
      </w:r>
      <w:r w:rsidRPr="0085757C">
        <w:rPr>
          <w:sz w:val="24"/>
          <w:szCs w:val="24"/>
          <w:lang w:val="lt-LT"/>
        </w:rPr>
        <w:t>(nenugalimos jėgos aplinkybės</w:t>
      </w:r>
      <w:r w:rsidRPr="0085757C">
        <w:rPr>
          <w:i/>
          <w:iCs/>
          <w:sz w:val="24"/>
          <w:szCs w:val="24"/>
          <w:lang w:val="lt-LT"/>
        </w:rPr>
        <w:t xml:space="preserve">) </w:t>
      </w:r>
      <w:r w:rsidRPr="0085757C">
        <w:rPr>
          <w:sz w:val="24"/>
          <w:szCs w:val="24"/>
          <w:lang w:val="lt-LT"/>
        </w:rPr>
        <w:t xml:space="preserve">aplinkybių, valstybės ar trečiosios šalies veiksmų.  </w:t>
      </w:r>
    </w:p>
    <w:p w14:paraId="19DD0C9C"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85757C">
        <w:rPr>
          <w:sz w:val="24"/>
          <w:szCs w:val="24"/>
          <w:lang w:val="lt-LT"/>
        </w:rPr>
        <w:t xml:space="preserve">Bet kurios iš Šalių finansinių lėšų nepakankamumas ar kontrahentų pažeisti įsipareigojimai nėra laikomi </w:t>
      </w:r>
      <w:r w:rsidRPr="0085757C">
        <w:rPr>
          <w:i/>
          <w:iCs/>
          <w:sz w:val="24"/>
          <w:szCs w:val="24"/>
          <w:lang w:val="lt-LT"/>
        </w:rPr>
        <w:t xml:space="preserve">force majeure </w:t>
      </w:r>
      <w:r w:rsidRPr="0085757C">
        <w:rPr>
          <w:iCs/>
          <w:sz w:val="24"/>
          <w:szCs w:val="24"/>
          <w:lang w:val="lt-LT"/>
        </w:rPr>
        <w:t>aplinkybėmis</w:t>
      </w:r>
      <w:r w:rsidRPr="0085757C">
        <w:rPr>
          <w:sz w:val="24"/>
          <w:szCs w:val="24"/>
          <w:lang w:val="lt-LT"/>
        </w:rPr>
        <w:t xml:space="preserve">. </w:t>
      </w:r>
    </w:p>
    <w:p w14:paraId="50398820"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85757C">
        <w:rPr>
          <w:sz w:val="24"/>
          <w:szCs w:val="24"/>
          <w:lang w:val="lt-LT"/>
        </w:rPr>
        <w:t xml:space="preserve">Kiekviena Šalis kaip galima greičiau, bet ne vėliau kaip per 30 (trisdešimt) kalendorinių dienų, praneša kitai Šaliai apie </w:t>
      </w:r>
      <w:r w:rsidRPr="0085757C">
        <w:rPr>
          <w:i/>
          <w:iCs/>
          <w:sz w:val="24"/>
          <w:szCs w:val="24"/>
          <w:lang w:val="lt-LT"/>
        </w:rPr>
        <w:t>force majeure</w:t>
      </w:r>
      <w:r w:rsidRPr="0085757C">
        <w:rPr>
          <w:sz w:val="24"/>
          <w:szCs w:val="24"/>
          <w:lang w:val="lt-LT"/>
        </w:rPr>
        <w:t xml:space="preserve"> aplinkybių atsiradimą ir aptaria </w:t>
      </w:r>
      <w:r w:rsidR="00651BDC" w:rsidRPr="0085757C">
        <w:rPr>
          <w:sz w:val="24"/>
          <w:szCs w:val="24"/>
          <w:lang w:val="lt-LT"/>
        </w:rPr>
        <w:t>S</w:t>
      </w:r>
      <w:r w:rsidRPr="0085757C">
        <w:rPr>
          <w:sz w:val="24"/>
          <w:szCs w:val="24"/>
          <w:lang w:val="lt-LT"/>
        </w:rPr>
        <w:t>utarties sustabdymo ir (arba) jos nutraukimo galimybes.</w:t>
      </w:r>
    </w:p>
    <w:p w14:paraId="4A280A18" w14:textId="77777777" w:rsidR="00EC16B2" w:rsidRPr="0085757C"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85757C">
        <w:rPr>
          <w:sz w:val="24"/>
          <w:szCs w:val="24"/>
          <w:lang w:val="lt-LT"/>
        </w:rPr>
        <w:t xml:space="preserve">Atsiradus </w:t>
      </w:r>
      <w:r w:rsidRPr="0085757C">
        <w:rPr>
          <w:i/>
          <w:iCs/>
          <w:sz w:val="24"/>
          <w:szCs w:val="24"/>
          <w:lang w:val="lt-LT"/>
        </w:rPr>
        <w:t xml:space="preserve">force majeure </w:t>
      </w:r>
      <w:r w:rsidRPr="0085757C">
        <w:rPr>
          <w:sz w:val="24"/>
          <w:szCs w:val="24"/>
          <w:lang w:val="lt-LT"/>
        </w:rPr>
        <w:t xml:space="preserve">aplinkybėms, Užsakovas įsipareigoja sumokėti Vykdytojui užmokesčio dalį už </w:t>
      </w:r>
      <w:r w:rsidR="00651BDC" w:rsidRPr="0085757C">
        <w:rPr>
          <w:sz w:val="24"/>
          <w:szCs w:val="24"/>
          <w:lang w:val="lt-LT"/>
        </w:rPr>
        <w:t>A</w:t>
      </w:r>
      <w:r w:rsidRPr="0085757C">
        <w:rPr>
          <w:sz w:val="24"/>
          <w:szCs w:val="24"/>
          <w:lang w:val="lt-LT"/>
        </w:rPr>
        <w:t xml:space="preserve">udito darbą, atliktą iki pranešimo apie </w:t>
      </w:r>
      <w:r w:rsidRPr="0085757C">
        <w:rPr>
          <w:i/>
          <w:iCs/>
          <w:sz w:val="24"/>
          <w:szCs w:val="24"/>
          <w:lang w:val="lt-LT"/>
        </w:rPr>
        <w:t>force majeure</w:t>
      </w:r>
      <w:r w:rsidRPr="0085757C">
        <w:rPr>
          <w:sz w:val="24"/>
          <w:szCs w:val="24"/>
          <w:lang w:val="lt-LT"/>
        </w:rPr>
        <w:t xml:space="preserve"> aplinkybes gavimo bei papildomas išlaidas. </w:t>
      </w:r>
    </w:p>
    <w:p w14:paraId="1DA05D3B" w14:textId="2B17123D" w:rsidR="00202A16" w:rsidRPr="0085757C" w:rsidRDefault="00EC16B2" w:rsidP="00E71905">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85757C">
        <w:rPr>
          <w:sz w:val="24"/>
          <w:szCs w:val="24"/>
          <w:lang w:val="lt-LT"/>
        </w:rPr>
        <w:t xml:space="preserve">Jei </w:t>
      </w:r>
      <w:r w:rsidRPr="0085757C">
        <w:rPr>
          <w:i/>
          <w:iCs/>
          <w:sz w:val="24"/>
          <w:szCs w:val="24"/>
          <w:lang w:val="lt-LT"/>
        </w:rPr>
        <w:t>force majeure</w:t>
      </w:r>
      <w:r w:rsidRPr="0085757C">
        <w:rPr>
          <w:sz w:val="24"/>
          <w:szCs w:val="24"/>
          <w:lang w:val="lt-LT"/>
        </w:rPr>
        <w:t xml:space="preserve"> aplinkybės tęsiasi ilgiau nei </w:t>
      </w:r>
      <w:r w:rsidR="00651BDC" w:rsidRPr="0085757C">
        <w:rPr>
          <w:sz w:val="24"/>
          <w:szCs w:val="24"/>
          <w:lang w:val="lt-LT"/>
        </w:rPr>
        <w:t>1</w:t>
      </w:r>
      <w:r w:rsidRPr="0085757C">
        <w:rPr>
          <w:sz w:val="24"/>
          <w:szCs w:val="24"/>
          <w:lang w:val="lt-LT"/>
        </w:rPr>
        <w:t xml:space="preserve"> (</w:t>
      </w:r>
      <w:r w:rsidR="00651BDC" w:rsidRPr="0085757C">
        <w:rPr>
          <w:sz w:val="24"/>
          <w:szCs w:val="24"/>
          <w:lang w:val="lt-LT"/>
        </w:rPr>
        <w:t>vieną</w:t>
      </w:r>
      <w:r w:rsidRPr="0085757C">
        <w:rPr>
          <w:sz w:val="24"/>
          <w:szCs w:val="24"/>
          <w:lang w:val="lt-LT"/>
        </w:rPr>
        <w:t>) mėnes</w:t>
      </w:r>
      <w:r w:rsidR="00651BDC" w:rsidRPr="0085757C">
        <w:rPr>
          <w:sz w:val="24"/>
          <w:szCs w:val="24"/>
          <w:lang w:val="lt-LT"/>
        </w:rPr>
        <w:t>į</w:t>
      </w:r>
      <w:r w:rsidRPr="0085757C">
        <w:rPr>
          <w:sz w:val="24"/>
          <w:szCs w:val="24"/>
          <w:lang w:val="lt-LT"/>
        </w:rPr>
        <w:t xml:space="preserve">, bet kuri Šalis, pranešusi kitai Šaliai, turi teisę nutraukti šią </w:t>
      </w:r>
      <w:r w:rsidR="00651BDC" w:rsidRPr="0085757C">
        <w:rPr>
          <w:sz w:val="24"/>
          <w:szCs w:val="24"/>
          <w:lang w:val="lt-LT"/>
        </w:rPr>
        <w:t>S</w:t>
      </w:r>
      <w:r w:rsidRPr="0085757C">
        <w:rPr>
          <w:sz w:val="24"/>
          <w:szCs w:val="24"/>
          <w:lang w:val="lt-LT"/>
        </w:rPr>
        <w:t xml:space="preserve">utartį. Tokiu atveju Užsakovas privalo sumokėti atitinkamą užmokesčio dalį už </w:t>
      </w:r>
      <w:r w:rsidR="006C194C" w:rsidRPr="0085757C">
        <w:rPr>
          <w:sz w:val="24"/>
          <w:szCs w:val="24"/>
          <w:lang w:val="lt-LT"/>
        </w:rPr>
        <w:t>A</w:t>
      </w:r>
      <w:r w:rsidRPr="0085757C">
        <w:rPr>
          <w:sz w:val="24"/>
          <w:szCs w:val="24"/>
          <w:lang w:val="lt-LT"/>
        </w:rPr>
        <w:t xml:space="preserve">udito darbą, atliktą iki </w:t>
      </w:r>
      <w:r w:rsidR="006C194C" w:rsidRPr="0085757C">
        <w:rPr>
          <w:sz w:val="24"/>
          <w:szCs w:val="24"/>
          <w:lang w:val="lt-LT"/>
        </w:rPr>
        <w:t>S</w:t>
      </w:r>
      <w:r w:rsidRPr="0085757C">
        <w:rPr>
          <w:sz w:val="24"/>
          <w:szCs w:val="24"/>
          <w:lang w:val="lt-LT"/>
        </w:rPr>
        <w:t xml:space="preserve">utarties nutraukimo bei papildomas išlaidas.  </w:t>
      </w:r>
    </w:p>
    <w:p w14:paraId="2C255DCD" w14:textId="77777777" w:rsidR="001033C2" w:rsidRPr="0085757C" w:rsidRDefault="00EC16B2" w:rsidP="00E3143B">
      <w:pPr>
        <w:keepNext/>
        <w:numPr>
          <w:ilvl w:val="0"/>
          <w:numId w:val="4"/>
        </w:numPr>
        <w:tabs>
          <w:tab w:val="clear" w:pos="532"/>
          <w:tab w:val="num" w:pos="709"/>
          <w:tab w:val="left" w:pos="1241"/>
          <w:tab w:val="left" w:pos="9180"/>
        </w:tabs>
        <w:spacing w:before="120" w:after="120"/>
        <w:ind w:left="709" w:hanging="709"/>
        <w:jc w:val="both"/>
        <w:textAlignment w:val="baseline"/>
        <w:outlineLvl w:val="2"/>
        <w:rPr>
          <w:b/>
          <w:bCs/>
          <w:iCs/>
          <w:smallCaps/>
          <w:sz w:val="24"/>
          <w:szCs w:val="24"/>
          <w:lang w:val="lt-LT"/>
        </w:rPr>
      </w:pPr>
      <w:r w:rsidRPr="0085757C">
        <w:rPr>
          <w:b/>
          <w:bCs/>
          <w:iCs/>
          <w:smallCaps/>
          <w:sz w:val="24"/>
          <w:szCs w:val="24"/>
          <w:lang w:val="lt-LT"/>
        </w:rPr>
        <w:t>Atsakomybė</w:t>
      </w:r>
    </w:p>
    <w:p w14:paraId="308C523F" w14:textId="77777777" w:rsidR="00EC16B2" w:rsidRPr="0085757C" w:rsidRDefault="00EC16B2" w:rsidP="00E3143B">
      <w:pPr>
        <w:numPr>
          <w:ilvl w:val="1"/>
          <w:numId w:val="4"/>
        </w:numPr>
        <w:tabs>
          <w:tab w:val="clear" w:pos="356"/>
          <w:tab w:val="left" w:pos="709"/>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85757C">
        <w:rPr>
          <w:sz w:val="24"/>
          <w:szCs w:val="24"/>
          <w:lang w:val="lt-LT"/>
        </w:rPr>
        <w:t xml:space="preserve">Vykdytojui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123C0D63" w14:textId="77777777" w:rsidR="00EC16B2" w:rsidRPr="0085757C" w:rsidRDefault="00EC16B2" w:rsidP="00E3143B">
      <w:pPr>
        <w:numPr>
          <w:ilvl w:val="1"/>
          <w:numId w:val="4"/>
        </w:numPr>
        <w:tabs>
          <w:tab w:val="clear" w:pos="356"/>
          <w:tab w:val="left" w:pos="709"/>
          <w:tab w:val="num" w:pos="851"/>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85757C">
        <w:rPr>
          <w:rFonts w:eastAsia="Calibri"/>
          <w:sz w:val="24"/>
          <w:szCs w:val="24"/>
          <w:lang w:val="lt-LT"/>
        </w:rPr>
        <w:t xml:space="preserve">Kiekvieną kartą Vykdytojui pažeidus sutartinius įsipareigojimus (tame tarpe bet neapsiribojant, Vykdytojui įvykdžius prisiimtus įsipareigojimus pažeidžiant numatytus terminus), Vykdytojas privalo sumokėti, dėl Sutarties netinkamo įvykdymo nustatytą </w:t>
      </w:r>
      <w:r w:rsidR="006C194C" w:rsidRPr="0085757C">
        <w:rPr>
          <w:rFonts w:eastAsia="Calibri"/>
          <w:sz w:val="24"/>
          <w:szCs w:val="24"/>
          <w:lang w:val="lt-LT"/>
        </w:rPr>
        <w:t>100</w:t>
      </w:r>
      <w:r w:rsidRPr="0085757C">
        <w:rPr>
          <w:rFonts w:eastAsia="Calibri"/>
          <w:sz w:val="24"/>
          <w:szCs w:val="24"/>
          <w:lang w:val="lt-LT"/>
        </w:rPr>
        <w:t xml:space="preserve"> E</w:t>
      </w:r>
      <w:r w:rsidR="006C194C" w:rsidRPr="0085757C">
        <w:rPr>
          <w:rFonts w:eastAsia="Calibri"/>
          <w:sz w:val="24"/>
          <w:szCs w:val="24"/>
          <w:lang w:val="lt-LT"/>
        </w:rPr>
        <w:t>UR (vieno šimto eurų)</w:t>
      </w:r>
      <w:r w:rsidRPr="0085757C">
        <w:rPr>
          <w:rFonts w:eastAsia="Calibri"/>
          <w:sz w:val="24"/>
          <w:szCs w:val="24"/>
          <w:lang w:val="lt-LT"/>
        </w:rPr>
        <w:t xml:space="preserve"> vienkartinę baudą. Vykdytojas sumokėjęs nustatytą vienkartinę baudą, nėra atleidžiamas nuo </w:t>
      </w:r>
      <w:r w:rsidRPr="0085757C">
        <w:rPr>
          <w:rFonts w:eastAsia="Calibri"/>
          <w:sz w:val="24"/>
          <w:szCs w:val="24"/>
          <w:lang w:val="lt-LT"/>
        </w:rPr>
        <w:lastRenderedPageBreak/>
        <w:t>tolimesnio Sutarties vykdymo ir/ar delspinigių sumokėjimo ir/ar nuostolių atlyginimo. Nustatytos vienkartinės baudos suma gali būti išskaitoma iš Vykdytojui mokėtinų sumų.</w:t>
      </w:r>
    </w:p>
    <w:p w14:paraId="24DA41EB" w14:textId="77777777" w:rsidR="00EC16B2" w:rsidRPr="0085757C" w:rsidRDefault="00EC16B2" w:rsidP="00E3143B">
      <w:pPr>
        <w:numPr>
          <w:ilvl w:val="1"/>
          <w:numId w:val="4"/>
        </w:numPr>
        <w:tabs>
          <w:tab w:val="clear" w:pos="356"/>
          <w:tab w:val="left" w:pos="709"/>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85757C">
        <w:rPr>
          <w:sz w:val="24"/>
          <w:szCs w:val="24"/>
          <w:lang w:val="lt-LT"/>
        </w:rPr>
        <w:t>Vykdytojui dėl savo kaltės nesuteikus Paslaugų ir/ar neįvykdžius kitų sutartinių įsipareigojimų per Sutartyje numatytą terminą ilgiau nei 10 (dešimt) d</w:t>
      </w:r>
      <w:r w:rsidR="00F21BBD" w:rsidRPr="0085757C">
        <w:rPr>
          <w:sz w:val="24"/>
          <w:szCs w:val="24"/>
          <w:lang w:val="lt-LT"/>
        </w:rPr>
        <w:t xml:space="preserve">ienų, Užsakovas gali pasirinkti toliau skaičiuoti delspinigius arba </w:t>
      </w:r>
      <w:r w:rsidR="00817A43" w:rsidRPr="0085757C">
        <w:rPr>
          <w:sz w:val="24"/>
          <w:szCs w:val="24"/>
          <w:lang w:val="lt-LT"/>
        </w:rPr>
        <w:t>taikyti baudą</w:t>
      </w:r>
      <w:r w:rsidRPr="0085757C">
        <w:rPr>
          <w:sz w:val="24"/>
          <w:szCs w:val="24"/>
          <w:lang w:val="lt-LT"/>
        </w:rPr>
        <w:t xml:space="preserve"> ir/ar nutraukti Sutartį.</w:t>
      </w:r>
    </w:p>
    <w:p w14:paraId="641F9BA0" w14:textId="77777777" w:rsidR="00EC16B2" w:rsidRPr="0085757C"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85757C">
        <w:rPr>
          <w:sz w:val="24"/>
          <w:szCs w:val="24"/>
          <w:lang w:val="lt-LT"/>
        </w:rPr>
        <w:t xml:space="preserve">Be pateisinamų priežasčių Užsakovui laiku nesumokėjus už tinkamai suteiktas Paslaugas, Vykdytojas gali pareikalauti mokėti 0,02% dydžio delspinigius nuo vėluojamos sumokėti sumos už kiekvieną termino praleidimo dieną. </w:t>
      </w:r>
    </w:p>
    <w:p w14:paraId="2BA23F5D" w14:textId="77777777" w:rsidR="00EC16B2" w:rsidRPr="0085757C"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85757C">
        <w:rPr>
          <w:sz w:val="24"/>
          <w:szCs w:val="24"/>
          <w:lang w:val="lt-LT"/>
        </w:rPr>
        <w:t>Netesybos gali būti išskaičiuojamos iš Vykdytojui pagal Sutartį mokėtinų sumų.</w:t>
      </w:r>
    </w:p>
    <w:p w14:paraId="0A659E64" w14:textId="77777777" w:rsidR="00EC16B2" w:rsidRPr="0085757C"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85757C">
        <w:rPr>
          <w:sz w:val="24"/>
          <w:szCs w:val="24"/>
          <w:lang w:val="lt-LT"/>
        </w:rPr>
        <w:t>Delspinigių sumokėjimas neatleidžia Šalies nuo pareigos vykdyti šia Sutartimi prisiimtus įsipareigojimus.</w:t>
      </w:r>
    </w:p>
    <w:p w14:paraId="777A205E" w14:textId="77777777" w:rsidR="00EC16B2" w:rsidRPr="0085757C" w:rsidRDefault="00EC16B2"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85757C">
        <w:rPr>
          <w:sz w:val="24"/>
          <w:szCs w:val="24"/>
          <w:lang w:val="lt-LT"/>
        </w:rPr>
        <w:t>Vykdytojo atsakomybė yra apribota atsakomybe už tiesioginę žalą (nuostolius, netesybas ir pan.), kurią Užsakovas patirtų dėl Vykdytojo, jo darbuotojų ir (arba) atstovų arba trečiųjų asmenų tyčios ar didel</w:t>
      </w:r>
      <w:r w:rsidR="00817A43" w:rsidRPr="0085757C">
        <w:rPr>
          <w:sz w:val="24"/>
          <w:szCs w:val="24"/>
          <w:lang w:val="lt-LT"/>
        </w:rPr>
        <w:t>io neatsargumo teikiant šioje Sutartyje numatytas P</w:t>
      </w:r>
      <w:r w:rsidRPr="0085757C">
        <w:rPr>
          <w:sz w:val="24"/>
          <w:szCs w:val="24"/>
          <w:lang w:val="lt-LT"/>
        </w:rPr>
        <w:t xml:space="preserve">aslaugas. </w:t>
      </w:r>
    </w:p>
    <w:p w14:paraId="23389F46" w14:textId="77777777" w:rsidR="00EC16B2" w:rsidRPr="0085757C" w:rsidRDefault="00817A43"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85757C">
        <w:rPr>
          <w:sz w:val="24"/>
          <w:szCs w:val="24"/>
          <w:lang w:val="lt-LT"/>
        </w:rPr>
        <w:t>Nepaisant to, kad šios S</w:t>
      </w:r>
      <w:r w:rsidR="00EC16B2" w:rsidRPr="0085757C">
        <w:rPr>
          <w:sz w:val="24"/>
          <w:szCs w:val="24"/>
          <w:lang w:val="lt-LT"/>
        </w:rPr>
        <w:t>utarties kurioje nors vietoje galėtų būti numatyta priešingai, jokiu atveju nei Vykdytojo, nei Užsakovo buvęs, būsimas ar esamas darbuotojas ir (arba) atstovas nebus individualiai atsakingas kitai Šaliai už bet kokius pirmosios Šalies įsipareig</w:t>
      </w:r>
      <w:r w:rsidR="00C86999" w:rsidRPr="0085757C">
        <w:rPr>
          <w:sz w:val="24"/>
          <w:szCs w:val="24"/>
          <w:lang w:val="lt-LT"/>
        </w:rPr>
        <w:t>ojimus ir atsakomybę pagal šią S</w:t>
      </w:r>
      <w:r w:rsidR="00EC16B2" w:rsidRPr="0085757C">
        <w:rPr>
          <w:sz w:val="24"/>
          <w:szCs w:val="24"/>
          <w:lang w:val="lt-LT"/>
        </w:rPr>
        <w:t>utartį.</w:t>
      </w:r>
    </w:p>
    <w:p w14:paraId="4E431446" w14:textId="77777777" w:rsidR="00EC16B2" w:rsidRPr="0085757C" w:rsidRDefault="00EC16B2"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85757C">
        <w:rPr>
          <w:sz w:val="24"/>
          <w:szCs w:val="24"/>
          <w:lang w:val="lt-LT"/>
        </w:rPr>
        <w:t xml:space="preserve">Užsakovas ir Vykdytojas įsipareigoja neperduoti ir (arba) neperleisti </w:t>
      </w:r>
      <w:r w:rsidR="00C86999" w:rsidRPr="0085757C">
        <w:rPr>
          <w:sz w:val="24"/>
          <w:szCs w:val="24"/>
          <w:lang w:val="lt-LT"/>
        </w:rPr>
        <w:t>trečiajai šaliai jokių iš šios S</w:t>
      </w:r>
      <w:r w:rsidRPr="0085757C">
        <w:rPr>
          <w:sz w:val="24"/>
          <w:szCs w:val="24"/>
          <w:lang w:val="lt-LT"/>
        </w:rPr>
        <w:t>utarties kilusių teisių, pareigų ir (arba) pretenzijų bei reikalavimų atitinkamai Vykdytojo ar Užsakovo atžvilgiu be išankstinio kitos Šalies</w:t>
      </w:r>
      <w:r w:rsidR="00C86999" w:rsidRPr="0085757C">
        <w:rPr>
          <w:sz w:val="24"/>
          <w:szCs w:val="24"/>
          <w:lang w:val="lt-LT"/>
        </w:rPr>
        <w:t xml:space="preserve"> rašytinio sutikimo, jei šioje S</w:t>
      </w:r>
      <w:r w:rsidRPr="0085757C">
        <w:rPr>
          <w:sz w:val="24"/>
          <w:szCs w:val="24"/>
          <w:lang w:val="lt-LT"/>
        </w:rPr>
        <w:t>utartyje nenumatyta kitaip.</w:t>
      </w:r>
    </w:p>
    <w:p w14:paraId="4F6306CC" w14:textId="17888D5A" w:rsidR="00202A16" w:rsidRPr="0085757C" w:rsidRDefault="00EC16B2" w:rsidP="00E71905">
      <w:pPr>
        <w:numPr>
          <w:ilvl w:val="1"/>
          <w:numId w:val="4"/>
        </w:numPr>
        <w:tabs>
          <w:tab w:val="clear" w:pos="356"/>
          <w:tab w:val="num" w:pos="709"/>
          <w:tab w:val="left" w:pos="993"/>
          <w:tab w:val="left" w:pos="9180"/>
        </w:tabs>
        <w:spacing w:before="120" w:after="120"/>
        <w:ind w:left="709" w:right="-1" w:hanging="709"/>
        <w:jc w:val="both"/>
        <w:textAlignment w:val="baseline"/>
        <w:rPr>
          <w:sz w:val="24"/>
          <w:szCs w:val="24"/>
          <w:lang w:val="lt-LT"/>
        </w:rPr>
      </w:pPr>
      <w:r w:rsidRPr="0085757C">
        <w:rPr>
          <w:sz w:val="24"/>
          <w:szCs w:val="24"/>
          <w:lang w:val="lt-LT"/>
        </w:rPr>
        <w:t>Šios sutarties 1</w:t>
      </w:r>
      <w:r w:rsidR="00FF618C" w:rsidRPr="0085757C">
        <w:rPr>
          <w:sz w:val="24"/>
          <w:szCs w:val="24"/>
          <w:lang w:val="lt-LT"/>
        </w:rPr>
        <w:t>1</w:t>
      </w:r>
      <w:r w:rsidRPr="0085757C">
        <w:rPr>
          <w:sz w:val="24"/>
          <w:szCs w:val="24"/>
          <w:lang w:val="lt-LT"/>
        </w:rPr>
        <w:t>.7–1</w:t>
      </w:r>
      <w:r w:rsidR="00FF618C" w:rsidRPr="0085757C">
        <w:rPr>
          <w:sz w:val="24"/>
          <w:szCs w:val="24"/>
          <w:lang w:val="lt-LT"/>
        </w:rPr>
        <w:t>1</w:t>
      </w:r>
      <w:r w:rsidRPr="0085757C">
        <w:rPr>
          <w:sz w:val="24"/>
          <w:szCs w:val="24"/>
          <w:lang w:val="lt-LT"/>
        </w:rPr>
        <w:t>.9 punktuose išdėstytos nuostatos išliks galiojančios ir po to, kai bus visiškai atlik</w:t>
      </w:r>
      <w:r w:rsidR="00C86999" w:rsidRPr="0085757C">
        <w:rPr>
          <w:sz w:val="24"/>
          <w:szCs w:val="24"/>
          <w:lang w:val="lt-LT"/>
        </w:rPr>
        <w:t xml:space="preserve">tas darbas bei suteiktos visos </w:t>
      </w:r>
      <w:r w:rsidR="009F7B42" w:rsidRPr="0085757C">
        <w:rPr>
          <w:sz w:val="24"/>
          <w:szCs w:val="24"/>
          <w:lang w:val="lt-LT"/>
        </w:rPr>
        <w:t>P</w:t>
      </w:r>
      <w:r w:rsidR="00B30655" w:rsidRPr="0085757C">
        <w:rPr>
          <w:sz w:val="24"/>
          <w:szCs w:val="24"/>
          <w:lang w:val="lt-LT"/>
        </w:rPr>
        <w:t>aslaugos pagal šią S</w:t>
      </w:r>
      <w:r w:rsidRPr="0085757C">
        <w:rPr>
          <w:sz w:val="24"/>
          <w:szCs w:val="24"/>
          <w:lang w:val="lt-LT"/>
        </w:rPr>
        <w:t xml:space="preserve">utartį. </w:t>
      </w:r>
    </w:p>
    <w:p w14:paraId="250896CE" w14:textId="77777777" w:rsidR="001033C2" w:rsidRPr="0085757C" w:rsidRDefault="00EC16B2"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85757C">
        <w:rPr>
          <w:b/>
          <w:smallCaps/>
          <w:sz w:val="24"/>
          <w:szCs w:val="24"/>
          <w:lang w:val="lt-LT"/>
        </w:rPr>
        <w:t>Ginčų sprendimo tvarka</w:t>
      </w:r>
    </w:p>
    <w:p w14:paraId="558E1661" w14:textId="77777777" w:rsidR="00EC16B2" w:rsidRPr="0085757C" w:rsidRDefault="00EC16B2" w:rsidP="00E3143B">
      <w:pPr>
        <w:numPr>
          <w:ilvl w:val="1"/>
          <w:numId w:val="4"/>
        </w:numPr>
        <w:tabs>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85757C">
        <w:rPr>
          <w:sz w:val="24"/>
          <w:szCs w:val="24"/>
          <w:lang w:val="lt-LT"/>
        </w:rPr>
        <w:t xml:space="preserve">Sutartis aiškinama, visi joje neaptarti klausimai ir visi ginčai, kylantys iš Sutarties ar su ja susiję, sprendžiami remiantis Lietuvos Respublikos teise. </w:t>
      </w:r>
    </w:p>
    <w:p w14:paraId="0461ECD6" w14:textId="56267535" w:rsidR="00202A16" w:rsidRPr="0085757C" w:rsidRDefault="00EC16B2" w:rsidP="00E71905">
      <w:pPr>
        <w:numPr>
          <w:ilvl w:val="1"/>
          <w:numId w:val="4"/>
        </w:numPr>
        <w:tabs>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85757C">
        <w:rPr>
          <w:sz w:val="24"/>
          <w:szCs w:val="24"/>
          <w:lang w:val="lt-LT"/>
        </w:rPr>
        <w:t>Visi ginčai, kylantys iš Sutarties ar su ja susiję, sprendžiami derybų būdu. Jei Šalims nepavyksta išspręsti ginčo derybų būdu, ginčas sprendžiamas kompetentingame Lietuvos Respublikos teisme. Teritorin</w:t>
      </w:r>
      <w:r w:rsidR="00B30655" w:rsidRPr="0085757C">
        <w:rPr>
          <w:sz w:val="24"/>
          <w:szCs w:val="24"/>
          <w:lang w:val="lt-LT"/>
        </w:rPr>
        <w:t>is teismingumas nustatomas pagal</w:t>
      </w:r>
      <w:r w:rsidRPr="0085757C">
        <w:rPr>
          <w:sz w:val="24"/>
          <w:szCs w:val="24"/>
          <w:lang w:val="lt-LT"/>
        </w:rPr>
        <w:t xml:space="preserve"> Užsakovo buveinės vietą. </w:t>
      </w:r>
    </w:p>
    <w:p w14:paraId="3BC76D96" w14:textId="77777777" w:rsidR="001033C2" w:rsidRPr="0085757C" w:rsidRDefault="005C4D12" w:rsidP="00E3143B">
      <w:pPr>
        <w:numPr>
          <w:ilvl w:val="0"/>
          <w:numId w:val="4"/>
        </w:numPr>
        <w:tabs>
          <w:tab w:val="clear" w:pos="532"/>
          <w:tab w:val="left" w:pos="14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85757C">
        <w:rPr>
          <w:b/>
          <w:smallCaps/>
          <w:sz w:val="24"/>
          <w:szCs w:val="24"/>
          <w:lang w:val="lt-LT"/>
        </w:rPr>
        <w:t>Sutarties keitimas ir nutraukimas</w:t>
      </w:r>
    </w:p>
    <w:p w14:paraId="6CC3F4E6" w14:textId="77777777" w:rsidR="005C4D12" w:rsidRPr="0085757C" w:rsidRDefault="005C4D12" w:rsidP="00E3143B">
      <w:pPr>
        <w:numPr>
          <w:ilvl w:val="1"/>
          <w:numId w:val="4"/>
        </w:numPr>
        <w:tabs>
          <w:tab w:val="clear" w:pos="356"/>
          <w:tab w:val="left" w:pos="709"/>
          <w:tab w:val="num" w:pos="851"/>
        </w:tabs>
        <w:suppressAutoHyphens/>
        <w:overflowPunct/>
        <w:autoSpaceDE/>
        <w:autoSpaceDN/>
        <w:adjustRightInd/>
        <w:spacing w:before="120" w:after="120"/>
        <w:ind w:left="709" w:right="-1" w:hanging="709"/>
        <w:jc w:val="both"/>
        <w:rPr>
          <w:sz w:val="24"/>
          <w:szCs w:val="24"/>
          <w:lang w:val="lt-LT"/>
        </w:rPr>
      </w:pPr>
      <w:r w:rsidRPr="0085757C">
        <w:rPr>
          <w:sz w:val="24"/>
          <w:szCs w:val="24"/>
          <w:lang w:val="lt-LT"/>
        </w:rPr>
        <w:t>Sutarties sąlygos gali būti keičiamos tik vadovaujantis Lietuvos Respublikos viešųjų pirkimų įstatymo (toliau – VPĮ) 89 straipsniu.</w:t>
      </w:r>
    </w:p>
    <w:p w14:paraId="3496FA7D" w14:textId="77777777" w:rsidR="00EC16B2" w:rsidRPr="0085757C" w:rsidRDefault="00EC16B2" w:rsidP="00E3143B">
      <w:pPr>
        <w:numPr>
          <w:ilvl w:val="1"/>
          <w:numId w:val="4"/>
        </w:numPr>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1F146CA5" w14:textId="77777777" w:rsidR="00EC16B2" w:rsidRPr="0085757C"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rFonts w:eastAsia="Calibri"/>
          <w:sz w:val="24"/>
          <w:szCs w:val="24"/>
          <w:lang w:val="lt-LT"/>
        </w:rPr>
        <w:t>Sutartis gali būti nutraukta bet kuriuo metu bendru Sutarties Šalių susitarimu arba vienos iš Šalių iniciatyva, jei:</w:t>
      </w:r>
    </w:p>
    <w:p w14:paraId="6D98CA9C" w14:textId="77777777" w:rsidR="00EC16B2" w:rsidRPr="0085757C"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t>kita Šalis bankrutuoja arba yra likviduojama, sustabdo ūkinę veiklą arba įstatymuose ir kituose teisės aktuose numatyta tvarka susidaro analogiška situacija;</w:t>
      </w:r>
    </w:p>
    <w:p w14:paraId="19A1A641" w14:textId="77777777" w:rsidR="00EC16B2" w:rsidRPr="0085757C"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lastRenderedPageBreak/>
        <w:t>keičiasi kitos Šalies organizacinė struktūra – juridinis statusas, pobūdis ar valdymo struktūra ir tai gali turėti įtakos tinkamam Sutarties įvykdymui;</w:t>
      </w:r>
    </w:p>
    <w:p w14:paraId="6973CE86" w14:textId="77777777" w:rsidR="00EC16B2" w:rsidRPr="0085757C"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rFonts w:eastAsia="Calibri"/>
          <w:sz w:val="24"/>
          <w:szCs w:val="24"/>
          <w:lang w:val="lt-LT"/>
        </w:rPr>
        <w:t>kita Šalis nevykdo ar netinkamai vykdo savo sutartinius įsipareigojimus</w:t>
      </w:r>
      <w:r w:rsidR="001000B0" w:rsidRPr="0085757C">
        <w:rPr>
          <w:rFonts w:eastAsia="Calibri"/>
          <w:sz w:val="24"/>
          <w:szCs w:val="24"/>
          <w:lang w:val="lt-LT"/>
        </w:rPr>
        <w:t xml:space="preserve"> ir tai yra esminis Sutarties pažeidimas</w:t>
      </w:r>
      <w:r w:rsidRPr="0085757C">
        <w:rPr>
          <w:rFonts w:eastAsia="Calibri"/>
          <w:sz w:val="24"/>
          <w:szCs w:val="24"/>
          <w:lang w:val="lt-LT"/>
        </w:rPr>
        <w:t>.</w:t>
      </w:r>
    </w:p>
    <w:p w14:paraId="1AC6CC64" w14:textId="77777777" w:rsidR="00775253" w:rsidRPr="0085757C" w:rsidRDefault="00775253" w:rsidP="00E3143B">
      <w:pPr>
        <w:numPr>
          <w:ilvl w:val="1"/>
          <w:numId w:val="4"/>
        </w:numPr>
        <w:tabs>
          <w:tab w:val="clear" w:pos="356"/>
          <w:tab w:val="num" w:pos="709"/>
        </w:tabs>
        <w:adjustRightInd/>
        <w:spacing w:before="120" w:after="120"/>
        <w:ind w:left="709" w:hanging="709"/>
        <w:jc w:val="both"/>
        <w:rPr>
          <w:sz w:val="24"/>
          <w:szCs w:val="24"/>
          <w:lang w:val="lt-LT"/>
        </w:rPr>
      </w:pPr>
      <w:bookmarkStart w:id="2" w:name="_Hlk526924041"/>
      <w:r w:rsidRPr="0085757C">
        <w:rPr>
          <w:sz w:val="24"/>
          <w:szCs w:val="24"/>
          <w:lang w:val="lt-LT"/>
        </w:rPr>
        <w:t xml:space="preserve">Nustatant, ar Sutarties pažeidimas yra esminis, ar ne, vadovaujamasi Lietuvos Respublikos civilinio kodekso 6.217 straipsnio nuostatomis. Šalys žino ir supranta, kad jei Sutartis bus nutraukta dėl </w:t>
      </w:r>
      <w:r w:rsidR="00416872" w:rsidRPr="0085757C">
        <w:rPr>
          <w:sz w:val="24"/>
          <w:szCs w:val="24"/>
          <w:lang w:val="lt-LT"/>
        </w:rPr>
        <w:t>Vykdytojo</w:t>
      </w:r>
      <w:r w:rsidRPr="0085757C">
        <w:rPr>
          <w:sz w:val="24"/>
          <w:szCs w:val="24"/>
          <w:lang w:val="lt-LT"/>
        </w:rPr>
        <w:t xml:space="preserve"> esminio Sutarties pažeidimo, </w:t>
      </w:r>
      <w:r w:rsidR="00416872" w:rsidRPr="0085757C">
        <w:rPr>
          <w:sz w:val="24"/>
          <w:szCs w:val="24"/>
          <w:lang w:val="lt-LT"/>
        </w:rPr>
        <w:t>Užsakovas</w:t>
      </w:r>
      <w:r w:rsidRPr="0085757C">
        <w:rPr>
          <w:sz w:val="24"/>
          <w:szCs w:val="24"/>
          <w:lang w:val="lt-LT"/>
        </w:rPr>
        <w:t xml:space="preserve">, vadovaudamasis VPĮ 91 straipsnio 1 dalimi, privalės viešai paskelbti apie Sutarties neįvykdymą ar netinkamą įvykdymą. Esminiu Sutarties pažeidimu bet kokiu atveju bus laikomas </w:t>
      </w:r>
      <w:r w:rsidR="00416872" w:rsidRPr="0085757C">
        <w:rPr>
          <w:sz w:val="24"/>
          <w:szCs w:val="24"/>
          <w:lang w:val="lt-LT"/>
        </w:rPr>
        <w:t>Vykdytojo</w:t>
      </w:r>
      <w:r w:rsidRPr="0085757C">
        <w:rPr>
          <w:sz w:val="24"/>
          <w:szCs w:val="24"/>
          <w:lang w:val="lt-LT"/>
        </w:rPr>
        <w:t xml:space="preserve"> sutartinių prievolių įvykdymo terminų nesilaikymas, Sutarties reikalavimų neatitinkančių </w:t>
      </w:r>
      <w:r w:rsidR="00DA1230" w:rsidRPr="0085757C">
        <w:rPr>
          <w:sz w:val="24"/>
          <w:szCs w:val="24"/>
          <w:lang w:val="lt-LT"/>
        </w:rPr>
        <w:t>P</w:t>
      </w:r>
      <w:r w:rsidR="00416872" w:rsidRPr="0085757C">
        <w:rPr>
          <w:sz w:val="24"/>
          <w:szCs w:val="24"/>
          <w:lang w:val="lt-LT"/>
        </w:rPr>
        <w:t>aslaugų suteikimas</w:t>
      </w:r>
      <w:r w:rsidR="004D31D9" w:rsidRPr="0085757C">
        <w:rPr>
          <w:sz w:val="24"/>
          <w:szCs w:val="24"/>
          <w:lang w:val="lt-LT"/>
        </w:rPr>
        <w:t>.</w:t>
      </w:r>
    </w:p>
    <w:p w14:paraId="579BC668" w14:textId="77777777" w:rsidR="00775253" w:rsidRPr="0085757C" w:rsidRDefault="004D31D9" w:rsidP="00E3143B">
      <w:pPr>
        <w:numPr>
          <w:ilvl w:val="1"/>
          <w:numId w:val="4"/>
        </w:numPr>
        <w:tabs>
          <w:tab w:val="clear" w:pos="356"/>
          <w:tab w:val="num" w:pos="709"/>
        </w:tabs>
        <w:adjustRightInd/>
        <w:spacing w:before="120" w:after="120"/>
        <w:ind w:left="709" w:hanging="709"/>
        <w:jc w:val="both"/>
        <w:rPr>
          <w:sz w:val="24"/>
          <w:szCs w:val="24"/>
          <w:lang w:val="lt-LT"/>
        </w:rPr>
      </w:pPr>
      <w:r w:rsidRPr="0085757C">
        <w:rPr>
          <w:sz w:val="24"/>
          <w:szCs w:val="24"/>
          <w:lang w:val="lt-LT"/>
        </w:rPr>
        <w:t>Užsakovas</w:t>
      </w:r>
      <w:r w:rsidR="00775253" w:rsidRPr="0085757C">
        <w:rPr>
          <w:sz w:val="24"/>
          <w:szCs w:val="24"/>
          <w:lang w:val="lt-LT"/>
        </w:rPr>
        <w:t xml:space="preserve"> turi teisę vienašališkai nutraukti Sutartį:</w:t>
      </w:r>
    </w:p>
    <w:p w14:paraId="0E1778D3" w14:textId="77777777" w:rsidR="00775253" w:rsidRPr="0085757C" w:rsidRDefault="00775253" w:rsidP="00E3143B">
      <w:pPr>
        <w:numPr>
          <w:ilvl w:val="2"/>
          <w:numId w:val="4"/>
        </w:numPr>
        <w:tabs>
          <w:tab w:val="num" w:pos="709"/>
        </w:tabs>
        <w:adjustRightInd/>
        <w:spacing w:before="120" w:after="120"/>
        <w:ind w:left="709" w:hanging="709"/>
        <w:jc w:val="both"/>
        <w:rPr>
          <w:sz w:val="24"/>
          <w:szCs w:val="24"/>
          <w:lang w:val="lt-LT"/>
        </w:rPr>
      </w:pPr>
      <w:r w:rsidRPr="0085757C">
        <w:rPr>
          <w:sz w:val="24"/>
          <w:szCs w:val="24"/>
          <w:lang w:val="lt-LT"/>
        </w:rPr>
        <w:t>VPĮ 90 straipsnyje nustatytais atvejais;</w:t>
      </w:r>
    </w:p>
    <w:p w14:paraId="3582DF7D" w14:textId="77777777" w:rsidR="00775253" w:rsidRPr="0085757C" w:rsidRDefault="00775253" w:rsidP="00E3143B">
      <w:pPr>
        <w:numPr>
          <w:ilvl w:val="2"/>
          <w:numId w:val="4"/>
        </w:numPr>
        <w:tabs>
          <w:tab w:val="num" w:pos="709"/>
        </w:tabs>
        <w:adjustRightInd/>
        <w:spacing w:before="120" w:after="120"/>
        <w:ind w:left="709" w:hanging="709"/>
        <w:jc w:val="both"/>
        <w:rPr>
          <w:sz w:val="24"/>
          <w:szCs w:val="24"/>
          <w:lang w:val="lt-LT"/>
        </w:rPr>
      </w:pPr>
      <w:r w:rsidRPr="0085757C">
        <w:rPr>
          <w:sz w:val="24"/>
          <w:szCs w:val="24"/>
          <w:lang w:val="lt-LT"/>
        </w:rPr>
        <w:t>kitais Sutartyje nurodytais atvejais.</w:t>
      </w:r>
    </w:p>
    <w:bookmarkEnd w:id="2"/>
    <w:p w14:paraId="78C49805" w14:textId="77777777" w:rsidR="00EC16B2" w:rsidRPr="0085757C" w:rsidRDefault="00EC16B2" w:rsidP="00E3143B">
      <w:pPr>
        <w:numPr>
          <w:ilvl w:val="1"/>
          <w:numId w:val="4"/>
        </w:numPr>
        <w:tabs>
          <w:tab w:val="clear" w:pos="356"/>
          <w:tab w:val="num" w:pos="709"/>
        </w:tabs>
        <w:adjustRightInd/>
        <w:spacing w:before="120" w:after="120"/>
        <w:ind w:left="709" w:hanging="709"/>
        <w:jc w:val="both"/>
        <w:rPr>
          <w:sz w:val="24"/>
          <w:szCs w:val="24"/>
          <w:lang w:val="lt-LT"/>
        </w:rPr>
      </w:pPr>
      <w:r w:rsidRPr="0085757C">
        <w:rPr>
          <w:rFonts w:eastAsia="Calibri"/>
          <w:sz w:val="24"/>
          <w:szCs w:val="24"/>
          <w:lang w:val="lt-LT"/>
        </w:rPr>
        <w:t xml:space="preserve">Sutartis gali būti nutraukta Užsakovo iniciatyva ir dėl kitų, Sutarties </w:t>
      </w:r>
      <w:r w:rsidR="00B906AE" w:rsidRPr="0085757C">
        <w:rPr>
          <w:rFonts w:eastAsia="Calibri"/>
          <w:sz w:val="24"/>
          <w:szCs w:val="24"/>
          <w:lang w:val="lt-LT"/>
        </w:rPr>
        <w:t>1</w:t>
      </w:r>
      <w:r w:rsidR="00FF618C" w:rsidRPr="0085757C">
        <w:rPr>
          <w:rFonts w:eastAsia="Calibri"/>
          <w:sz w:val="24"/>
          <w:szCs w:val="24"/>
          <w:lang w:val="lt-LT"/>
        </w:rPr>
        <w:t>3</w:t>
      </w:r>
      <w:r w:rsidR="00B906AE" w:rsidRPr="0085757C">
        <w:rPr>
          <w:rFonts w:eastAsia="Calibri"/>
          <w:sz w:val="24"/>
          <w:szCs w:val="24"/>
          <w:lang w:val="lt-LT"/>
        </w:rPr>
        <w:t>.3</w:t>
      </w:r>
      <w:r w:rsidRPr="0085757C">
        <w:rPr>
          <w:rFonts w:eastAsia="Calibri"/>
          <w:sz w:val="24"/>
          <w:szCs w:val="24"/>
          <w:lang w:val="lt-LT"/>
        </w:rPr>
        <w:t xml:space="preserve"> ir 1</w:t>
      </w:r>
      <w:r w:rsidR="00FF618C" w:rsidRPr="0085757C">
        <w:rPr>
          <w:rFonts w:eastAsia="Calibri"/>
          <w:sz w:val="24"/>
          <w:szCs w:val="24"/>
          <w:lang w:val="lt-LT"/>
        </w:rPr>
        <w:t>3</w:t>
      </w:r>
      <w:r w:rsidR="00B906AE" w:rsidRPr="0085757C">
        <w:rPr>
          <w:rFonts w:eastAsia="Calibri"/>
          <w:sz w:val="24"/>
          <w:szCs w:val="24"/>
          <w:lang w:val="lt-LT"/>
        </w:rPr>
        <w:t>.5</w:t>
      </w:r>
      <w:r w:rsidRPr="0085757C">
        <w:rPr>
          <w:rFonts w:eastAsia="Calibri"/>
          <w:sz w:val="24"/>
          <w:szCs w:val="24"/>
          <w:lang w:val="lt-LT"/>
        </w:rPr>
        <w:t xml:space="preserve"> punktuose nenurodytų priežasčių, prieš ne mažiau kaip 30 dienų raštu informavus Vykdytoją. Vykdytojas turi teisę nutraukti Sutartį ne mažiau kaip prieš 30 dienų raštu informavęs Užsakovą tik dėl svarbių priežasčių.</w:t>
      </w:r>
    </w:p>
    <w:p w14:paraId="59841987" w14:textId="5CCB7551" w:rsidR="00202A16" w:rsidRPr="0085757C" w:rsidRDefault="00EC16B2" w:rsidP="00E71905">
      <w:pPr>
        <w:numPr>
          <w:ilvl w:val="1"/>
          <w:numId w:val="4"/>
        </w:numPr>
        <w:tabs>
          <w:tab w:val="clear" w:pos="356"/>
          <w:tab w:val="num"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rFonts w:eastAsia="Calibri"/>
          <w:sz w:val="24"/>
          <w:szCs w:val="24"/>
          <w:lang w:val="lt-LT"/>
        </w:rPr>
        <w:t>Sutarties nutraukimas nepanaikina nė vienos iš Sutarties Šalių teisės reikalauti sumokėti netesybas, numatytas šioje Sutartyje už sutartinių įsipareigojimų neįvykdymą iki Sutarties nutraukimo.</w:t>
      </w:r>
    </w:p>
    <w:p w14:paraId="3BD4241D" w14:textId="77777777" w:rsidR="001033C2" w:rsidRPr="0085757C" w:rsidRDefault="00397DCE"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85757C">
        <w:rPr>
          <w:b/>
          <w:smallCaps/>
          <w:sz w:val="24"/>
          <w:szCs w:val="24"/>
          <w:lang w:val="lt-LT"/>
        </w:rPr>
        <w:t xml:space="preserve"> </w:t>
      </w:r>
      <w:r w:rsidR="00EC16B2" w:rsidRPr="0085757C">
        <w:rPr>
          <w:b/>
          <w:smallCaps/>
          <w:sz w:val="24"/>
          <w:szCs w:val="24"/>
          <w:lang w:val="lt-LT"/>
        </w:rPr>
        <w:t xml:space="preserve">Subtiekėjai ir jų keitimo tvarka </w:t>
      </w:r>
    </w:p>
    <w:p w14:paraId="70C56FBC" w14:textId="6684D7CE" w:rsidR="00202A16" w:rsidRPr="0085757C" w:rsidRDefault="00EC16B2" w:rsidP="00E71905">
      <w:pPr>
        <w:pStyle w:val="ListParagraph"/>
        <w:numPr>
          <w:ilvl w:val="1"/>
          <w:numId w:val="4"/>
        </w:numPr>
        <w:tabs>
          <w:tab w:val="left" w:pos="709"/>
          <w:tab w:val="left" w:pos="993"/>
        </w:tabs>
        <w:suppressAutoHyphens/>
        <w:overflowPunct/>
        <w:autoSpaceDE/>
        <w:adjustRightInd/>
        <w:spacing w:before="120" w:after="120"/>
        <w:ind w:right="-68"/>
        <w:contextualSpacing w:val="0"/>
        <w:jc w:val="both"/>
        <w:rPr>
          <w:rFonts w:eastAsia="Calibri"/>
          <w:sz w:val="24"/>
          <w:szCs w:val="24"/>
          <w:lang w:val="lt-LT"/>
        </w:rPr>
      </w:pPr>
      <w:r w:rsidRPr="0085757C">
        <w:rPr>
          <w:sz w:val="24"/>
          <w:szCs w:val="24"/>
          <w:lang w:val="lt-LT"/>
        </w:rPr>
        <w:t>Sutartyje numatytų įsipareigojimų vykdymui Vykdytojas subtiekėjo (-ų) nepasitelks.</w:t>
      </w:r>
    </w:p>
    <w:p w14:paraId="615C7D66" w14:textId="77777777" w:rsidR="001033C2" w:rsidRPr="0085757C" w:rsidRDefault="00EC16B2"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85757C">
        <w:rPr>
          <w:b/>
          <w:smallCaps/>
          <w:sz w:val="24"/>
          <w:szCs w:val="24"/>
          <w:lang w:val="lt-LT"/>
        </w:rPr>
        <w:t xml:space="preserve">Baigiamosios nuostatos </w:t>
      </w:r>
    </w:p>
    <w:p w14:paraId="3443A6DE" w14:textId="77777777" w:rsidR="00EC16B2" w:rsidRPr="0085757C" w:rsidRDefault="00EC16B2" w:rsidP="00E3143B">
      <w:pPr>
        <w:numPr>
          <w:ilvl w:val="1"/>
          <w:numId w:val="4"/>
        </w:numPr>
        <w:tabs>
          <w:tab w:val="left" w:pos="0"/>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85757C">
        <w:rPr>
          <w:sz w:val="24"/>
          <w:szCs w:val="24"/>
          <w:lang w:val="lt-LT"/>
        </w:rPr>
        <w:t>Sutartis įsigalioja, kai Sutartį pasirašo abi Sutarties Šalys, ir galioja iki visiško sutartinių įsipareigoj</w:t>
      </w:r>
      <w:r w:rsidR="00DC4458" w:rsidRPr="0085757C">
        <w:rPr>
          <w:sz w:val="24"/>
          <w:szCs w:val="24"/>
          <w:lang w:val="lt-LT"/>
        </w:rPr>
        <w:t>imų įvykdymo</w:t>
      </w:r>
      <w:r w:rsidRPr="0085757C">
        <w:rPr>
          <w:sz w:val="24"/>
          <w:szCs w:val="24"/>
          <w:lang w:val="lt-LT"/>
        </w:rPr>
        <w:t>.</w:t>
      </w:r>
    </w:p>
    <w:p w14:paraId="2265734F" w14:textId="77777777" w:rsidR="00EC16B2" w:rsidRPr="0085757C" w:rsidRDefault="00EC16B2" w:rsidP="00E3143B">
      <w:pPr>
        <w:numPr>
          <w:ilvl w:val="1"/>
          <w:numId w:val="4"/>
        </w:numPr>
        <w:tabs>
          <w:tab w:val="left" w:pos="0"/>
          <w:tab w:val="left" w:pos="709"/>
          <w:tab w:val="left" w:pos="993"/>
        </w:tabs>
        <w:suppressAutoHyphens/>
        <w:overflowPunct/>
        <w:autoSpaceDE/>
        <w:adjustRightInd/>
        <w:spacing w:before="120" w:after="120"/>
        <w:ind w:left="709" w:right="-68" w:hanging="709"/>
        <w:jc w:val="both"/>
        <w:textAlignment w:val="baseline"/>
        <w:rPr>
          <w:i/>
          <w:sz w:val="24"/>
          <w:szCs w:val="24"/>
          <w:lang w:val="lt-LT"/>
        </w:rPr>
      </w:pPr>
      <w:r w:rsidRPr="0085757C">
        <w:rPr>
          <w:rFonts w:eastAsia="Calibri"/>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toliau nurodytais adresais ar fakso numeriais, kitais adresais ar fakso numeriais, kuriuos nurodė viena Šalis, pateikdama pranešimą:</w:t>
      </w:r>
    </w:p>
    <w:tbl>
      <w:tblPr>
        <w:tblW w:w="9082" w:type="dxa"/>
        <w:tblInd w:w="817" w:type="dxa"/>
        <w:tblCellMar>
          <w:left w:w="10" w:type="dxa"/>
          <w:right w:w="10" w:type="dxa"/>
        </w:tblCellMar>
        <w:tblLook w:val="04A0" w:firstRow="1" w:lastRow="0" w:firstColumn="1" w:lastColumn="0" w:noHBand="0" w:noVBand="1"/>
      </w:tblPr>
      <w:tblGrid>
        <w:gridCol w:w="1602"/>
        <w:gridCol w:w="3740"/>
        <w:gridCol w:w="3740"/>
      </w:tblGrid>
      <w:tr w:rsidR="00EC16B2" w:rsidRPr="0085757C" w14:paraId="6514BA53" w14:textId="77777777" w:rsidTr="00527660">
        <w:trPr>
          <w:trHeight w:val="536"/>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5D51" w14:textId="77777777" w:rsidR="00EC16B2" w:rsidRPr="0085757C" w:rsidRDefault="00EC16B2" w:rsidP="00527660">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9A811" w14:textId="77777777" w:rsidR="00EC16B2" w:rsidRPr="0085757C" w:rsidRDefault="00EC16B2" w:rsidP="00527660">
            <w:pPr>
              <w:tabs>
                <w:tab w:val="left" w:pos="993"/>
              </w:tabs>
              <w:suppressAutoHyphens/>
              <w:overflowPunct/>
              <w:autoSpaceDE/>
              <w:adjustRightInd/>
              <w:jc w:val="center"/>
              <w:rPr>
                <w:color w:val="000000"/>
                <w:sz w:val="24"/>
                <w:szCs w:val="24"/>
                <w:lang w:val="lt-LT"/>
              </w:rPr>
            </w:pPr>
            <w:r w:rsidRPr="0085757C">
              <w:rPr>
                <w:color w:val="000000"/>
                <w:sz w:val="24"/>
                <w:szCs w:val="24"/>
                <w:lang w:val="lt-LT"/>
              </w:rPr>
              <w:t>Užsakovo atstovas</w:t>
            </w:r>
            <w:r w:rsidR="00390962" w:rsidRPr="0085757C">
              <w:rPr>
                <w:color w:val="000000"/>
                <w:sz w:val="24"/>
                <w:szCs w:val="24"/>
                <w:lang w:val="lt-LT"/>
              </w:rPr>
              <w:t>, atsakingas už Sutarties vykdymą</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1847F" w14:textId="77777777" w:rsidR="00EC16B2" w:rsidRPr="0085757C" w:rsidRDefault="00EC16B2" w:rsidP="00527660">
            <w:pPr>
              <w:tabs>
                <w:tab w:val="left" w:pos="993"/>
              </w:tabs>
              <w:suppressAutoHyphens/>
              <w:overflowPunct/>
              <w:autoSpaceDE/>
              <w:adjustRightInd/>
              <w:jc w:val="center"/>
              <w:rPr>
                <w:color w:val="000000"/>
                <w:sz w:val="24"/>
                <w:szCs w:val="24"/>
                <w:lang w:val="lt-LT"/>
              </w:rPr>
            </w:pPr>
            <w:r w:rsidRPr="0085757C">
              <w:rPr>
                <w:sz w:val="24"/>
                <w:szCs w:val="24"/>
                <w:lang w:val="lt-LT"/>
              </w:rPr>
              <w:t>Vykdytojas</w:t>
            </w:r>
            <w:r w:rsidRPr="0085757C">
              <w:rPr>
                <w:color w:val="000000"/>
                <w:sz w:val="24"/>
                <w:szCs w:val="24"/>
                <w:lang w:val="lt-LT"/>
              </w:rPr>
              <w:t xml:space="preserve"> (</w:t>
            </w:r>
            <w:r w:rsidRPr="0085757C">
              <w:rPr>
                <w:sz w:val="24"/>
                <w:szCs w:val="24"/>
                <w:lang w:val="lt-LT"/>
              </w:rPr>
              <w:t>Vykdytojo</w:t>
            </w:r>
            <w:r w:rsidRPr="0085757C">
              <w:rPr>
                <w:color w:val="000000"/>
                <w:sz w:val="24"/>
                <w:szCs w:val="24"/>
                <w:lang w:val="lt-LT"/>
              </w:rPr>
              <w:t xml:space="preserve"> atstovas)</w:t>
            </w:r>
          </w:p>
        </w:tc>
      </w:tr>
      <w:tr w:rsidR="00EC16B2" w:rsidRPr="0085757C" w14:paraId="26D826A4" w14:textId="77777777" w:rsidTr="00527660">
        <w:trPr>
          <w:trHeight w:val="619"/>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F936" w14:textId="77777777" w:rsidR="00EC16B2" w:rsidRPr="0085757C" w:rsidRDefault="00EC16B2" w:rsidP="00527660">
            <w:pPr>
              <w:tabs>
                <w:tab w:val="left" w:pos="993"/>
              </w:tabs>
              <w:suppressAutoHyphens/>
              <w:overflowPunct/>
              <w:autoSpaceDE/>
              <w:adjustRightInd/>
              <w:jc w:val="right"/>
              <w:rPr>
                <w:color w:val="000000"/>
                <w:sz w:val="24"/>
                <w:szCs w:val="24"/>
                <w:lang w:val="lt-LT"/>
              </w:rPr>
            </w:pPr>
            <w:r w:rsidRPr="0085757C">
              <w:rPr>
                <w:color w:val="000000"/>
                <w:sz w:val="24"/>
                <w:szCs w:val="24"/>
                <w:lang w:val="lt-LT"/>
              </w:rPr>
              <w:t>Vardas, pavardė</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7E83" w14:textId="3BDD9F6E" w:rsidR="0009295B" w:rsidRPr="0085757C" w:rsidRDefault="0009295B" w:rsidP="00527660">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1EA9" w14:textId="008CFD4A" w:rsidR="00EC16B2" w:rsidRPr="0085757C" w:rsidRDefault="00EC16B2" w:rsidP="00527660">
            <w:pPr>
              <w:tabs>
                <w:tab w:val="left" w:pos="993"/>
              </w:tabs>
              <w:suppressAutoHyphens/>
              <w:overflowPunct/>
              <w:autoSpaceDE/>
              <w:adjustRightInd/>
              <w:rPr>
                <w:color w:val="000000"/>
                <w:sz w:val="24"/>
                <w:szCs w:val="24"/>
                <w:lang w:val="lt-LT"/>
              </w:rPr>
            </w:pPr>
          </w:p>
        </w:tc>
      </w:tr>
      <w:tr w:rsidR="00EC16B2" w:rsidRPr="0085757C" w14:paraId="274BABBC" w14:textId="77777777" w:rsidTr="00527660">
        <w:trPr>
          <w:trHeight w:val="273"/>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351F" w14:textId="77777777" w:rsidR="00EC16B2" w:rsidRPr="0085757C" w:rsidRDefault="00EC16B2" w:rsidP="00527660">
            <w:pPr>
              <w:tabs>
                <w:tab w:val="left" w:pos="993"/>
              </w:tabs>
              <w:suppressAutoHyphens/>
              <w:overflowPunct/>
              <w:autoSpaceDE/>
              <w:adjustRightInd/>
              <w:jc w:val="right"/>
              <w:rPr>
                <w:color w:val="000000"/>
                <w:sz w:val="24"/>
                <w:szCs w:val="24"/>
                <w:lang w:val="lt-LT"/>
              </w:rPr>
            </w:pPr>
            <w:r w:rsidRPr="0085757C">
              <w:rPr>
                <w:color w:val="000000"/>
                <w:sz w:val="24"/>
                <w:szCs w:val="24"/>
                <w:lang w:val="lt-LT"/>
              </w:rPr>
              <w:t>Telefonas</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D467" w14:textId="0CCB50A9" w:rsidR="00EC16B2" w:rsidRPr="0085757C" w:rsidRDefault="00EC16B2" w:rsidP="00527660">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7412" w14:textId="403A047F" w:rsidR="00EC16B2" w:rsidRPr="0085757C" w:rsidRDefault="00EC16B2" w:rsidP="00527660">
            <w:pPr>
              <w:tabs>
                <w:tab w:val="left" w:pos="993"/>
              </w:tabs>
              <w:suppressAutoHyphens/>
              <w:overflowPunct/>
              <w:autoSpaceDE/>
              <w:adjustRightInd/>
              <w:rPr>
                <w:color w:val="000000"/>
                <w:sz w:val="24"/>
                <w:szCs w:val="24"/>
                <w:lang w:val="lt-LT"/>
              </w:rPr>
            </w:pPr>
          </w:p>
        </w:tc>
      </w:tr>
      <w:tr w:rsidR="00EC16B2" w:rsidRPr="0085757C" w14:paraId="62C22C02" w14:textId="77777777" w:rsidTr="00527660">
        <w:trPr>
          <w:trHeight w:val="276"/>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812EE" w14:textId="77777777" w:rsidR="00EC16B2" w:rsidRPr="0085757C" w:rsidRDefault="00EC16B2" w:rsidP="00527660">
            <w:pPr>
              <w:tabs>
                <w:tab w:val="left" w:pos="993"/>
              </w:tabs>
              <w:suppressAutoHyphens/>
              <w:overflowPunct/>
              <w:autoSpaceDE/>
              <w:adjustRightInd/>
              <w:jc w:val="right"/>
              <w:rPr>
                <w:color w:val="000000"/>
                <w:sz w:val="24"/>
                <w:szCs w:val="24"/>
                <w:lang w:val="lt-LT"/>
              </w:rPr>
            </w:pPr>
            <w:r w:rsidRPr="0085757C">
              <w:rPr>
                <w:color w:val="000000"/>
                <w:sz w:val="24"/>
                <w:szCs w:val="24"/>
                <w:lang w:val="lt-LT"/>
              </w:rPr>
              <w:t>El. paštas</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B00D0" w14:textId="71F341EC" w:rsidR="00EC16B2" w:rsidRPr="0085757C" w:rsidRDefault="00EC16B2" w:rsidP="00527660">
            <w:pPr>
              <w:tabs>
                <w:tab w:val="left" w:pos="993"/>
              </w:tabs>
              <w:suppressAutoHyphens/>
              <w:overflowPunct/>
              <w:autoSpaceDE/>
              <w:adjustRightInd/>
              <w:rPr>
                <w:color w:val="000000"/>
                <w:sz w:val="24"/>
                <w:szCs w:val="24"/>
                <w:lang w:val="en-US"/>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08EC" w14:textId="6EE212AC" w:rsidR="00EC16B2" w:rsidRPr="0085757C" w:rsidRDefault="00EC16B2" w:rsidP="00527660">
            <w:pPr>
              <w:tabs>
                <w:tab w:val="left" w:pos="993"/>
              </w:tabs>
              <w:suppressAutoHyphens/>
              <w:overflowPunct/>
              <w:autoSpaceDE/>
              <w:adjustRightInd/>
              <w:rPr>
                <w:color w:val="000000"/>
                <w:sz w:val="24"/>
                <w:szCs w:val="24"/>
                <w:lang w:val="en-US"/>
              </w:rPr>
            </w:pPr>
          </w:p>
        </w:tc>
      </w:tr>
    </w:tbl>
    <w:p w14:paraId="4E1F469B" w14:textId="77777777" w:rsidR="00EC16B2" w:rsidRPr="0085757C"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color w:val="000000"/>
          <w:sz w:val="24"/>
          <w:szCs w:val="24"/>
          <w:lang w:val="lt-LT"/>
        </w:rPr>
      </w:pPr>
      <w:r w:rsidRPr="0085757C">
        <w:rPr>
          <w:rFonts w:eastAsia="Calibri"/>
          <w:color w:val="000000"/>
          <w:sz w:val="24"/>
          <w:szCs w:val="24"/>
          <w:lang w:val="lt-LT"/>
        </w:rPr>
        <w:t>Jei pasikeičia</w:t>
      </w:r>
      <w:r w:rsidR="00EE0B3B" w:rsidRPr="0085757C">
        <w:rPr>
          <w:rFonts w:eastAsia="Calibri"/>
          <w:color w:val="000000"/>
          <w:sz w:val="24"/>
          <w:szCs w:val="24"/>
          <w:lang w:val="lt-LT"/>
        </w:rPr>
        <w:t xml:space="preserve"> Šalies adresas ir/</w:t>
      </w:r>
      <w:r w:rsidRPr="0085757C">
        <w:rPr>
          <w:rFonts w:eastAsia="Calibri"/>
          <w:color w:val="000000"/>
          <w:sz w:val="24"/>
          <w:szCs w:val="24"/>
          <w:lang w:val="lt-LT"/>
        </w:rPr>
        <w:t>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E48825" w14:textId="77777777" w:rsidR="00EC16B2" w:rsidRPr="0085757C"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lastRenderedPageBreak/>
        <w:t>Sutartis sudaryta lietuvių kalba, dviem vienodą juridinę galią turinčiais egzemplioriais – po vieną kiekvienai Šaliai.</w:t>
      </w:r>
    </w:p>
    <w:p w14:paraId="7A47B321" w14:textId="77777777" w:rsidR="00EC16B2" w:rsidRPr="0085757C"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t>Šią Sutartį sudaro Sutartis ir jos priedai:</w:t>
      </w:r>
    </w:p>
    <w:p w14:paraId="2BAFE1F7" w14:textId="77777777" w:rsidR="00EC16B2" w:rsidRPr="0085757C"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85757C">
        <w:rPr>
          <w:sz w:val="24"/>
          <w:szCs w:val="24"/>
          <w:lang w:val="lt-LT"/>
        </w:rPr>
        <w:t>Techninė specifikacija (1 priedas).</w:t>
      </w:r>
    </w:p>
    <w:p w14:paraId="157C86A4" w14:textId="77777777" w:rsidR="00EC16B2" w:rsidRPr="0085757C" w:rsidRDefault="00EC16B2" w:rsidP="00E3143B">
      <w:pPr>
        <w:tabs>
          <w:tab w:val="left" w:pos="567"/>
          <w:tab w:val="left" w:pos="709"/>
          <w:tab w:val="left" w:pos="993"/>
        </w:tabs>
        <w:adjustRightInd/>
        <w:spacing w:before="120" w:after="120"/>
        <w:ind w:left="709" w:hanging="709"/>
        <w:jc w:val="both"/>
        <w:rPr>
          <w:rFonts w:eastAsia="Calibri"/>
          <w:sz w:val="24"/>
          <w:szCs w:val="24"/>
          <w:lang w:val="lt-LT"/>
        </w:rPr>
      </w:pPr>
    </w:p>
    <w:p w14:paraId="6546071C" w14:textId="77777777" w:rsidR="00EC16B2" w:rsidRPr="0085757C" w:rsidRDefault="00EC16B2" w:rsidP="00E3143B">
      <w:pPr>
        <w:numPr>
          <w:ilvl w:val="0"/>
          <w:numId w:val="4"/>
        </w:numPr>
        <w:tabs>
          <w:tab w:val="clear" w:pos="532"/>
          <w:tab w:val="left" w:pos="142"/>
          <w:tab w:val="num" w:pos="709"/>
          <w:tab w:val="left" w:pos="851"/>
          <w:tab w:val="left" w:pos="993"/>
        </w:tabs>
        <w:suppressAutoHyphens/>
        <w:overflowPunct/>
        <w:autoSpaceDE/>
        <w:adjustRightInd/>
        <w:spacing w:before="120" w:after="120"/>
        <w:ind w:left="709" w:hanging="709"/>
        <w:textAlignment w:val="baseline"/>
        <w:rPr>
          <w:rFonts w:eastAsia="Calibri"/>
          <w:b/>
          <w:sz w:val="24"/>
          <w:szCs w:val="24"/>
          <w:lang w:val="lt-LT"/>
        </w:rPr>
      </w:pPr>
      <w:r w:rsidRPr="0085757C">
        <w:rPr>
          <w:rFonts w:eastAsia="Calibri"/>
          <w:b/>
          <w:sz w:val="24"/>
          <w:szCs w:val="24"/>
          <w:lang w:val="lt-LT"/>
        </w:rPr>
        <w:t>Šalių rekvizitai ir parašai: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846"/>
        <w:gridCol w:w="4218"/>
      </w:tblGrid>
      <w:tr w:rsidR="00EC16B2" w:rsidRPr="0085757C" w14:paraId="44E1F74A" w14:textId="77777777" w:rsidTr="00FB7EA7">
        <w:tc>
          <w:tcPr>
            <w:tcW w:w="4791" w:type="dxa"/>
            <w:tcBorders>
              <w:top w:val="nil"/>
              <w:left w:val="nil"/>
              <w:bottom w:val="nil"/>
              <w:right w:val="nil"/>
            </w:tcBorders>
            <w:shd w:val="clear" w:color="auto" w:fill="auto"/>
            <w:hideMark/>
          </w:tcPr>
          <w:p w14:paraId="6B68FA83" w14:textId="77777777" w:rsidR="00EC16B2" w:rsidRPr="0085757C" w:rsidRDefault="00EC16B2" w:rsidP="00E3143B">
            <w:pPr>
              <w:tabs>
                <w:tab w:val="left" w:pos="851"/>
                <w:tab w:val="left" w:pos="993"/>
              </w:tabs>
              <w:suppressAutoHyphens/>
              <w:overflowPunct/>
              <w:autoSpaceDE/>
              <w:adjustRightInd/>
              <w:ind w:left="709" w:hanging="709"/>
              <w:rPr>
                <w:rFonts w:eastAsia="Calibri"/>
                <w:sz w:val="24"/>
                <w:szCs w:val="24"/>
                <w:lang w:val="lt-LT"/>
              </w:rPr>
            </w:pPr>
            <w:r w:rsidRPr="0085757C">
              <w:rPr>
                <w:rFonts w:eastAsia="Calibri"/>
                <w:sz w:val="24"/>
                <w:szCs w:val="24"/>
                <w:lang w:val="lt-LT"/>
              </w:rPr>
              <w:t>UŽSAKOVAS</w:t>
            </w:r>
          </w:p>
        </w:tc>
        <w:tc>
          <w:tcPr>
            <w:tcW w:w="846" w:type="dxa"/>
            <w:tcBorders>
              <w:top w:val="nil"/>
              <w:left w:val="nil"/>
              <w:bottom w:val="nil"/>
              <w:right w:val="nil"/>
            </w:tcBorders>
            <w:shd w:val="clear" w:color="auto" w:fill="auto"/>
          </w:tcPr>
          <w:p w14:paraId="355F75BE" w14:textId="77777777" w:rsidR="00EC16B2" w:rsidRPr="0085757C" w:rsidRDefault="00EC16B2" w:rsidP="00E3143B">
            <w:pPr>
              <w:tabs>
                <w:tab w:val="left" w:pos="851"/>
                <w:tab w:val="left" w:pos="993"/>
              </w:tabs>
              <w:suppressAutoHyphens/>
              <w:overflowPunct/>
              <w:autoSpaceDE/>
              <w:adjustRightInd/>
              <w:ind w:left="709" w:hanging="709"/>
              <w:jc w:val="center"/>
              <w:rPr>
                <w:rFonts w:eastAsia="Calibri"/>
                <w:sz w:val="24"/>
                <w:szCs w:val="24"/>
                <w:lang w:val="lt-LT"/>
              </w:rPr>
            </w:pPr>
          </w:p>
        </w:tc>
        <w:tc>
          <w:tcPr>
            <w:tcW w:w="4218" w:type="dxa"/>
            <w:tcBorders>
              <w:top w:val="nil"/>
              <w:left w:val="nil"/>
              <w:bottom w:val="nil"/>
              <w:right w:val="nil"/>
            </w:tcBorders>
            <w:shd w:val="clear" w:color="auto" w:fill="auto"/>
            <w:hideMark/>
          </w:tcPr>
          <w:p w14:paraId="2A34C122" w14:textId="77777777" w:rsidR="00EC16B2" w:rsidRPr="0085757C" w:rsidRDefault="00EC16B2" w:rsidP="00E3143B">
            <w:pPr>
              <w:tabs>
                <w:tab w:val="left" w:pos="851"/>
                <w:tab w:val="left" w:pos="993"/>
              </w:tabs>
              <w:suppressAutoHyphens/>
              <w:overflowPunct/>
              <w:autoSpaceDE/>
              <w:adjustRightInd/>
              <w:ind w:left="709" w:hanging="709"/>
              <w:rPr>
                <w:rFonts w:eastAsia="Calibri"/>
                <w:sz w:val="24"/>
                <w:szCs w:val="24"/>
                <w:lang w:val="lt-LT"/>
              </w:rPr>
            </w:pPr>
            <w:r w:rsidRPr="0085757C">
              <w:rPr>
                <w:rFonts w:eastAsia="Calibri"/>
                <w:sz w:val="24"/>
                <w:szCs w:val="24"/>
                <w:lang w:val="lt-LT"/>
              </w:rPr>
              <w:t>VYKDYTOJAS</w:t>
            </w:r>
          </w:p>
        </w:tc>
      </w:tr>
      <w:tr w:rsidR="00EC16B2" w:rsidRPr="0085757C" w14:paraId="25330DFE" w14:textId="77777777" w:rsidTr="00FB7EA7">
        <w:tc>
          <w:tcPr>
            <w:tcW w:w="4791" w:type="dxa"/>
            <w:tcBorders>
              <w:top w:val="nil"/>
              <w:left w:val="nil"/>
              <w:bottom w:val="nil"/>
              <w:right w:val="nil"/>
            </w:tcBorders>
            <w:shd w:val="clear" w:color="auto" w:fill="auto"/>
            <w:hideMark/>
          </w:tcPr>
          <w:p w14:paraId="2BD8A5BB" w14:textId="77777777" w:rsidR="00EC16B2" w:rsidRPr="0085757C" w:rsidRDefault="00EC16B2" w:rsidP="00E3143B">
            <w:pPr>
              <w:tabs>
                <w:tab w:val="left" w:pos="851"/>
                <w:tab w:val="left" w:pos="993"/>
              </w:tabs>
              <w:suppressAutoHyphens/>
              <w:overflowPunct/>
              <w:autoSpaceDE/>
              <w:adjustRightInd/>
              <w:jc w:val="both"/>
              <w:rPr>
                <w:rFonts w:eastAsia="Calibri"/>
                <w:b/>
                <w:sz w:val="24"/>
                <w:szCs w:val="24"/>
                <w:lang w:val="lt-LT"/>
              </w:rPr>
            </w:pPr>
            <w:r w:rsidRPr="0085757C">
              <w:rPr>
                <w:rFonts w:eastAsia="Calibri"/>
                <w:b/>
                <w:sz w:val="24"/>
                <w:szCs w:val="24"/>
                <w:lang w:val="lt-LT"/>
              </w:rPr>
              <w:t xml:space="preserve">Viešoji įstaiga Respublikinė </w:t>
            </w:r>
            <w:r w:rsidR="00A324E6" w:rsidRPr="0085757C">
              <w:rPr>
                <w:rFonts w:eastAsia="Calibri"/>
                <w:b/>
                <w:sz w:val="24"/>
                <w:szCs w:val="24"/>
                <w:lang w:val="lt-LT"/>
              </w:rPr>
              <w:t>Vilniaus psichiatrijos</w:t>
            </w:r>
            <w:r w:rsidRPr="0085757C">
              <w:rPr>
                <w:rFonts w:eastAsia="Calibri"/>
                <w:b/>
                <w:sz w:val="24"/>
                <w:szCs w:val="24"/>
                <w:lang w:val="lt-LT"/>
              </w:rPr>
              <w:t xml:space="preserve"> ligoninė</w:t>
            </w:r>
          </w:p>
        </w:tc>
        <w:tc>
          <w:tcPr>
            <w:tcW w:w="846" w:type="dxa"/>
            <w:tcBorders>
              <w:top w:val="nil"/>
              <w:left w:val="nil"/>
              <w:bottom w:val="nil"/>
              <w:right w:val="nil"/>
            </w:tcBorders>
            <w:shd w:val="clear" w:color="auto" w:fill="auto"/>
          </w:tcPr>
          <w:p w14:paraId="315AB43A"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7FC0DEDF" w14:textId="77777777" w:rsidR="00EC16B2" w:rsidRPr="0085757C" w:rsidRDefault="007F6E4F" w:rsidP="00E3143B">
            <w:pPr>
              <w:tabs>
                <w:tab w:val="left" w:pos="851"/>
                <w:tab w:val="left" w:pos="993"/>
              </w:tabs>
              <w:suppressAutoHyphens/>
              <w:overflowPunct/>
              <w:autoSpaceDE/>
              <w:adjustRightInd/>
              <w:ind w:left="709" w:hanging="709"/>
              <w:jc w:val="both"/>
              <w:rPr>
                <w:rFonts w:eastAsia="Calibri"/>
                <w:b/>
                <w:sz w:val="24"/>
                <w:szCs w:val="24"/>
                <w:lang w:val="lt-LT"/>
              </w:rPr>
            </w:pPr>
            <w:r w:rsidRPr="0085757C">
              <w:rPr>
                <w:rFonts w:eastAsia="Calibri"/>
                <w:b/>
                <w:sz w:val="24"/>
                <w:szCs w:val="24"/>
                <w:lang w:val="lt-LT"/>
              </w:rPr>
              <w:t>UAB „</w:t>
            </w:r>
            <w:proofErr w:type="spellStart"/>
            <w:r w:rsidRPr="0085757C">
              <w:rPr>
                <w:rFonts w:eastAsia="Calibri"/>
                <w:b/>
                <w:sz w:val="24"/>
                <w:szCs w:val="24"/>
                <w:lang w:val="lt-LT"/>
              </w:rPr>
              <w:t>Gaudera</w:t>
            </w:r>
            <w:proofErr w:type="spellEnd"/>
            <w:r w:rsidRPr="0085757C">
              <w:rPr>
                <w:rFonts w:eastAsia="Calibri"/>
                <w:b/>
                <w:sz w:val="24"/>
                <w:szCs w:val="24"/>
                <w:lang w:val="lt-LT"/>
              </w:rPr>
              <w:t>“</w:t>
            </w:r>
          </w:p>
        </w:tc>
      </w:tr>
      <w:tr w:rsidR="00A324E6" w:rsidRPr="0085757C" w14:paraId="584E50BB" w14:textId="77777777" w:rsidTr="00FB7EA7">
        <w:tc>
          <w:tcPr>
            <w:tcW w:w="4791" w:type="dxa"/>
            <w:tcBorders>
              <w:top w:val="nil"/>
              <w:left w:val="nil"/>
              <w:bottom w:val="nil"/>
              <w:right w:val="nil"/>
            </w:tcBorders>
            <w:shd w:val="clear" w:color="auto" w:fill="auto"/>
            <w:hideMark/>
          </w:tcPr>
          <w:p w14:paraId="32ACA237" w14:textId="77777777" w:rsidR="00A324E6" w:rsidRPr="0085757C" w:rsidRDefault="00A324E6" w:rsidP="00E3143B">
            <w:pPr>
              <w:tabs>
                <w:tab w:val="left" w:pos="709"/>
              </w:tabs>
              <w:jc w:val="both"/>
              <w:rPr>
                <w:sz w:val="24"/>
                <w:szCs w:val="24"/>
              </w:rPr>
            </w:pPr>
            <w:r w:rsidRPr="0085757C">
              <w:rPr>
                <w:sz w:val="24"/>
                <w:szCs w:val="24"/>
              </w:rPr>
              <w:t>Parko g. 21, LT-11205 Vilnius</w:t>
            </w:r>
          </w:p>
        </w:tc>
        <w:tc>
          <w:tcPr>
            <w:tcW w:w="846" w:type="dxa"/>
            <w:tcBorders>
              <w:top w:val="nil"/>
              <w:left w:val="nil"/>
              <w:bottom w:val="nil"/>
              <w:right w:val="nil"/>
            </w:tcBorders>
            <w:shd w:val="clear" w:color="auto" w:fill="auto"/>
          </w:tcPr>
          <w:p w14:paraId="23D7E2C3"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2C2310F5"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r w:rsidRPr="0085757C">
              <w:rPr>
                <w:rFonts w:eastAsia="Calibri"/>
                <w:sz w:val="24"/>
                <w:szCs w:val="24"/>
                <w:lang w:val="lt-LT"/>
              </w:rPr>
              <w:t xml:space="preserve">Adresas </w:t>
            </w:r>
            <w:proofErr w:type="spellStart"/>
            <w:r w:rsidRPr="0085757C">
              <w:rPr>
                <w:rFonts w:eastAsia="Calibri"/>
                <w:sz w:val="24"/>
                <w:szCs w:val="24"/>
                <w:lang w:val="lt-LT"/>
              </w:rPr>
              <w:t>Gaižūnų</w:t>
            </w:r>
            <w:proofErr w:type="spellEnd"/>
            <w:r w:rsidRPr="0085757C">
              <w:rPr>
                <w:rFonts w:eastAsia="Calibri"/>
                <w:sz w:val="24"/>
                <w:szCs w:val="24"/>
                <w:lang w:val="lt-LT"/>
              </w:rPr>
              <w:t xml:space="preserve"> g. 3, Kaunas</w:t>
            </w:r>
          </w:p>
        </w:tc>
      </w:tr>
      <w:tr w:rsidR="00A324E6" w:rsidRPr="0085757C" w14:paraId="773366B4" w14:textId="77777777" w:rsidTr="00FB7EA7">
        <w:tc>
          <w:tcPr>
            <w:tcW w:w="4791" w:type="dxa"/>
            <w:tcBorders>
              <w:top w:val="nil"/>
              <w:left w:val="nil"/>
              <w:bottom w:val="nil"/>
              <w:right w:val="nil"/>
            </w:tcBorders>
            <w:shd w:val="clear" w:color="auto" w:fill="auto"/>
            <w:hideMark/>
          </w:tcPr>
          <w:p w14:paraId="4F7C0BF2" w14:textId="77777777" w:rsidR="00A324E6" w:rsidRPr="0085757C" w:rsidRDefault="00A324E6" w:rsidP="00E3143B">
            <w:pPr>
              <w:tabs>
                <w:tab w:val="left" w:pos="709"/>
              </w:tabs>
              <w:ind w:left="709" w:hanging="709"/>
              <w:jc w:val="both"/>
              <w:rPr>
                <w:sz w:val="24"/>
                <w:szCs w:val="24"/>
              </w:rPr>
            </w:pPr>
            <w:proofErr w:type="spellStart"/>
            <w:r w:rsidRPr="0085757C">
              <w:rPr>
                <w:sz w:val="24"/>
                <w:szCs w:val="24"/>
              </w:rPr>
              <w:t>Įstaigos</w:t>
            </w:r>
            <w:proofErr w:type="spellEnd"/>
            <w:r w:rsidRPr="0085757C">
              <w:rPr>
                <w:sz w:val="24"/>
                <w:szCs w:val="24"/>
              </w:rPr>
              <w:t xml:space="preserve"> </w:t>
            </w:r>
            <w:proofErr w:type="spellStart"/>
            <w:r w:rsidRPr="0085757C">
              <w:rPr>
                <w:sz w:val="24"/>
                <w:szCs w:val="24"/>
              </w:rPr>
              <w:t>kodas</w:t>
            </w:r>
            <w:proofErr w:type="spellEnd"/>
            <w:r w:rsidRPr="0085757C">
              <w:rPr>
                <w:sz w:val="24"/>
                <w:szCs w:val="24"/>
              </w:rPr>
              <w:t xml:space="preserve"> 124247526</w:t>
            </w:r>
          </w:p>
        </w:tc>
        <w:tc>
          <w:tcPr>
            <w:tcW w:w="846" w:type="dxa"/>
            <w:tcBorders>
              <w:top w:val="nil"/>
              <w:left w:val="nil"/>
              <w:bottom w:val="nil"/>
              <w:right w:val="nil"/>
            </w:tcBorders>
            <w:shd w:val="clear" w:color="auto" w:fill="auto"/>
          </w:tcPr>
          <w:p w14:paraId="64E31FF9"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784E8439"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r w:rsidRPr="0085757C">
              <w:rPr>
                <w:rFonts w:eastAsia="Calibri"/>
                <w:sz w:val="24"/>
                <w:szCs w:val="24"/>
                <w:lang w:val="lt-LT"/>
              </w:rPr>
              <w:t>Įmonės kodas 134569760</w:t>
            </w:r>
          </w:p>
        </w:tc>
      </w:tr>
      <w:tr w:rsidR="00A324E6" w:rsidRPr="0085757C" w14:paraId="646557A0" w14:textId="77777777" w:rsidTr="004D6684">
        <w:tc>
          <w:tcPr>
            <w:tcW w:w="4791" w:type="dxa"/>
            <w:tcBorders>
              <w:top w:val="nil"/>
              <w:left w:val="nil"/>
              <w:bottom w:val="nil"/>
              <w:right w:val="nil"/>
            </w:tcBorders>
            <w:shd w:val="clear" w:color="auto" w:fill="auto"/>
          </w:tcPr>
          <w:p w14:paraId="09F80C18" w14:textId="1C34FB3D"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0BF49C36"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42196C87" w14:textId="0063C3C5"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6C61FC90" w14:textId="77777777" w:rsidTr="004D6684">
        <w:tc>
          <w:tcPr>
            <w:tcW w:w="4791" w:type="dxa"/>
            <w:tcBorders>
              <w:top w:val="nil"/>
              <w:left w:val="nil"/>
              <w:bottom w:val="nil"/>
              <w:right w:val="nil"/>
            </w:tcBorders>
            <w:shd w:val="clear" w:color="auto" w:fill="auto"/>
          </w:tcPr>
          <w:p w14:paraId="1EDF7423" w14:textId="37971A6B"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7D77227A"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5E729243" w14:textId="0E5A0F25"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050A9EE3" w14:textId="77777777" w:rsidTr="004D6684">
        <w:tc>
          <w:tcPr>
            <w:tcW w:w="4791" w:type="dxa"/>
            <w:tcBorders>
              <w:top w:val="nil"/>
              <w:left w:val="nil"/>
              <w:bottom w:val="nil"/>
              <w:right w:val="nil"/>
            </w:tcBorders>
            <w:shd w:val="clear" w:color="auto" w:fill="auto"/>
          </w:tcPr>
          <w:p w14:paraId="0623138E" w14:textId="3ADD4ABF"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0AB1F027"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6756B92B" w14:textId="3003C939"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546C38D8" w14:textId="77777777" w:rsidTr="004D6684">
        <w:tc>
          <w:tcPr>
            <w:tcW w:w="4791" w:type="dxa"/>
            <w:tcBorders>
              <w:top w:val="nil"/>
              <w:left w:val="nil"/>
              <w:bottom w:val="nil"/>
              <w:right w:val="nil"/>
            </w:tcBorders>
            <w:shd w:val="clear" w:color="auto" w:fill="auto"/>
          </w:tcPr>
          <w:p w14:paraId="037E0C09" w14:textId="56894CFD"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15A07722"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4807203A" w14:textId="1C4B5C31"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0C63908F" w14:textId="77777777" w:rsidTr="004D6684">
        <w:tc>
          <w:tcPr>
            <w:tcW w:w="4791" w:type="dxa"/>
            <w:tcBorders>
              <w:top w:val="nil"/>
              <w:left w:val="nil"/>
              <w:bottom w:val="nil"/>
              <w:right w:val="nil"/>
            </w:tcBorders>
            <w:shd w:val="clear" w:color="auto" w:fill="auto"/>
          </w:tcPr>
          <w:p w14:paraId="56CDA643" w14:textId="6C5B6A50"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2A70327B"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2D4D5FDE" w14:textId="121C909B"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1FC64F5C" w14:textId="77777777" w:rsidTr="004D6684">
        <w:tc>
          <w:tcPr>
            <w:tcW w:w="4791" w:type="dxa"/>
            <w:tcBorders>
              <w:top w:val="nil"/>
              <w:left w:val="nil"/>
              <w:bottom w:val="nil"/>
              <w:right w:val="nil"/>
            </w:tcBorders>
            <w:shd w:val="clear" w:color="auto" w:fill="auto"/>
          </w:tcPr>
          <w:p w14:paraId="62AD674F" w14:textId="0A0A6831"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316125BB"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76F13D37" w14:textId="6CE444C0"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85757C" w14:paraId="11B33DEF" w14:textId="77777777" w:rsidTr="004D6684">
        <w:tc>
          <w:tcPr>
            <w:tcW w:w="4791" w:type="dxa"/>
            <w:tcBorders>
              <w:top w:val="nil"/>
              <w:left w:val="nil"/>
              <w:bottom w:val="nil"/>
              <w:right w:val="nil"/>
            </w:tcBorders>
            <w:shd w:val="clear" w:color="auto" w:fill="auto"/>
          </w:tcPr>
          <w:p w14:paraId="15DF30F3" w14:textId="4C4BCD48" w:rsidR="00A324E6" w:rsidRPr="0085757C"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2E659A6B" w14:textId="77777777"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0AE1C0EF" w14:textId="0C2E6DAB" w:rsidR="00A324E6" w:rsidRPr="0085757C" w:rsidRDefault="00A324E6" w:rsidP="00E3143B">
            <w:pPr>
              <w:tabs>
                <w:tab w:val="left" w:pos="851"/>
                <w:tab w:val="left" w:pos="993"/>
              </w:tabs>
              <w:suppressAutoHyphens/>
              <w:overflowPunct/>
              <w:autoSpaceDE/>
              <w:adjustRightInd/>
              <w:ind w:left="709" w:hanging="709"/>
              <w:jc w:val="both"/>
              <w:rPr>
                <w:rFonts w:eastAsia="Calibri"/>
                <w:sz w:val="24"/>
                <w:szCs w:val="24"/>
                <w:lang w:val="en-US"/>
              </w:rPr>
            </w:pPr>
          </w:p>
        </w:tc>
      </w:tr>
      <w:tr w:rsidR="00EC16B2" w:rsidRPr="0085757C" w14:paraId="68E28A45" w14:textId="77777777" w:rsidTr="00FB7EA7">
        <w:tc>
          <w:tcPr>
            <w:tcW w:w="4791" w:type="dxa"/>
            <w:tcBorders>
              <w:top w:val="nil"/>
              <w:left w:val="nil"/>
              <w:bottom w:val="nil"/>
              <w:right w:val="nil"/>
            </w:tcBorders>
            <w:shd w:val="clear" w:color="auto" w:fill="auto"/>
          </w:tcPr>
          <w:p w14:paraId="245BBAA4"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846" w:type="dxa"/>
            <w:tcBorders>
              <w:top w:val="nil"/>
              <w:left w:val="nil"/>
              <w:bottom w:val="nil"/>
              <w:right w:val="nil"/>
            </w:tcBorders>
            <w:shd w:val="clear" w:color="auto" w:fill="auto"/>
          </w:tcPr>
          <w:p w14:paraId="6E13DD9F"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0B2A17DF"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EC16B2" w:rsidRPr="0085757C" w14:paraId="52F73B67" w14:textId="77777777" w:rsidTr="004D6684">
        <w:tc>
          <w:tcPr>
            <w:tcW w:w="4791" w:type="dxa"/>
            <w:tcBorders>
              <w:top w:val="nil"/>
              <w:left w:val="nil"/>
              <w:bottom w:val="nil"/>
              <w:right w:val="nil"/>
            </w:tcBorders>
            <w:shd w:val="clear" w:color="auto" w:fill="auto"/>
          </w:tcPr>
          <w:p w14:paraId="55DF651D" w14:textId="130F26D0"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846" w:type="dxa"/>
            <w:tcBorders>
              <w:top w:val="nil"/>
              <w:left w:val="nil"/>
              <w:bottom w:val="nil"/>
              <w:right w:val="nil"/>
            </w:tcBorders>
            <w:shd w:val="clear" w:color="auto" w:fill="auto"/>
          </w:tcPr>
          <w:p w14:paraId="7636E086"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4218" w:type="dxa"/>
            <w:tcBorders>
              <w:top w:val="nil"/>
              <w:left w:val="nil"/>
              <w:bottom w:val="nil"/>
              <w:right w:val="nil"/>
            </w:tcBorders>
            <w:shd w:val="clear" w:color="auto" w:fill="auto"/>
          </w:tcPr>
          <w:p w14:paraId="32507076" w14:textId="6C31EC98"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r>
      <w:tr w:rsidR="00EC16B2" w:rsidRPr="0085757C" w14:paraId="2BBB96A0" w14:textId="77777777" w:rsidTr="004D6684">
        <w:tc>
          <w:tcPr>
            <w:tcW w:w="4791" w:type="dxa"/>
            <w:tcBorders>
              <w:top w:val="nil"/>
              <w:left w:val="nil"/>
              <w:bottom w:val="nil"/>
              <w:right w:val="nil"/>
            </w:tcBorders>
            <w:shd w:val="clear" w:color="auto" w:fill="auto"/>
          </w:tcPr>
          <w:p w14:paraId="71AEC4C4" w14:textId="4750C35E"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846" w:type="dxa"/>
            <w:tcBorders>
              <w:top w:val="nil"/>
              <w:left w:val="nil"/>
              <w:bottom w:val="nil"/>
              <w:right w:val="nil"/>
            </w:tcBorders>
            <w:shd w:val="clear" w:color="auto" w:fill="auto"/>
          </w:tcPr>
          <w:p w14:paraId="58BF980D" w14:textId="77777777"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4218" w:type="dxa"/>
            <w:tcBorders>
              <w:top w:val="nil"/>
              <w:left w:val="nil"/>
              <w:bottom w:val="nil"/>
              <w:right w:val="nil"/>
            </w:tcBorders>
            <w:shd w:val="clear" w:color="auto" w:fill="auto"/>
          </w:tcPr>
          <w:p w14:paraId="49390682" w14:textId="524E7B41" w:rsidR="00EC16B2" w:rsidRPr="0085757C"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r>
    </w:tbl>
    <w:p w14:paraId="3CF94678" w14:textId="77777777" w:rsidR="00E3143B" w:rsidRPr="0085757C" w:rsidRDefault="00E3143B" w:rsidP="00E3143B">
      <w:pPr>
        <w:tabs>
          <w:tab w:val="decimal" w:pos="9638"/>
        </w:tabs>
        <w:jc w:val="right"/>
        <w:rPr>
          <w:sz w:val="24"/>
          <w:szCs w:val="24"/>
          <w:lang w:val="lt-LT"/>
        </w:rPr>
      </w:pPr>
    </w:p>
    <w:p w14:paraId="2D31F588" w14:textId="75B763C0" w:rsidR="00E3143B" w:rsidRPr="0085757C" w:rsidRDefault="00E3143B" w:rsidP="00E3143B">
      <w:pPr>
        <w:tabs>
          <w:tab w:val="decimal" w:pos="9638"/>
        </w:tabs>
        <w:jc w:val="right"/>
        <w:rPr>
          <w:sz w:val="24"/>
          <w:szCs w:val="24"/>
          <w:lang w:val="lt-LT"/>
        </w:rPr>
      </w:pPr>
    </w:p>
    <w:p w14:paraId="177ABE3B" w14:textId="5AE08C1D" w:rsidR="000B6192" w:rsidRPr="0085757C" w:rsidRDefault="000B6192" w:rsidP="00E3143B">
      <w:pPr>
        <w:tabs>
          <w:tab w:val="decimal" w:pos="9638"/>
        </w:tabs>
        <w:jc w:val="right"/>
        <w:rPr>
          <w:sz w:val="24"/>
          <w:szCs w:val="24"/>
          <w:lang w:val="lt-LT"/>
        </w:rPr>
      </w:pPr>
    </w:p>
    <w:p w14:paraId="736C1497" w14:textId="145EDFD1" w:rsidR="000B6192" w:rsidRPr="0085757C" w:rsidRDefault="000B6192" w:rsidP="00E3143B">
      <w:pPr>
        <w:tabs>
          <w:tab w:val="decimal" w:pos="9638"/>
        </w:tabs>
        <w:jc w:val="right"/>
        <w:rPr>
          <w:sz w:val="24"/>
          <w:szCs w:val="24"/>
          <w:lang w:val="lt-LT"/>
        </w:rPr>
      </w:pPr>
    </w:p>
    <w:p w14:paraId="16BD0B40" w14:textId="6D65642C" w:rsidR="000B6192" w:rsidRPr="0085757C" w:rsidRDefault="000B6192" w:rsidP="00E3143B">
      <w:pPr>
        <w:tabs>
          <w:tab w:val="decimal" w:pos="9638"/>
        </w:tabs>
        <w:jc w:val="right"/>
        <w:rPr>
          <w:sz w:val="24"/>
          <w:szCs w:val="24"/>
          <w:lang w:val="lt-LT"/>
        </w:rPr>
      </w:pPr>
    </w:p>
    <w:p w14:paraId="65C0E897" w14:textId="34A7C565" w:rsidR="000B6192" w:rsidRPr="0085757C" w:rsidRDefault="000B6192" w:rsidP="00E3143B">
      <w:pPr>
        <w:tabs>
          <w:tab w:val="decimal" w:pos="9638"/>
        </w:tabs>
        <w:jc w:val="right"/>
        <w:rPr>
          <w:sz w:val="24"/>
          <w:szCs w:val="24"/>
          <w:lang w:val="lt-LT"/>
        </w:rPr>
      </w:pPr>
    </w:p>
    <w:p w14:paraId="234C73AF" w14:textId="46FEB8B2" w:rsidR="000B6192" w:rsidRPr="0085757C" w:rsidRDefault="000B6192" w:rsidP="00E3143B">
      <w:pPr>
        <w:tabs>
          <w:tab w:val="decimal" w:pos="9638"/>
        </w:tabs>
        <w:jc w:val="right"/>
        <w:rPr>
          <w:sz w:val="24"/>
          <w:szCs w:val="24"/>
          <w:lang w:val="lt-LT"/>
        </w:rPr>
      </w:pPr>
    </w:p>
    <w:p w14:paraId="35006061" w14:textId="6A7E294D" w:rsidR="000B6192" w:rsidRPr="0085757C" w:rsidRDefault="000B6192" w:rsidP="00E3143B">
      <w:pPr>
        <w:tabs>
          <w:tab w:val="decimal" w:pos="9638"/>
        </w:tabs>
        <w:jc w:val="right"/>
        <w:rPr>
          <w:sz w:val="24"/>
          <w:szCs w:val="24"/>
          <w:lang w:val="lt-LT"/>
        </w:rPr>
      </w:pPr>
    </w:p>
    <w:p w14:paraId="0503546E" w14:textId="6BCAB130" w:rsidR="000B6192" w:rsidRPr="0085757C" w:rsidRDefault="000B6192" w:rsidP="00E3143B">
      <w:pPr>
        <w:tabs>
          <w:tab w:val="decimal" w:pos="9638"/>
        </w:tabs>
        <w:jc w:val="right"/>
        <w:rPr>
          <w:sz w:val="24"/>
          <w:szCs w:val="24"/>
          <w:lang w:val="lt-LT"/>
        </w:rPr>
      </w:pPr>
    </w:p>
    <w:p w14:paraId="59FC653D" w14:textId="42C4B717" w:rsidR="000B6192" w:rsidRPr="0085757C" w:rsidRDefault="000B6192" w:rsidP="00E3143B">
      <w:pPr>
        <w:tabs>
          <w:tab w:val="decimal" w:pos="9638"/>
        </w:tabs>
        <w:jc w:val="right"/>
        <w:rPr>
          <w:sz w:val="24"/>
          <w:szCs w:val="24"/>
          <w:lang w:val="lt-LT"/>
        </w:rPr>
      </w:pPr>
    </w:p>
    <w:p w14:paraId="0FB0D6B5" w14:textId="0E29A012" w:rsidR="000B6192" w:rsidRPr="0085757C" w:rsidRDefault="000B6192" w:rsidP="00E3143B">
      <w:pPr>
        <w:tabs>
          <w:tab w:val="decimal" w:pos="9638"/>
        </w:tabs>
        <w:jc w:val="right"/>
        <w:rPr>
          <w:sz w:val="24"/>
          <w:szCs w:val="24"/>
          <w:lang w:val="lt-LT"/>
        </w:rPr>
      </w:pPr>
    </w:p>
    <w:p w14:paraId="6DEE7C7F" w14:textId="712B098C" w:rsidR="000B6192" w:rsidRPr="0085757C" w:rsidRDefault="000B6192" w:rsidP="00E3143B">
      <w:pPr>
        <w:tabs>
          <w:tab w:val="decimal" w:pos="9638"/>
        </w:tabs>
        <w:jc w:val="right"/>
        <w:rPr>
          <w:sz w:val="24"/>
          <w:szCs w:val="24"/>
          <w:lang w:val="lt-LT"/>
        </w:rPr>
      </w:pPr>
    </w:p>
    <w:p w14:paraId="1B1A31FA" w14:textId="56FC0FDF" w:rsidR="000B6192" w:rsidRPr="0085757C" w:rsidRDefault="000B6192" w:rsidP="00E3143B">
      <w:pPr>
        <w:tabs>
          <w:tab w:val="decimal" w:pos="9638"/>
        </w:tabs>
        <w:jc w:val="right"/>
        <w:rPr>
          <w:sz w:val="24"/>
          <w:szCs w:val="24"/>
          <w:lang w:val="lt-LT"/>
        </w:rPr>
      </w:pPr>
    </w:p>
    <w:p w14:paraId="1EF9C5DD" w14:textId="77777777" w:rsidR="000B6192" w:rsidRPr="0085757C" w:rsidRDefault="000B6192" w:rsidP="00E3143B">
      <w:pPr>
        <w:tabs>
          <w:tab w:val="decimal" w:pos="9638"/>
        </w:tabs>
        <w:jc w:val="right"/>
        <w:rPr>
          <w:sz w:val="24"/>
          <w:szCs w:val="24"/>
          <w:lang w:val="lt-LT"/>
        </w:rPr>
      </w:pPr>
    </w:p>
    <w:p w14:paraId="092B466E" w14:textId="77777777" w:rsidR="00E3143B" w:rsidRPr="0085757C" w:rsidRDefault="00E3143B" w:rsidP="00E3143B">
      <w:pPr>
        <w:tabs>
          <w:tab w:val="decimal" w:pos="9638"/>
        </w:tabs>
        <w:jc w:val="right"/>
        <w:rPr>
          <w:sz w:val="24"/>
          <w:szCs w:val="24"/>
          <w:lang w:val="lt-LT"/>
        </w:rPr>
      </w:pPr>
    </w:p>
    <w:p w14:paraId="2BA408FA" w14:textId="77777777" w:rsidR="00E3143B" w:rsidRPr="0085757C" w:rsidRDefault="00E3143B" w:rsidP="00E3143B">
      <w:pPr>
        <w:tabs>
          <w:tab w:val="decimal" w:pos="9638"/>
        </w:tabs>
        <w:jc w:val="right"/>
        <w:rPr>
          <w:sz w:val="24"/>
          <w:szCs w:val="24"/>
          <w:lang w:val="lt-LT"/>
        </w:rPr>
      </w:pPr>
    </w:p>
    <w:p w14:paraId="6915C0DB" w14:textId="77777777" w:rsidR="00DE1B03" w:rsidRPr="0085757C" w:rsidRDefault="00DE1B03" w:rsidP="00E3143B">
      <w:pPr>
        <w:tabs>
          <w:tab w:val="decimal" w:pos="9638"/>
        </w:tabs>
        <w:jc w:val="right"/>
        <w:rPr>
          <w:sz w:val="24"/>
          <w:szCs w:val="24"/>
          <w:lang w:val="lt-LT"/>
        </w:rPr>
      </w:pPr>
    </w:p>
    <w:p w14:paraId="16C5CD3E" w14:textId="77777777" w:rsidR="00DE1B03" w:rsidRPr="0085757C" w:rsidRDefault="00DE1B03" w:rsidP="00E3143B">
      <w:pPr>
        <w:tabs>
          <w:tab w:val="decimal" w:pos="9638"/>
        </w:tabs>
        <w:jc w:val="right"/>
        <w:rPr>
          <w:sz w:val="24"/>
          <w:szCs w:val="24"/>
          <w:lang w:val="lt-LT"/>
        </w:rPr>
      </w:pPr>
    </w:p>
    <w:p w14:paraId="1298E15A" w14:textId="77777777" w:rsidR="00DE1B03" w:rsidRPr="0085757C" w:rsidRDefault="00DE1B03" w:rsidP="00E3143B">
      <w:pPr>
        <w:tabs>
          <w:tab w:val="decimal" w:pos="9638"/>
        </w:tabs>
        <w:jc w:val="right"/>
        <w:rPr>
          <w:sz w:val="24"/>
          <w:szCs w:val="24"/>
          <w:lang w:val="lt-LT"/>
        </w:rPr>
      </w:pPr>
    </w:p>
    <w:p w14:paraId="2CD12EAF" w14:textId="77777777" w:rsidR="00DE1B03" w:rsidRPr="0085757C" w:rsidRDefault="00DE1B03" w:rsidP="00E3143B">
      <w:pPr>
        <w:tabs>
          <w:tab w:val="decimal" w:pos="9638"/>
        </w:tabs>
        <w:jc w:val="right"/>
        <w:rPr>
          <w:sz w:val="24"/>
          <w:szCs w:val="24"/>
          <w:lang w:val="lt-LT"/>
        </w:rPr>
      </w:pPr>
    </w:p>
    <w:p w14:paraId="36341A9A" w14:textId="77777777" w:rsidR="00DE1B03" w:rsidRDefault="00DE1B03" w:rsidP="00E3143B">
      <w:pPr>
        <w:tabs>
          <w:tab w:val="decimal" w:pos="9638"/>
        </w:tabs>
        <w:jc w:val="right"/>
        <w:rPr>
          <w:sz w:val="24"/>
          <w:szCs w:val="24"/>
          <w:lang w:val="lt-LT"/>
        </w:rPr>
      </w:pPr>
    </w:p>
    <w:p w14:paraId="41CA5429" w14:textId="77777777" w:rsidR="00C36D67" w:rsidRDefault="00C36D67" w:rsidP="00E3143B">
      <w:pPr>
        <w:tabs>
          <w:tab w:val="decimal" w:pos="9638"/>
        </w:tabs>
        <w:jc w:val="right"/>
        <w:rPr>
          <w:sz w:val="24"/>
          <w:szCs w:val="24"/>
          <w:lang w:val="lt-LT"/>
        </w:rPr>
      </w:pPr>
    </w:p>
    <w:p w14:paraId="75FF5F56" w14:textId="77777777" w:rsidR="00C36D67" w:rsidRPr="0085757C" w:rsidRDefault="00C36D67" w:rsidP="00E3143B">
      <w:pPr>
        <w:tabs>
          <w:tab w:val="decimal" w:pos="9638"/>
        </w:tabs>
        <w:jc w:val="right"/>
        <w:rPr>
          <w:sz w:val="24"/>
          <w:szCs w:val="24"/>
          <w:lang w:val="lt-LT"/>
        </w:rPr>
      </w:pPr>
    </w:p>
    <w:p w14:paraId="36A6295F" w14:textId="77777777" w:rsidR="00D23E9B" w:rsidRPr="0085757C" w:rsidRDefault="00D23E9B" w:rsidP="00E3143B">
      <w:pPr>
        <w:tabs>
          <w:tab w:val="decimal" w:pos="9638"/>
        </w:tabs>
        <w:jc w:val="right"/>
        <w:rPr>
          <w:sz w:val="24"/>
          <w:szCs w:val="24"/>
          <w:lang w:val="lt-LT"/>
        </w:rPr>
      </w:pPr>
    </w:p>
    <w:p w14:paraId="1F8DE699" w14:textId="77777777" w:rsidR="00D23E9B" w:rsidRPr="0085757C" w:rsidRDefault="00D23E9B" w:rsidP="00E3143B">
      <w:pPr>
        <w:tabs>
          <w:tab w:val="decimal" w:pos="9638"/>
        </w:tabs>
        <w:spacing w:before="120" w:after="120"/>
        <w:rPr>
          <w:sz w:val="24"/>
          <w:szCs w:val="24"/>
          <w:lang w:val="lt-LT"/>
        </w:rPr>
      </w:pPr>
    </w:p>
    <w:p w14:paraId="31ECAC31" w14:textId="6812326F" w:rsidR="00D23E9B" w:rsidRPr="0085757C" w:rsidRDefault="00D84D51" w:rsidP="00D84D51">
      <w:pPr>
        <w:tabs>
          <w:tab w:val="decimal" w:pos="9638"/>
        </w:tabs>
        <w:spacing w:before="120" w:after="120"/>
        <w:jc w:val="right"/>
        <w:rPr>
          <w:sz w:val="24"/>
          <w:szCs w:val="24"/>
          <w:lang w:val="lt-LT"/>
        </w:rPr>
      </w:pPr>
      <w:r w:rsidRPr="0085757C">
        <w:rPr>
          <w:b/>
          <w:sz w:val="24"/>
          <w:szCs w:val="24"/>
          <w:lang w:val="lt-LT"/>
        </w:rPr>
        <w:lastRenderedPageBreak/>
        <w:t>1 Priedas</w:t>
      </w:r>
    </w:p>
    <w:p w14:paraId="21931136" w14:textId="77777777" w:rsidR="00D84D51" w:rsidRPr="0085757C" w:rsidRDefault="00D84D51" w:rsidP="00D84D51">
      <w:pPr>
        <w:tabs>
          <w:tab w:val="decimal" w:pos="9638"/>
        </w:tabs>
        <w:spacing w:before="120" w:after="120"/>
        <w:jc w:val="center"/>
        <w:rPr>
          <w:b/>
          <w:sz w:val="24"/>
          <w:szCs w:val="24"/>
          <w:lang w:val="lt-LT"/>
        </w:rPr>
      </w:pPr>
      <w:r w:rsidRPr="0085757C">
        <w:rPr>
          <w:b/>
          <w:sz w:val="24"/>
          <w:szCs w:val="24"/>
          <w:lang w:val="lt-LT"/>
        </w:rPr>
        <w:t>TECHNINĖ SPECIFIKACIJA</w:t>
      </w:r>
    </w:p>
    <w:p w14:paraId="59EE3284"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sz w:val="24"/>
          <w:szCs w:val="24"/>
          <w:lang w:val="lt-LT"/>
        </w:rPr>
        <w:t xml:space="preserve">Perkamos </w:t>
      </w:r>
      <w:r w:rsidRPr="0085757C">
        <w:rPr>
          <w:b/>
          <w:sz w:val="24"/>
          <w:szCs w:val="24"/>
          <w:lang w:val="lt-LT"/>
        </w:rPr>
        <w:t>finansinių ataskaitų audito paslaugos,</w:t>
      </w:r>
      <w:r w:rsidRPr="0085757C">
        <w:rPr>
          <w:sz w:val="24"/>
          <w:szCs w:val="24"/>
          <w:lang w:val="lt-LT"/>
        </w:rPr>
        <w:t xml:space="preserve"> skirtos</w:t>
      </w:r>
      <w:r w:rsidRPr="0085757C">
        <w:rPr>
          <w:b/>
          <w:sz w:val="24"/>
          <w:szCs w:val="24"/>
          <w:lang w:val="lt-LT"/>
        </w:rPr>
        <w:t xml:space="preserve"> </w:t>
      </w:r>
      <w:r w:rsidRPr="0085757C">
        <w:rPr>
          <w:sz w:val="24"/>
          <w:szCs w:val="24"/>
          <w:lang w:val="lt-LT"/>
        </w:rPr>
        <w:t>2024 m. finansinių ataskaitų rinkinių audito atlikimui (toliau – Auditas).</w:t>
      </w:r>
    </w:p>
    <w:p w14:paraId="2214CF51"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rFonts w:eastAsia="Calibri"/>
          <w:sz w:val="24"/>
          <w:szCs w:val="24"/>
          <w:lang w:val="lt-LT"/>
        </w:rPr>
        <w:t xml:space="preserve">Atlikus Auditą, turi būti parengiama ir Užsakovui pateikiama auditoriaus išvada ir Audito ataskaita (po 2 originalo egzempliorius). </w:t>
      </w:r>
      <w:r w:rsidRPr="0085757C">
        <w:rPr>
          <w:sz w:val="24"/>
          <w:szCs w:val="24"/>
          <w:lang w:val="lt-LT"/>
        </w:rPr>
        <w:t>Tiekėjo rengiama dokumentacija taip pat turi būti pateikta elektroniniu formatu.</w:t>
      </w:r>
    </w:p>
    <w:p w14:paraId="13621658"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rFonts w:eastAsia="Calibri"/>
          <w:sz w:val="24"/>
          <w:szCs w:val="24"/>
          <w:lang w:val="lt-LT"/>
        </w:rPr>
        <w:t>Auditas turi būti atliekamas vadovaujantis Tarptautinio audito standartais, Lietuvos Respublikos audito įstatymu ir kitais teisės aktais, reglamentuojančiais auditą bei auditorių darbą.</w:t>
      </w:r>
    </w:p>
    <w:p w14:paraId="34FFDF1F"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sz w:val="24"/>
          <w:szCs w:val="24"/>
          <w:lang w:val="lt-LT"/>
        </w:rPr>
        <w:t>Auditas apima laikotarpį nuo 2024 m. sausio mėn. 1 d. iki 2024 m. gruodžio mėn. 31 d.</w:t>
      </w:r>
    </w:p>
    <w:p w14:paraId="571F8818"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sz w:val="24"/>
          <w:szCs w:val="24"/>
          <w:lang w:val="lt-LT"/>
        </w:rPr>
        <w:t>Audito tikslas yra parengti nuomonę apie Viešosios įstaigos Respublikinės Vilniaus psichiatrijos ligoninės 2024 m. finansines ataskaitas.</w:t>
      </w:r>
    </w:p>
    <w:p w14:paraId="6FB4E6C5"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sz w:val="24"/>
          <w:szCs w:val="24"/>
          <w:lang w:val="lt-LT"/>
        </w:rPr>
        <w:t>Vykdytojas, atlikdamas auditą, naudoja savo parengtą metodiką (patikros lapus, kitus auditoriaus nuomone reikalingus dokumentus, reikalingus Audito rezultatams pagrįsti).</w:t>
      </w:r>
    </w:p>
    <w:p w14:paraId="0A05FC8B"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rFonts w:eastAsia="Calibri"/>
          <w:sz w:val="24"/>
          <w:szCs w:val="24"/>
          <w:lang w:val="lt-LT"/>
        </w:rPr>
        <w:t>Auditoriaus išvada ir audito ataskaita turi būti pateikta Užsakovui iki 2025 m. kovo 3 d., tačiau ne vėliau nei iki Lietuvos Respublikos sveikatos apsaugos ministerijos nurodyto termino.</w:t>
      </w:r>
    </w:p>
    <w:p w14:paraId="22B62668" w14:textId="77777777" w:rsidR="00D84D51" w:rsidRPr="0085757C" w:rsidRDefault="00D84D51" w:rsidP="00D84D51">
      <w:pPr>
        <w:pStyle w:val="ListParagraph"/>
        <w:numPr>
          <w:ilvl w:val="0"/>
          <w:numId w:val="8"/>
        </w:numPr>
        <w:tabs>
          <w:tab w:val="decimal" w:pos="9638"/>
        </w:tabs>
        <w:spacing w:before="120" w:after="120"/>
        <w:contextualSpacing w:val="0"/>
        <w:jc w:val="both"/>
        <w:rPr>
          <w:sz w:val="24"/>
          <w:szCs w:val="24"/>
          <w:lang w:val="lt-LT"/>
        </w:rPr>
      </w:pPr>
      <w:r w:rsidRPr="0085757C">
        <w:rPr>
          <w:rFonts w:eastAsia="Calibri"/>
          <w:sz w:val="24"/>
          <w:szCs w:val="24"/>
          <w:lang w:val="lt-LT"/>
        </w:rPr>
        <w:t>Esant netikslumams, auditoriaus išvada ir audito ataskaita, Lietuvos Respublikos sveikatos apsaugos ministerijai ir/ar Užsakovui pareikalavus, turi būti tikslinama Vykdytojo sąskaita.</w:t>
      </w:r>
    </w:p>
    <w:p w14:paraId="5182B0F3" w14:textId="77777777" w:rsidR="00EC16B2" w:rsidRPr="00E3143B" w:rsidRDefault="00EC16B2" w:rsidP="00EC16B2">
      <w:pPr>
        <w:tabs>
          <w:tab w:val="decimal" w:pos="9638"/>
        </w:tabs>
        <w:jc w:val="center"/>
        <w:rPr>
          <w:sz w:val="24"/>
          <w:szCs w:val="24"/>
          <w:lang w:val="lt-LT"/>
        </w:rPr>
      </w:pPr>
    </w:p>
    <w:sectPr w:rsidR="00EC16B2" w:rsidRPr="00E3143B" w:rsidSect="00B10E49">
      <w:footerReference w:type="default" r:id="rId7"/>
      <w:pgSz w:w="12240" w:h="15840" w:code="1"/>
      <w:pgMar w:top="993" w:right="900" w:bottom="1418" w:left="1418"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C94A" w14:textId="77777777" w:rsidR="00F6183E" w:rsidRDefault="00F6183E" w:rsidP="00EF6EF9">
      <w:r>
        <w:separator/>
      </w:r>
    </w:p>
  </w:endnote>
  <w:endnote w:type="continuationSeparator" w:id="0">
    <w:p w14:paraId="244DC8FB" w14:textId="77777777" w:rsidR="00F6183E" w:rsidRDefault="00F6183E" w:rsidP="00EF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5479491"/>
      <w:docPartObj>
        <w:docPartGallery w:val="Page Numbers (Bottom of Page)"/>
        <w:docPartUnique/>
      </w:docPartObj>
    </w:sdtPr>
    <w:sdtEndPr>
      <w:rPr>
        <w:noProof/>
      </w:rPr>
    </w:sdtEndPr>
    <w:sdtContent>
      <w:p w14:paraId="4EF637BB" w14:textId="77777777" w:rsidR="00FB7EA7" w:rsidRDefault="003A74AA">
        <w:pPr>
          <w:pStyle w:val="Footer"/>
          <w:jc w:val="center"/>
        </w:pPr>
        <w:r>
          <w:fldChar w:fldCharType="begin"/>
        </w:r>
        <w:r>
          <w:instrText xml:space="preserve"> PAGE   \* MERGEFORMAT </w:instrText>
        </w:r>
        <w:r>
          <w:fldChar w:fldCharType="separate"/>
        </w:r>
        <w:r w:rsidR="00DC4458">
          <w:rPr>
            <w:noProof/>
          </w:rPr>
          <w:t>2</w:t>
        </w:r>
        <w:r>
          <w:rPr>
            <w:noProof/>
          </w:rPr>
          <w:fldChar w:fldCharType="end"/>
        </w:r>
      </w:p>
    </w:sdtContent>
  </w:sdt>
  <w:p w14:paraId="56C4EE8D" w14:textId="77777777" w:rsidR="00FB7EA7" w:rsidRDefault="00FB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CFB8F" w14:textId="77777777" w:rsidR="00F6183E" w:rsidRDefault="00F6183E" w:rsidP="00EF6EF9">
      <w:r>
        <w:separator/>
      </w:r>
    </w:p>
  </w:footnote>
  <w:footnote w:type="continuationSeparator" w:id="0">
    <w:p w14:paraId="25CC97C6" w14:textId="77777777" w:rsidR="00F6183E" w:rsidRDefault="00F6183E" w:rsidP="00EF6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80E81"/>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071BE9"/>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2176B7"/>
    <w:multiLevelType w:val="multilevel"/>
    <w:tmpl w:val="DE7E1F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AF491A"/>
    <w:multiLevelType w:val="multilevel"/>
    <w:tmpl w:val="60645858"/>
    <w:lvl w:ilvl="0">
      <w:start w:val="1"/>
      <w:numFmt w:val="decimal"/>
      <w:lvlText w:val="%1."/>
      <w:lvlJc w:val="left"/>
      <w:pPr>
        <w:tabs>
          <w:tab w:val="num" w:pos="532"/>
        </w:tabs>
        <w:ind w:left="532" w:hanging="390"/>
      </w:pPr>
      <w:rPr>
        <w:rFonts w:hint="default"/>
      </w:rPr>
    </w:lvl>
    <w:lvl w:ilvl="1">
      <w:start w:val="1"/>
      <w:numFmt w:val="decimal"/>
      <w:lvlText w:val="%1.%2."/>
      <w:lvlJc w:val="left"/>
      <w:pPr>
        <w:tabs>
          <w:tab w:val="num" w:pos="356"/>
        </w:tabs>
        <w:ind w:left="356" w:hanging="390"/>
      </w:pPr>
      <w:rPr>
        <w:rFonts w:ascii="Times New Roman" w:hAnsi="Times New Roman" w:cs="Times New Roman" w:hint="default"/>
        <w:i w:val="0"/>
        <w:sz w:val="22"/>
        <w:szCs w:val="22"/>
      </w:rPr>
    </w:lvl>
    <w:lvl w:ilvl="2">
      <w:start w:val="1"/>
      <w:numFmt w:val="decimal"/>
      <w:lvlText w:val="%1.%2.%3."/>
      <w:lvlJc w:val="left"/>
      <w:pPr>
        <w:tabs>
          <w:tab w:val="num" w:pos="1004"/>
        </w:tabs>
        <w:ind w:left="1004" w:hanging="720"/>
      </w:pPr>
      <w:rPr>
        <w:rFonts w:hint="default"/>
        <w:sz w:val="22"/>
        <w:szCs w:val="22"/>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4"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5440906"/>
    <w:multiLevelType w:val="hybridMultilevel"/>
    <w:tmpl w:val="EF2E6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AC6A01"/>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9F6B2C"/>
    <w:multiLevelType w:val="hybridMultilevel"/>
    <w:tmpl w:val="77F8D73C"/>
    <w:lvl w:ilvl="0" w:tplc="41328854">
      <w:start w:val="1"/>
      <w:numFmt w:val="decimal"/>
      <w:lvlText w:val="%1."/>
      <w:lvlJc w:val="left"/>
      <w:pPr>
        <w:tabs>
          <w:tab w:val="num" w:pos="416"/>
        </w:tabs>
        <w:ind w:left="416" w:hanging="45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8" w15:restartNumberingAfterBreak="0">
    <w:nsid w:val="78FF1A7A"/>
    <w:multiLevelType w:val="multilevel"/>
    <w:tmpl w:val="E37802CA"/>
    <w:lvl w:ilvl="0">
      <w:start w:val="1"/>
      <w:numFmt w:val="decimal"/>
      <w:lvlText w:val="%1."/>
      <w:lvlJc w:val="left"/>
      <w:pPr>
        <w:ind w:left="927" w:hanging="360"/>
      </w:pPr>
      <w:rPr>
        <w:b/>
      </w:r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22709016">
    <w:abstractNumId w:val="2"/>
  </w:num>
  <w:num w:numId="2" w16cid:durableId="1211501738">
    <w:abstractNumId w:val="1"/>
  </w:num>
  <w:num w:numId="3" w16cid:durableId="20251707">
    <w:abstractNumId w:val="4"/>
  </w:num>
  <w:num w:numId="4" w16cid:durableId="1443498528">
    <w:abstractNumId w:val="3"/>
  </w:num>
  <w:num w:numId="5" w16cid:durableId="2063555492">
    <w:abstractNumId w:val="7"/>
  </w:num>
  <w:num w:numId="6" w16cid:durableId="1440101520">
    <w:abstractNumId w:val="5"/>
  </w:num>
  <w:num w:numId="7" w16cid:durableId="837958443">
    <w:abstractNumId w:val="6"/>
  </w:num>
  <w:num w:numId="8" w16cid:durableId="513038201">
    <w:abstractNumId w:val="0"/>
  </w:num>
  <w:num w:numId="9" w16cid:durableId="69087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7"/>
    <w:rsid w:val="000041BE"/>
    <w:rsid w:val="00021F48"/>
    <w:rsid w:val="00051528"/>
    <w:rsid w:val="000522A9"/>
    <w:rsid w:val="000767AD"/>
    <w:rsid w:val="00084C26"/>
    <w:rsid w:val="0009249E"/>
    <w:rsid w:val="0009295B"/>
    <w:rsid w:val="000B6192"/>
    <w:rsid w:val="000C075E"/>
    <w:rsid w:val="000C3BD5"/>
    <w:rsid w:val="000D2170"/>
    <w:rsid w:val="000E4F39"/>
    <w:rsid w:val="001000B0"/>
    <w:rsid w:val="001033C2"/>
    <w:rsid w:val="00145544"/>
    <w:rsid w:val="001526C6"/>
    <w:rsid w:val="001757B8"/>
    <w:rsid w:val="00180257"/>
    <w:rsid w:val="00202A16"/>
    <w:rsid w:val="00217028"/>
    <w:rsid w:val="00237745"/>
    <w:rsid w:val="0027088C"/>
    <w:rsid w:val="00280EC4"/>
    <w:rsid w:val="002A1BA4"/>
    <w:rsid w:val="00311942"/>
    <w:rsid w:val="00314C3C"/>
    <w:rsid w:val="00330B05"/>
    <w:rsid w:val="00334563"/>
    <w:rsid w:val="00335D63"/>
    <w:rsid w:val="00365160"/>
    <w:rsid w:val="00390962"/>
    <w:rsid w:val="00391C37"/>
    <w:rsid w:val="00397DCE"/>
    <w:rsid w:val="003A74AA"/>
    <w:rsid w:val="00401C53"/>
    <w:rsid w:val="00416872"/>
    <w:rsid w:val="00441C67"/>
    <w:rsid w:val="00475CA4"/>
    <w:rsid w:val="00485C10"/>
    <w:rsid w:val="0048718B"/>
    <w:rsid w:val="00493770"/>
    <w:rsid w:val="004A5A20"/>
    <w:rsid w:val="004A6E23"/>
    <w:rsid w:val="004C11F5"/>
    <w:rsid w:val="004C1580"/>
    <w:rsid w:val="004D31D9"/>
    <w:rsid w:val="004D6684"/>
    <w:rsid w:val="004F0F47"/>
    <w:rsid w:val="004F6744"/>
    <w:rsid w:val="00515645"/>
    <w:rsid w:val="00521F36"/>
    <w:rsid w:val="00527660"/>
    <w:rsid w:val="00540E5C"/>
    <w:rsid w:val="00576375"/>
    <w:rsid w:val="00587D05"/>
    <w:rsid w:val="00591155"/>
    <w:rsid w:val="00591A01"/>
    <w:rsid w:val="00594952"/>
    <w:rsid w:val="005A4BE8"/>
    <w:rsid w:val="005B69E4"/>
    <w:rsid w:val="005C4D12"/>
    <w:rsid w:val="0061620A"/>
    <w:rsid w:val="00624568"/>
    <w:rsid w:val="00651BDC"/>
    <w:rsid w:val="00667C1E"/>
    <w:rsid w:val="00687B12"/>
    <w:rsid w:val="006967DA"/>
    <w:rsid w:val="006C194C"/>
    <w:rsid w:val="006C7AC2"/>
    <w:rsid w:val="00726D0E"/>
    <w:rsid w:val="00734F92"/>
    <w:rsid w:val="0074428D"/>
    <w:rsid w:val="00757E6A"/>
    <w:rsid w:val="00761CD7"/>
    <w:rsid w:val="00762B4B"/>
    <w:rsid w:val="00773ADA"/>
    <w:rsid w:val="00775253"/>
    <w:rsid w:val="0078141B"/>
    <w:rsid w:val="007961A4"/>
    <w:rsid w:val="0079779F"/>
    <w:rsid w:val="007B0BF5"/>
    <w:rsid w:val="007D1242"/>
    <w:rsid w:val="007E23D8"/>
    <w:rsid w:val="007F6E4F"/>
    <w:rsid w:val="008042B0"/>
    <w:rsid w:val="0081589B"/>
    <w:rsid w:val="00815CAF"/>
    <w:rsid w:val="00817A43"/>
    <w:rsid w:val="008530FB"/>
    <w:rsid w:val="0085757C"/>
    <w:rsid w:val="0086478D"/>
    <w:rsid w:val="00884120"/>
    <w:rsid w:val="00896138"/>
    <w:rsid w:val="008B6050"/>
    <w:rsid w:val="008E75BC"/>
    <w:rsid w:val="00963910"/>
    <w:rsid w:val="00974C28"/>
    <w:rsid w:val="009800CB"/>
    <w:rsid w:val="00985392"/>
    <w:rsid w:val="00994A01"/>
    <w:rsid w:val="009A5E4E"/>
    <w:rsid w:val="009F7B42"/>
    <w:rsid w:val="00A271B4"/>
    <w:rsid w:val="00A324E6"/>
    <w:rsid w:val="00A36BD7"/>
    <w:rsid w:val="00A437A6"/>
    <w:rsid w:val="00A7510B"/>
    <w:rsid w:val="00A91904"/>
    <w:rsid w:val="00AA380B"/>
    <w:rsid w:val="00AA5638"/>
    <w:rsid w:val="00AF29CF"/>
    <w:rsid w:val="00B10E49"/>
    <w:rsid w:val="00B26D53"/>
    <w:rsid w:val="00B30655"/>
    <w:rsid w:val="00B427A7"/>
    <w:rsid w:val="00B906AE"/>
    <w:rsid w:val="00B9416E"/>
    <w:rsid w:val="00B95EC2"/>
    <w:rsid w:val="00BB4B8D"/>
    <w:rsid w:val="00C046A9"/>
    <w:rsid w:val="00C3554A"/>
    <w:rsid w:val="00C36D67"/>
    <w:rsid w:val="00C55D9D"/>
    <w:rsid w:val="00C564CB"/>
    <w:rsid w:val="00C5781C"/>
    <w:rsid w:val="00C80836"/>
    <w:rsid w:val="00C86999"/>
    <w:rsid w:val="00C900C3"/>
    <w:rsid w:val="00C97650"/>
    <w:rsid w:val="00CD2E06"/>
    <w:rsid w:val="00CE38CB"/>
    <w:rsid w:val="00D21A4B"/>
    <w:rsid w:val="00D23E9B"/>
    <w:rsid w:val="00D24DAE"/>
    <w:rsid w:val="00D405F2"/>
    <w:rsid w:val="00D56F64"/>
    <w:rsid w:val="00D574F5"/>
    <w:rsid w:val="00D84D51"/>
    <w:rsid w:val="00DA1230"/>
    <w:rsid w:val="00DC4458"/>
    <w:rsid w:val="00DE1B03"/>
    <w:rsid w:val="00E13145"/>
    <w:rsid w:val="00E132AA"/>
    <w:rsid w:val="00E2703B"/>
    <w:rsid w:val="00E3143B"/>
    <w:rsid w:val="00E71905"/>
    <w:rsid w:val="00EA071E"/>
    <w:rsid w:val="00EB084F"/>
    <w:rsid w:val="00EC16B2"/>
    <w:rsid w:val="00EC590B"/>
    <w:rsid w:val="00ED2414"/>
    <w:rsid w:val="00ED5B8E"/>
    <w:rsid w:val="00EE0B3B"/>
    <w:rsid w:val="00EE66FF"/>
    <w:rsid w:val="00EF0197"/>
    <w:rsid w:val="00EF6EF9"/>
    <w:rsid w:val="00F21BBD"/>
    <w:rsid w:val="00F37950"/>
    <w:rsid w:val="00F400F3"/>
    <w:rsid w:val="00F564C8"/>
    <w:rsid w:val="00F6183E"/>
    <w:rsid w:val="00F61FF6"/>
    <w:rsid w:val="00F74087"/>
    <w:rsid w:val="00F819F5"/>
    <w:rsid w:val="00FB7EA7"/>
    <w:rsid w:val="00FF35F1"/>
    <w:rsid w:val="00FF6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ADC3"/>
  <w15:docId w15:val="{FD01269D-8F5E-486F-A225-08C073B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D7"/>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761CD7"/>
    <w:pPr>
      <w:keepNext/>
      <w:jc w:val="center"/>
      <w:outlineLvl w:val="1"/>
    </w:pPr>
    <w:rPr>
      <w:sz w:val="36"/>
    </w:rPr>
  </w:style>
  <w:style w:type="paragraph" w:styleId="Heading3">
    <w:name w:val="heading 3"/>
    <w:basedOn w:val="Normal"/>
    <w:next w:val="Normal"/>
    <w:link w:val="Heading3Char"/>
    <w:uiPriority w:val="9"/>
    <w:semiHidden/>
    <w:unhideWhenUsed/>
    <w:qFormat/>
    <w:rsid w:val="00EC16B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61CD7"/>
    <w:rPr>
      <w:rFonts w:ascii="Times New Roman" w:eastAsia="Times New Roman" w:hAnsi="Times New Roman" w:cs="Times New Roman"/>
      <w:sz w:val="36"/>
      <w:szCs w:val="20"/>
      <w:lang w:val="en-GB"/>
    </w:rPr>
  </w:style>
  <w:style w:type="character" w:styleId="Hyperlink">
    <w:name w:val="Hyperlink"/>
    <w:basedOn w:val="DefaultParagraphFont"/>
    <w:uiPriority w:val="99"/>
    <w:rsid w:val="00761CD7"/>
    <w:rPr>
      <w:color w:val="0000FF"/>
      <w:u w:val="single"/>
    </w:rPr>
  </w:style>
  <w:style w:type="paragraph" w:styleId="ListParagraph">
    <w:name w:val="List Paragraph"/>
    <w:basedOn w:val="Normal"/>
    <w:link w:val="ListParagraphChar"/>
    <w:uiPriority w:val="34"/>
    <w:qFormat/>
    <w:rsid w:val="00761CD7"/>
    <w:pPr>
      <w:ind w:left="720"/>
      <w:contextualSpacing/>
    </w:pPr>
  </w:style>
  <w:style w:type="table" w:styleId="TableGrid">
    <w:name w:val="Table Grid"/>
    <w:basedOn w:val="TableNormal"/>
    <w:uiPriority w:val="59"/>
    <w:rsid w:val="00761C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6744"/>
    <w:rPr>
      <w:color w:val="605E5C"/>
      <w:shd w:val="clear" w:color="auto" w:fill="E1DFDD"/>
    </w:rPr>
  </w:style>
  <w:style w:type="character" w:customStyle="1" w:styleId="Heading3Char">
    <w:name w:val="Heading 3 Char"/>
    <w:basedOn w:val="DefaultParagraphFont"/>
    <w:link w:val="Heading3"/>
    <w:uiPriority w:val="9"/>
    <w:semiHidden/>
    <w:rsid w:val="00EC16B2"/>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EF6EF9"/>
    <w:pPr>
      <w:tabs>
        <w:tab w:val="center" w:pos="4819"/>
        <w:tab w:val="right" w:pos="9638"/>
      </w:tabs>
    </w:pPr>
  </w:style>
  <w:style w:type="character" w:customStyle="1" w:styleId="HeaderChar">
    <w:name w:val="Header Char"/>
    <w:basedOn w:val="DefaultParagraphFont"/>
    <w:link w:val="Header"/>
    <w:uiPriority w:val="99"/>
    <w:rsid w:val="00EF6EF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F6EF9"/>
    <w:pPr>
      <w:tabs>
        <w:tab w:val="center" w:pos="4819"/>
        <w:tab w:val="right" w:pos="9638"/>
      </w:tabs>
    </w:pPr>
  </w:style>
  <w:style w:type="character" w:customStyle="1" w:styleId="FooterChar">
    <w:name w:val="Footer Char"/>
    <w:basedOn w:val="DefaultParagraphFont"/>
    <w:link w:val="Footer"/>
    <w:uiPriority w:val="99"/>
    <w:rsid w:val="00EF6EF9"/>
    <w:rPr>
      <w:rFonts w:ascii="Times New Roman" w:eastAsia="Times New Roman" w:hAnsi="Times New Roman" w:cs="Times New Roman"/>
      <w:sz w:val="20"/>
      <w:szCs w:val="20"/>
      <w:lang w:val="en-GB"/>
    </w:rPr>
  </w:style>
  <w:style w:type="paragraph" w:styleId="BodyText3">
    <w:name w:val="Body Text 3"/>
    <w:basedOn w:val="Normal"/>
    <w:link w:val="BodyText3Char"/>
    <w:rsid w:val="00687B12"/>
    <w:pPr>
      <w:tabs>
        <w:tab w:val="left" w:pos="1134"/>
      </w:tabs>
      <w:overflowPunct/>
      <w:autoSpaceDE/>
      <w:autoSpaceDN/>
      <w:adjustRightInd/>
    </w:pPr>
    <w:rPr>
      <w:rFonts w:ascii="Arial" w:hAnsi="Arial" w:cs="Arial"/>
      <w:lang w:val="lt-LT"/>
    </w:rPr>
  </w:style>
  <w:style w:type="character" w:customStyle="1" w:styleId="BodyText3Char">
    <w:name w:val="Body Text 3 Char"/>
    <w:basedOn w:val="DefaultParagraphFont"/>
    <w:link w:val="BodyText3"/>
    <w:rsid w:val="00687B12"/>
    <w:rPr>
      <w:rFonts w:ascii="Arial" w:eastAsia="Times New Roman" w:hAnsi="Arial" w:cs="Arial"/>
      <w:sz w:val="20"/>
      <w:szCs w:val="20"/>
    </w:rPr>
  </w:style>
  <w:style w:type="character" w:customStyle="1" w:styleId="ListParagraphChar">
    <w:name w:val="List Paragraph Char"/>
    <w:link w:val="ListParagraph"/>
    <w:uiPriority w:val="34"/>
    <w:locked/>
    <w:rsid w:val="00687B12"/>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09295B"/>
    <w:rPr>
      <w:color w:val="605E5C"/>
      <w:shd w:val="clear" w:color="auto" w:fill="E1DFDD"/>
    </w:rPr>
  </w:style>
  <w:style w:type="paragraph" w:styleId="BlockText">
    <w:name w:val="Block Text"/>
    <w:basedOn w:val="Normal"/>
    <w:rsid w:val="00AA5638"/>
    <w:pPr>
      <w:tabs>
        <w:tab w:val="left" w:pos="1242"/>
        <w:tab w:val="left" w:pos="8789"/>
      </w:tabs>
      <w:overflowPunct/>
      <w:autoSpaceDE/>
      <w:autoSpaceDN/>
      <w:adjustRightInd/>
      <w:ind w:left="-34" w:right="7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4601</Words>
  <Characters>26226</Characters>
  <Application>Microsoft Office Word</Application>
  <DocSecurity>0</DocSecurity>
  <Lines>218</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Gadišauskienė</dc:creator>
  <cp:lastModifiedBy>anzelita.pajaujiene</cp:lastModifiedBy>
  <cp:revision>5</cp:revision>
  <dcterms:created xsi:type="dcterms:W3CDTF">2024-12-11T05:08:00Z</dcterms:created>
  <dcterms:modified xsi:type="dcterms:W3CDTF">2024-12-11T05:09:00Z</dcterms:modified>
</cp:coreProperties>
</file>