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5D" w:rsidRDefault="0037001C">
      <w:pPr>
        <w:jc w:val="center"/>
        <w:rPr>
          <w:b/>
        </w:rPr>
      </w:pPr>
      <w:r>
        <w:rPr>
          <w:b/>
        </w:rPr>
        <w:t>SUSITARIMAS</w:t>
      </w:r>
    </w:p>
    <w:p w:rsidR="007E1A5D" w:rsidRDefault="0037001C">
      <w:pPr>
        <w:jc w:val="center"/>
        <w:rPr>
          <w:b/>
        </w:rPr>
      </w:pPr>
      <w:r>
        <w:rPr>
          <w:b/>
        </w:rPr>
        <w:t xml:space="preserve">DĖL  2023 M. LAPKRIČIO 21 D. SUTARTIES NR. U-771 PRATĘSIMO </w:t>
      </w:r>
    </w:p>
    <w:p w:rsidR="007E1A5D" w:rsidRDefault="007E1A5D">
      <w:pPr>
        <w:jc w:val="center"/>
      </w:pPr>
    </w:p>
    <w:p w:rsidR="007E1A5D" w:rsidRDefault="0037001C">
      <w:pPr>
        <w:jc w:val="center"/>
      </w:pPr>
      <w:r>
        <w:t xml:space="preserve">2024 m. lapkričio            d. Nr. U- </w:t>
      </w:r>
    </w:p>
    <w:p w:rsidR="007E1A5D" w:rsidRDefault="0037001C">
      <w:pPr>
        <w:jc w:val="center"/>
      </w:pPr>
      <w:r>
        <w:t>Vilnius</w:t>
      </w:r>
    </w:p>
    <w:p w:rsidR="007E1A5D" w:rsidRDefault="007E1A5D">
      <w:pPr>
        <w:jc w:val="center"/>
        <w:rPr>
          <w:b/>
        </w:rPr>
      </w:pPr>
    </w:p>
    <w:p w:rsidR="007E1A5D" w:rsidRDefault="0037001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E1A5D" w:rsidRPr="0048238D" w:rsidRDefault="0037001C">
      <w:pPr>
        <w:spacing w:line="276" w:lineRule="auto"/>
        <w:ind w:firstLine="491"/>
        <w:jc w:val="both"/>
      </w:pPr>
      <w:r>
        <w:t xml:space="preserve">Lietuvos kariuomenės Logistikos </w:t>
      </w:r>
      <w:bookmarkStart w:id="0" w:name="_GoBack"/>
      <w:r w:rsidRPr="0048238D">
        <w:t xml:space="preserve">valdybos Įgulų aptarnavimo tarnyba, juridinio asmens kodas 300066843, atstovaujama vado plk. ltn. Mindaugo </w:t>
      </w:r>
      <w:proofErr w:type="spellStart"/>
      <w:r w:rsidRPr="0048238D">
        <w:t>Juotkaus</w:t>
      </w:r>
      <w:proofErr w:type="spellEnd"/>
      <w:r w:rsidRPr="0048238D">
        <w:t xml:space="preserve">, veikiančio pagal Įgulų aptarnavimo tarnybos nuostatus, patvirtintus Krašto apsaugos ministro 2014 m. gegužės 30 d. įsakymu Nr. V-470, </w:t>
      </w:r>
      <w:r w:rsidRPr="0048238D">
        <w:rPr>
          <w:color w:val="000000"/>
        </w:rPr>
        <w:t>(toliau – Pirkėjas)</w:t>
      </w:r>
      <w:r w:rsidRPr="0048238D">
        <w:t xml:space="preserve"> ir UAB „</w:t>
      </w:r>
      <w:proofErr w:type="spellStart"/>
      <w:r w:rsidRPr="0048238D">
        <w:t>Sangaida</w:t>
      </w:r>
      <w:proofErr w:type="spellEnd"/>
      <w:r w:rsidRPr="0048238D">
        <w:t xml:space="preserve">“, juridinio asmens kodas 122762627, atstovaujama direktorės Aleksandros </w:t>
      </w:r>
      <w:proofErr w:type="spellStart"/>
      <w:r w:rsidRPr="0048238D">
        <w:t>Miller</w:t>
      </w:r>
      <w:proofErr w:type="spellEnd"/>
      <w:r w:rsidRPr="0048238D">
        <w:t>, veikiančios pagal įmonės įstatus (toliau – Pardavėjas), vadovaudamiesi 2023 m. lapkričio 21 d. sutarties Nr. U-771 (toliau – Sutartis) specialiosios dalies 10.2 papunkčiu, susitarė:</w:t>
      </w:r>
    </w:p>
    <w:p w:rsidR="007E1A5D" w:rsidRPr="0048238D" w:rsidRDefault="0037001C" w:rsidP="00086709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48238D">
        <w:t>Pratęsti Sutartį 12 (dvylikos) mėnesių laikotarpiui tomis pačiomis są</w:t>
      </w:r>
      <w:r w:rsidR="00B674FC" w:rsidRPr="0048238D">
        <w:t>lygomis nuo 2024 m. lapkričio 27 d. iki 2025 m. lapkričio 26</w:t>
      </w:r>
      <w:r w:rsidRPr="0048238D">
        <w:t xml:space="preserve"> d.  įskaitytinai; </w:t>
      </w:r>
    </w:p>
    <w:p w:rsidR="007E1A5D" w:rsidRPr="0048238D" w:rsidRDefault="0037001C" w:rsidP="00086709">
      <w:pPr>
        <w:pStyle w:val="ListParagraph"/>
        <w:numPr>
          <w:ilvl w:val="0"/>
          <w:numId w:val="2"/>
        </w:numPr>
        <w:jc w:val="both"/>
      </w:pPr>
      <w:r w:rsidRPr="0048238D">
        <w:t>Susitarimas įsigalioja nuo pasirašymo dienos ir yra neatsiejama Sutarties dalis;</w:t>
      </w:r>
    </w:p>
    <w:p w:rsidR="007E1A5D" w:rsidRPr="0048238D" w:rsidRDefault="0037001C" w:rsidP="00086709">
      <w:pPr>
        <w:pStyle w:val="ListParagraph"/>
        <w:numPr>
          <w:ilvl w:val="0"/>
          <w:numId w:val="2"/>
        </w:numPr>
        <w:jc w:val="both"/>
      </w:pPr>
      <w:r w:rsidRPr="0048238D">
        <w:t>Kitos Sutarties sąlygos lieka nepakeistos;</w:t>
      </w:r>
    </w:p>
    <w:p w:rsidR="007E1A5D" w:rsidRPr="0048238D" w:rsidRDefault="0037001C" w:rsidP="00086709">
      <w:pPr>
        <w:pStyle w:val="ListParagraph"/>
        <w:numPr>
          <w:ilvl w:val="0"/>
          <w:numId w:val="2"/>
        </w:numPr>
        <w:jc w:val="both"/>
      </w:pPr>
      <w:r w:rsidRPr="0048238D">
        <w:t>Popierinės formos Susitarimas sudaromas 2 egzemplioriais, turinčiais vienodą teisinę galią, po</w:t>
      </w:r>
    </w:p>
    <w:p w:rsidR="007E1A5D" w:rsidRPr="0048238D" w:rsidRDefault="0037001C">
      <w:pPr>
        <w:pStyle w:val="ListParagraph"/>
        <w:jc w:val="both"/>
      </w:pPr>
      <w:r w:rsidRPr="0048238D">
        <w:t>vieną egzempliorių kiekvienai Šaliai. Elektroninės formos Susitarimas, pasirašant jį kvalifikuotais elektroniniais parašais, sudaromas 1 egzemplioriumi.</w:t>
      </w:r>
    </w:p>
    <w:p w:rsidR="007E1A5D" w:rsidRPr="0048238D" w:rsidRDefault="0037001C" w:rsidP="00086709">
      <w:pPr>
        <w:pStyle w:val="ListParagraph"/>
        <w:numPr>
          <w:ilvl w:val="0"/>
          <w:numId w:val="2"/>
        </w:numPr>
        <w:jc w:val="both"/>
      </w:pPr>
      <w:r w:rsidRPr="0048238D">
        <w:t xml:space="preserve">Šalių parašai ir rekvizitai.  </w:t>
      </w:r>
    </w:p>
    <w:tbl>
      <w:tblPr>
        <w:tblStyle w:val="TableGrid"/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b/>
                <w:lang w:eastAsia="en-US"/>
              </w:rPr>
              <w:t>Pirkėjo rekvizitai: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b/>
                <w:lang w:eastAsia="en-US"/>
              </w:rPr>
              <w:t>Pardavėjo rekvizitai: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LK LV Įgulų aptarnavimo tarnyba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t>UAB „</w:t>
            </w:r>
            <w:proofErr w:type="spellStart"/>
            <w:r w:rsidRPr="0048238D">
              <w:t>Sangaida</w:t>
            </w:r>
            <w:proofErr w:type="spellEnd"/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Mindaugo g. 26, LT-03215 Vilnius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Panerių g. 20A, Vilnius, LT-03209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Filialo kodas 300066843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Įmonės kodas 122762627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Tel. +370 5 278 53 43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PVM mokėtojo kodas LT227626219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Faksas +370 5 211 38 14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Tel. +370 52 161 223</w:t>
            </w:r>
            <w:r w:rsidRPr="0048238D">
              <w:rPr>
                <w:rFonts w:eastAsia="Calibri"/>
                <w:lang w:eastAsia="en-US"/>
              </w:rPr>
              <w:tab/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b/>
                <w:lang w:eastAsia="en-US"/>
              </w:rPr>
              <w:t>Mokėtojo rekvizitai:</w:t>
            </w:r>
            <w:r w:rsidRPr="0048238D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El. paštas  info@sangaida.lt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rFonts w:eastAsia="Calibri"/>
                <w:lang w:eastAsia="en-US"/>
              </w:rPr>
              <w:t>Lietuvos kariuomenė</w:t>
            </w:r>
            <w:r w:rsidRPr="0048238D">
              <w:rPr>
                <w:rFonts w:eastAsia="Calibri"/>
                <w:lang w:eastAsia="en-US"/>
              </w:rPr>
              <w:tab/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proofErr w:type="spellStart"/>
            <w:r w:rsidRPr="0048238D">
              <w:rPr>
                <w:rFonts w:eastAsia="Calibri"/>
                <w:lang w:eastAsia="en-US"/>
              </w:rPr>
              <w:t>A.s</w:t>
            </w:r>
            <w:proofErr w:type="spellEnd"/>
            <w:r w:rsidRPr="0048238D">
              <w:rPr>
                <w:rFonts w:eastAsia="Calibri"/>
                <w:lang w:eastAsia="en-US"/>
              </w:rPr>
              <w:t>. LT817044060003086732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lang w:eastAsia="en-US"/>
              </w:rPr>
              <w:t xml:space="preserve">Kodas 188732677                                                                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  <w:rPr>
                <w:rFonts w:eastAsia="Calibri"/>
                <w:lang w:eastAsia="en-US"/>
              </w:rPr>
            </w:pPr>
            <w:r w:rsidRPr="0048238D">
              <w:rPr>
                <w:lang w:eastAsia="en-US"/>
              </w:rPr>
              <w:t xml:space="preserve">AB SEB bankas, banko kodas 70440                         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t>Šv. Ignoto g. 8, LT-01144 Vilnius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>
            <w:pPr>
              <w:jc w:val="both"/>
              <w:rPr>
                <w:lang w:eastAsia="en-US"/>
              </w:rPr>
            </w:pP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t>PVM mokėtojo kodas LT887326716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>
            <w:pPr>
              <w:jc w:val="both"/>
              <w:rPr>
                <w:lang w:eastAsia="en-US"/>
              </w:rPr>
            </w:pP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t>Lietuvos Respublikos finansų ministerija,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>
            <w:pPr>
              <w:jc w:val="both"/>
              <w:rPr>
                <w:lang w:eastAsia="en-US"/>
              </w:rPr>
            </w:pP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t>banko kodas 40 400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>
            <w:pPr>
              <w:jc w:val="both"/>
              <w:rPr>
                <w:lang w:eastAsia="en-US"/>
              </w:rPr>
            </w:pP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jc w:val="both"/>
            </w:pPr>
            <w:r w:rsidRPr="0048238D">
              <w:rPr>
                <w:lang w:eastAsia="en-US"/>
              </w:rPr>
              <w:t>A/s LT62 40400 63610 001175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>
            <w:pPr>
              <w:jc w:val="both"/>
              <w:rPr>
                <w:lang w:eastAsia="en-US"/>
              </w:rPr>
            </w:pPr>
          </w:p>
        </w:tc>
      </w:tr>
    </w:tbl>
    <w:p w:rsidR="007E1A5D" w:rsidRPr="0048238D" w:rsidRDefault="007E1A5D">
      <w:pPr>
        <w:rPr>
          <w:lang w:eastAsia="en-US"/>
        </w:rPr>
      </w:pPr>
    </w:p>
    <w:p w:rsidR="007E1A5D" w:rsidRPr="0048238D" w:rsidRDefault="007E1A5D">
      <w:pPr>
        <w:rPr>
          <w:lang w:eastAsia="en-US"/>
        </w:rPr>
      </w:pPr>
    </w:p>
    <w:p w:rsidR="007E1A5D" w:rsidRPr="0048238D" w:rsidRDefault="007E1A5D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8238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PIRKĖJAS</w:t>
            </w:r>
            <w:r w:rsidRPr="0048238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</w:p>
          <w:p w:rsidR="007E1A5D" w:rsidRPr="0048238D" w:rsidRDefault="007E1A5D"/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r w:rsidRPr="0048238D">
              <w:rPr>
                <w:b/>
              </w:rPr>
              <w:t>PARDAVĖJAS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238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Vadas 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r w:rsidRPr="0048238D">
              <w:t>Direktorė</w:t>
            </w:r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r w:rsidRPr="0048238D">
              <w:t>plk. ltn. Mindaugas Juotkus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r w:rsidRPr="0048238D">
              <w:t xml:space="preserve">Aleksandra </w:t>
            </w:r>
            <w:proofErr w:type="spellStart"/>
            <w:r w:rsidRPr="0048238D">
              <w:t>Miller</w:t>
            </w:r>
            <w:proofErr w:type="spellEnd"/>
          </w:p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/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7E1A5D"/>
        </w:tc>
      </w:tr>
      <w:tr w:rsidR="007E1A5D" w:rsidRPr="0048238D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r w:rsidRPr="0048238D">
              <w:t>A.V.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7E1A5D" w:rsidRPr="0048238D" w:rsidRDefault="0037001C">
            <w:r w:rsidRPr="0048238D">
              <w:t>A.V.</w:t>
            </w:r>
          </w:p>
        </w:tc>
      </w:tr>
      <w:bookmarkEnd w:id="0"/>
    </w:tbl>
    <w:p w:rsidR="007E1A5D" w:rsidRDefault="007E1A5D"/>
    <w:sectPr w:rsidR="007E1A5D">
      <w:pgSz w:w="11906" w:h="16838"/>
      <w:pgMar w:top="993" w:right="567" w:bottom="993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LT"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EF7"/>
    <w:multiLevelType w:val="multilevel"/>
    <w:tmpl w:val="CE949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4665A"/>
    <w:multiLevelType w:val="multilevel"/>
    <w:tmpl w:val="C7EAF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420F64"/>
    <w:multiLevelType w:val="multilevel"/>
    <w:tmpl w:val="38B01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5D"/>
    <w:rsid w:val="00086709"/>
    <w:rsid w:val="0037001C"/>
    <w:rsid w:val="0048238D"/>
    <w:rsid w:val="007E1A5D"/>
    <w:rsid w:val="00B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4F59"/>
  <w15:docId w15:val="{FA591018-5E56-4959-8DD5-52F394A8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7F523B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F52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52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7F52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qFormat/>
    <w:locked/>
    <w:rsid w:val="00EB04AE"/>
    <w:rPr>
      <w:i/>
      <w:color w:val="000000"/>
      <w:lang w:val="en-US" w:eastAsia="en-US" w:bidi="ar-SA"/>
    </w:rPr>
  </w:style>
  <w:style w:type="character" w:styleId="PageNumber">
    <w:name w:val="page number"/>
    <w:basedOn w:val="DefaultParagraphFont"/>
    <w:rsid w:val="00EB04AE"/>
  </w:style>
  <w:style w:type="character" w:styleId="Hyperlink">
    <w:name w:val="Hyperlink"/>
    <w:uiPriority w:val="99"/>
    <w:rsid w:val="003C3415"/>
    <w:rPr>
      <w:color w:val="0000FF"/>
      <w:u w:val="single"/>
    </w:rPr>
  </w:style>
  <w:style w:type="character" w:customStyle="1" w:styleId="Vilmaraslanaite">
    <w:name w:val="Vilma.raslanaite"/>
    <w:semiHidden/>
    <w:qFormat/>
    <w:rsid w:val="008E64FC"/>
    <w:rPr>
      <w:rFonts w:ascii="Arial" w:hAnsi="Arial" w:cs="Arial"/>
      <w:b w:val="0"/>
      <w:bCs w:val="0"/>
      <w:i w:val="0"/>
      <w:iCs w:val="0"/>
      <w:strike w:val="0"/>
      <w:dstrike w:val="0"/>
      <w:color w:val="0000FF"/>
      <w:sz w:val="20"/>
      <w:szCs w:val="20"/>
      <w:u w:val="none"/>
    </w:rPr>
  </w:style>
  <w:style w:type="character" w:styleId="CommentReference">
    <w:name w:val="annotation reference"/>
    <w:qFormat/>
    <w:rsid w:val="00201C02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201C02"/>
    <w:rPr>
      <w:lang w:val="lt-LT" w:eastAsia="lt-LT"/>
    </w:rPr>
  </w:style>
  <w:style w:type="character" w:customStyle="1" w:styleId="CommentSubjectChar">
    <w:name w:val="Comment Subject Char"/>
    <w:link w:val="CommentSubject"/>
    <w:qFormat/>
    <w:rsid w:val="00201C02"/>
    <w:rPr>
      <w:b/>
      <w:bCs/>
      <w:lang w:val="lt-LT" w:eastAsia="lt-LT"/>
    </w:rPr>
  </w:style>
  <w:style w:type="character" w:customStyle="1" w:styleId="ListParagraphChar">
    <w:name w:val="List Paragraph Char"/>
    <w:link w:val="ListParagraph"/>
    <w:uiPriority w:val="34"/>
    <w:qFormat/>
    <w:rsid w:val="008256FA"/>
    <w:rPr>
      <w:rFonts w:eastAsia="Calibri"/>
      <w:sz w:val="24"/>
      <w:szCs w:val="24"/>
      <w:lang w:val="lt-LT"/>
    </w:rPr>
  </w:style>
  <w:style w:type="character" w:customStyle="1" w:styleId="FootnoteTextChar">
    <w:name w:val="Footnote Text Char"/>
    <w:link w:val="FootnoteText"/>
    <w:qFormat/>
    <w:rsid w:val="001561EC"/>
    <w:rPr>
      <w:rFonts w:eastAsia="Calibri"/>
      <w:lang w:eastAsia="en-US"/>
    </w:rPr>
  </w:style>
  <w:style w:type="character" w:customStyle="1" w:styleId="FootnoteCharacters">
    <w:name w:val="Footnote Characters"/>
    <w:qFormat/>
    <w:rsid w:val="001561E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ing1Char">
    <w:name w:val="Heading 1 Char"/>
    <w:link w:val="Heading1"/>
    <w:qFormat/>
    <w:rsid w:val="007F523B"/>
    <w:rPr>
      <w:b/>
      <w:bCs/>
      <w:sz w:val="24"/>
      <w:szCs w:val="24"/>
      <w:lang w:val="lt-LT"/>
    </w:rPr>
  </w:style>
  <w:style w:type="character" w:customStyle="1" w:styleId="Heading3Char">
    <w:name w:val="Heading 3 Char"/>
    <w:link w:val="Heading3"/>
    <w:qFormat/>
    <w:rsid w:val="007F523B"/>
    <w:rPr>
      <w:rFonts w:ascii="Arial" w:hAnsi="Arial" w:cs="Arial"/>
      <w:b/>
      <w:bCs/>
      <w:sz w:val="26"/>
      <w:szCs w:val="26"/>
      <w:lang w:val="lt-LT"/>
    </w:rPr>
  </w:style>
  <w:style w:type="character" w:customStyle="1" w:styleId="Heading4Char">
    <w:name w:val="Heading 4 Char"/>
    <w:link w:val="Heading4"/>
    <w:semiHidden/>
    <w:qFormat/>
    <w:rsid w:val="007F523B"/>
    <w:rPr>
      <w:rFonts w:ascii="Calibri" w:hAnsi="Calibri"/>
      <w:b/>
      <w:bCs/>
      <w:sz w:val="28"/>
      <w:szCs w:val="28"/>
      <w:lang w:val="lt-LT" w:eastAsia="x-none"/>
    </w:rPr>
  </w:style>
  <w:style w:type="character" w:customStyle="1" w:styleId="Heading5Char">
    <w:name w:val="Heading 5 Char"/>
    <w:link w:val="Heading5"/>
    <w:qFormat/>
    <w:rsid w:val="007F523B"/>
    <w:rPr>
      <w:rFonts w:ascii="Calibri" w:hAnsi="Calibri"/>
      <w:b/>
      <w:bCs/>
      <w:i/>
      <w:iCs/>
      <w:sz w:val="26"/>
      <w:szCs w:val="26"/>
      <w:lang w:val="lt-LT" w:eastAsia="x-none"/>
    </w:rPr>
  </w:style>
  <w:style w:type="character" w:customStyle="1" w:styleId="TitleChar">
    <w:name w:val="Title Char"/>
    <w:link w:val="Title"/>
    <w:qFormat/>
    <w:rsid w:val="007F523B"/>
    <w:rPr>
      <w:b/>
      <w:bCs/>
      <w:sz w:val="24"/>
      <w:szCs w:val="24"/>
      <w:lang w:val="lt-LT"/>
    </w:rPr>
  </w:style>
  <w:style w:type="character" w:styleId="Emphasis">
    <w:name w:val="Emphasis"/>
    <w:uiPriority w:val="20"/>
    <w:qFormat/>
    <w:rsid w:val="007F523B"/>
    <w:rPr>
      <w:b/>
      <w:bCs/>
      <w:i w:val="0"/>
      <w:iCs w:val="0"/>
    </w:rPr>
  </w:style>
  <w:style w:type="character" w:customStyle="1" w:styleId="HeaderChar">
    <w:name w:val="Header Char"/>
    <w:link w:val="Header"/>
    <w:qFormat/>
    <w:rsid w:val="007F523B"/>
    <w:rPr>
      <w:sz w:val="24"/>
      <w:szCs w:val="24"/>
      <w:lang w:val="lt-LT" w:eastAsia="lt-LT"/>
    </w:rPr>
  </w:style>
  <w:style w:type="character" w:customStyle="1" w:styleId="FooterChar">
    <w:name w:val="Footer Char"/>
    <w:link w:val="Footer"/>
    <w:qFormat/>
    <w:rsid w:val="007F523B"/>
    <w:rPr>
      <w:sz w:val="24"/>
      <w:szCs w:val="24"/>
      <w:lang w:val="lt-LT" w:eastAsia="lt-LT"/>
    </w:rPr>
  </w:style>
  <w:style w:type="character" w:styleId="Strong">
    <w:name w:val="Strong"/>
    <w:uiPriority w:val="22"/>
    <w:qFormat/>
    <w:rsid w:val="007F523B"/>
    <w:rPr>
      <w:b/>
      <w:bCs/>
    </w:rPr>
  </w:style>
  <w:style w:type="character" w:customStyle="1" w:styleId="apple-converted-space">
    <w:name w:val="apple-converted-space"/>
    <w:qFormat/>
    <w:rsid w:val="007F523B"/>
  </w:style>
  <w:style w:type="character" w:customStyle="1" w:styleId="specifications">
    <w:name w:val="specifications"/>
    <w:qFormat/>
    <w:rsid w:val="007F523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B04A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BodyTextIndent2Char"/>
    <w:qFormat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EB04AE"/>
    <w:pPr>
      <w:tabs>
        <w:tab w:val="center" w:pos="4819"/>
        <w:tab w:val="right" w:pos="9638"/>
      </w:tabs>
    </w:pPr>
  </w:style>
  <w:style w:type="paragraph" w:customStyle="1" w:styleId="BodyText1">
    <w:name w:val="Body Text1"/>
    <w:qFormat/>
    <w:rsid w:val="004B4FFE"/>
    <w:pPr>
      <w:ind w:firstLine="312"/>
      <w:jc w:val="both"/>
    </w:pPr>
    <w:rPr>
      <w:rFonts w:ascii="TimesLT" w:eastAsia="Arial" w:hAnsi="TimesLT"/>
      <w:lang w:val="en-GB" w:eastAsia="ar-SA"/>
    </w:rPr>
  </w:style>
  <w:style w:type="paragraph" w:styleId="Footer">
    <w:name w:val="footer"/>
    <w:basedOn w:val="Normal"/>
    <w:link w:val="FooterChar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qFormat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qFormat/>
    <w:rsid w:val="001D7E6A"/>
    <w:pPr>
      <w:spacing w:beforeAutospacing="1" w:afterAutospacing="1"/>
    </w:pPr>
    <w:rPr>
      <w:lang w:val="en-US" w:eastAsia="en-US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01C0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x-none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/>
    </w:rPr>
  </w:style>
  <w:style w:type="paragraph" w:styleId="Revision">
    <w:name w:val="Revision"/>
    <w:uiPriority w:val="99"/>
    <w:semiHidden/>
    <w:qFormat/>
    <w:rsid w:val="00627867"/>
    <w:rPr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1561EC"/>
    <w:rPr>
      <w:rFonts w:eastAsia="Calibri"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7F523B"/>
    <w:pPr>
      <w:jc w:val="center"/>
    </w:pPr>
    <w:rPr>
      <w:b/>
      <w:bCs/>
      <w:lang w:eastAsia="en-US"/>
    </w:rPr>
  </w:style>
  <w:style w:type="paragraph" w:customStyle="1" w:styleId="Default">
    <w:name w:val="Default"/>
    <w:uiPriority w:val="99"/>
    <w:qFormat/>
    <w:rsid w:val="007F523B"/>
    <w:rPr>
      <w:rFonts w:eastAsia="Calibri"/>
      <w:color w:val="000000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qFormat/>
    <w:rsid w:val="007F523B"/>
    <w:pPr>
      <w:spacing w:beforeAutospacing="1" w:afterAutospacing="1"/>
    </w:pPr>
    <w:rPr>
      <w:lang w:val="en-US" w:eastAsia="en-US"/>
    </w:r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4EC1-03DD-4141-954A-52740CE7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KAM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agne.ziedelyte</dc:creator>
  <dc:description/>
  <cp:lastModifiedBy>Sonata Buitkiene</cp:lastModifiedBy>
  <cp:revision>12</cp:revision>
  <cp:lastPrinted>2013-04-29T10:59:00Z</cp:lastPrinted>
  <dcterms:created xsi:type="dcterms:W3CDTF">2024-11-15T12:02:00Z</dcterms:created>
  <dcterms:modified xsi:type="dcterms:W3CDTF">2024-11-15T13:13:00Z</dcterms:modified>
  <dc:language>lt-LT</dc:language>
</cp:coreProperties>
</file>