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789BC" w14:textId="77777777" w:rsidR="008A28DF" w:rsidRDefault="008A28DF" w:rsidP="008A28DF">
      <w:pPr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>SUSITARIMAS</w:t>
      </w:r>
    </w:p>
    <w:p w14:paraId="5E8BDFF7" w14:textId="5DCDFC40" w:rsidR="008A28DF" w:rsidRDefault="008A28DF" w:rsidP="18222B2A">
      <w:pPr>
        <w:suppressAutoHyphens/>
        <w:spacing w:line="240" w:lineRule="auto"/>
        <w:ind w:firstLine="0"/>
        <w:jc w:val="center"/>
        <w:rPr>
          <w:b/>
          <w:bCs/>
        </w:rPr>
      </w:pPr>
      <w:r w:rsidRPr="18222B2A">
        <w:rPr>
          <w:b/>
          <w:bCs/>
        </w:rPr>
        <w:t xml:space="preserve">DĖL </w:t>
      </w:r>
      <w:bookmarkStart w:id="0" w:name="_Hlk56676917"/>
      <w:r w:rsidRPr="18222B2A">
        <w:rPr>
          <w:b/>
          <w:bCs/>
        </w:rPr>
        <w:t>202</w:t>
      </w:r>
      <w:r w:rsidR="0028388E" w:rsidRPr="18222B2A">
        <w:rPr>
          <w:b/>
          <w:bCs/>
        </w:rPr>
        <w:t>3</w:t>
      </w:r>
      <w:r w:rsidRPr="18222B2A">
        <w:rPr>
          <w:b/>
          <w:bCs/>
        </w:rPr>
        <w:t xml:space="preserve"> M. </w:t>
      </w:r>
      <w:r w:rsidR="005B6BB3">
        <w:rPr>
          <w:b/>
          <w:bCs/>
        </w:rPr>
        <w:t>GRUODŽIO</w:t>
      </w:r>
      <w:r w:rsidR="0028388E" w:rsidRPr="18222B2A">
        <w:rPr>
          <w:b/>
          <w:bCs/>
        </w:rPr>
        <w:t xml:space="preserve"> 27</w:t>
      </w:r>
      <w:r w:rsidRPr="18222B2A">
        <w:rPr>
          <w:b/>
          <w:bCs/>
        </w:rPr>
        <w:t xml:space="preserve"> D. </w:t>
      </w:r>
      <w:r w:rsidR="00AD3A58">
        <w:rPr>
          <w:b/>
          <w:bCs/>
        </w:rPr>
        <w:t>,,BOLT</w:t>
      </w:r>
      <w:r w:rsidR="00A83EBE">
        <w:rPr>
          <w:b/>
          <w:bCs/>
        </w:rPr>
        <w:t xml:space="preserve"> BUSINESS“ SPECIALIŲJŲ SĄLYGŲ </w:t>
      </w:r>
      <w:r w:rsidR="00272324" w:rsidRPr="18222B2A">
        <w:rPr>
          <w:b/>
          <w:bCs/>
        </w:rPr>
        <w:t xml:space="preserve">SUTARTIES </w:t>
      </w:r>
      <w:r w:rsidRPr="18222B2A">
        <w:rPr>
          <w:b/>
          <w:bCs/>
        </w:rPr>
        <w:t>Nr. 6F-</w:t>
      </w:r>
      <w:r w:rsidR="0099017A">
        <w:rPr>
          <w:b/>
          <w:bCs/>
          <w:lang w:val="en-US"/>
        </w:rPr>
        <w:t>143</w:t>
      </w:r>
      <w:r w:rsidRPr="18222B2A">
        <w:rPr>
          <w:b/>
          <w:bCs/>
        </w:rPr>
        <w:t>(</w:t>
      </w:r>
      <w:r w:rsidR="0099017A" w:rsidRPr="18222B2A">
        <w:rPr>
          <w:b/>
          <w:bCs/>
        </w:rPr>
        <w:t>202</w:t>
      </w:r>
      <w:r w:rsidR="0099017A">
        <w:rPr>
          <w:b/>
          <w:bCs/>
        </w:rPr>
        <w:t>3</w:t>
      </w:r>
      <w:r w:rsidRPr="18222B2A">
        <w:rPr>
          <w:b/>
          <w:bCs/>
        </w:rPr>
        <w:t>)</w:t>
      </w:r>
    </w:p>
    <w:bookmarkEnd w:id="0"/>
    <w:p w14:paraId="371BEB6F" w14:textId="77777777" w:rsidR="008A28DF" w:rsidRDefault="008A28DF" w:rsidP="008A28DF">
      <w:pPr>
        <w:suppressAutoHyphens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PAKEITIMO </w:t>
      </w:r>
    </w:p>
    <w:p w14:paraId="4523DFF5" w14:textId="77777777" w:rsidR="008A28DF" w:rsidRPr="002F74C8" w:rsidRDefault="008A28DF" w:rsidP="008A28DF">
      <w:pPr>
        <w:suppressAutoHyphens/>
        <w:spacing w:line="276" w:lineRule="auto"/>
        <w:ind w:firstLine="567"/>
        <w:jc w:val="center"/>
        <w:rPr>
          <w:b/>
        </w:rPr>
      </w:pPr>
    </w:p>
    <w:p w14:paraId="0C53A3A8" w14:textId="00C2B559" w:rsidR="008A28DF" w:rsidRPr="002F74C8" w:rsidRDefault="008A28DF" w:rsidP="008A28DF">
      <w:pPr>
        <w:suppressAutoHyphens/>
        <w:spacing w:line="240" w:lineRule="auto"/>
        <w:ind w:firstLine="567"/>
        <w:jc w:val="center"/>
      </w:pPr>
      <w:r>
        <w:t>202</w:t>
      </w:r>
      <w:r w:rsidRPr="008D2A6E">
        <w:t>4</w:t>
      </w:r>
      <w:r w:rsidRPr="002F74C8">
        <w:t xml:space="preserve"> m</w:t>
      </w:r>
      <w:r w:rsidRPr="002F74C8">
        <w:rPr>
          <w:iCs/>
        </w:rPr>
        <w:t>.</w:t>
      </w:r>
      <w:r>
        <w:rPr>
          <w:iCs/>
        </w:rPr>
        <w:t xml:space="preserve"> </w:t>
      </w:r>
      <w:r w:rsidR="00272324">
        <w:rPr>
          <w:iCs/>
        </w:rPr>
        <w:t xml:space="preserve">    </w:t>
      </w:r>
      <w:r>
        <w:rPr>
          <w:iCs/>
        </w:rPr>
        <w:t xml:space="preserve">  </w:t>
      </w:r>
      <w:r w:rsidRPr="002F74C8">
        <w:rPr>
          <w:iCs/>
        </w:rPr>
        <w:t>d., Vilnius</w:t>
      </w:r>
    </w:p>
    <w:p w14:paraId="7FBA1BD9" w14:textId="77777777" w:rsidR="008A28DF" w:rsidRPr="002F74C8" w:rsidRDefault="008A28DF" w:rsidP="008A28DF">
      <w:pPr>
        <w:tabs>
          <w:tab w:val="left" w:pos="1134"/>
          <w:tab w:val="left" w:pos="1276"/>
        </w:tabs>
        <w:spacing w:line="240" w:lineRule="auto"/>
        <w:ind w:firstLine="851"/>
        <w:rPr>
          <w:bCs/>
        </w:rPr>
      </w:pPr>
    </w:p>
    <w:p w14:paraId="21CB6066" w14:textId="215B0788" w:rsidR="008A28DF" w:rsidRPr="00FF6BD2" w:rsidRDefault="00272324" w:rsidP="006678A5">
      <w:pPr>
        <w:spacing w:line="276" w:lineRule="auto"/>
        <w:ind w:firstLine="709"/>
      </w:pPr>
      <w:r w:rsidRPr="18222B2A">
        <w:rPr>
          <w:b/>
          <w:bCs/>
        </w:rPr>
        <w:t>Valstybės skaitmeninių sprendimų agentūra</w:t>
      </w:r>
      <w:r w:rsidR="008A28DF">
        <w:t>, juridinio asmens kodas 188772433 (toliau - Pirkėjas), kurio</w:t>
      </w:r>
      <w:r w:rsidR="0CF14A4D">
        <w:t>s</w:t>
      </w:r>
      <w:r w:rsidR="008A28DF">
        <w:t xml:space="preserve"> registracijos buveinės adresas Konstitucijos pr. 15-89, 09319, Vilnius, atstovaujama direktoriaus Tomo Misevičiaus, veikiančio pagal </w:t>
      </w:r>
      <w:r w:rsidR="00DC3EE1">
        <w:t>Valstybės skaitmeninių sprendimų agentūros nuostatus, patvirtintus Lietuvos Respublikos ekonomikos ir inovacijų ministro 2018 m. spalio 1 d. įsakymu Nr. 4-593 „Dėl Valstybės skaitmeninių sprendimų agentūros nuostatų patvirtinimo“</w:t>
      </w:r>
      <w:r w:rsidR="008A28DF" w:rsidRPr="18222B2A">
        <w:rPr>
          <w:lang w:eastAsia="en-US"/>
        </w:rPr>
        <w:t xml:space="preserve">, </w:t>
      </w:r>
      <w:r w:rsidR="008A28DF">
        <w:t xml:space="preserve"> </w:t>
      </w:r>
    </w:p>
    <w:p w14:paraId="123DF99B" w14:textId="77777777" w:rsidR="008A28DF" w:rsidRDefault="008A28DF" w:rsidP="006678A5">
      <w:pPr>
        <w:pStyle w:val="List"/>
        <w:spacing w:line="276" w:lineRule="auto"/>
        <w:ind w:left="0" w:firstLine="851"/>
        <w:jc w:val="both"/>
        <w:rPr>
          <w:rFonts w:ascii="Times New Roman" w:hAnsi="Times New Roman"/>
          <w:b/>
        </w:rPr>
      </w:pPr>
      <w:r w:rsidRPr="00BB705C">
        <w:rPr>
          <w:rFonts w:ascii="Times New Roman" w:hAnsi="Times New Roman"/>
          <w:bCs/>
        </w:rPr>
        <w:t>ir</w:t>
      </w:r>
      <w:r w:rsidRPr="00BB705C">
        <w:rPr>
          <w:rFonts w:ascii="Times New Roman" w:hAnsi="Times New Roman"/>
          <w:b/>
        </w:rPr>
        <w:t xml:space="preserve"> </w:t>
      </w:r>
    </w:p>
    <w:p w14:paraId="6E9D6CE6" w14:textId="589643EE" w:rsidR="008A28DF" w:rsidRPr="00166603" w:rsidRDefault="008A28DF" w:rsidP="006678A5">
      <w:pPr>
        <w:pStyle w:val="List"/>
        <w:spacing w:line="276" w:lineRule="auto"/>
        <w:ind w:left="0" w:firstLine="851"/>
        <w:jc w:val="both"/>
        <w:rPr>
          <w:rFonts w:ascii="Times New Roman" w:eastAsia="Times New Roman" w:hAnsi="Times New Roman"/>
        </w:rPr>
      </w:pPr>
      <w:r w:rsidRPr="00166603">
        <w:rPr>
          <w:rFonts w:ascii="Times New Roman" w:eastAsia="Times New Roman" w:hAnsi="Times New Roman"/>
          <w:b/>
          <w:bCs/>
        </w:rPr>
        <w:t>„</w:t>
      </w:r>
      <w:proofErr w:type="spellStart"/>
      <w:r w:rsidR="000F1CA5" w:rsidRPr="00166603">
        <w:rPr>
          <w:rFonts w:ascii="Times New Roman" w:hAnsi="Times New Roman"/>
          <w:b/>
        </w:rPr>
        <w:t>Bolt</w:t>
      </w:r>
      <w:proofErr w:type="spellEnd"/>
      <w:r w:rsidR="000F1CA5" w:rsidRPr="00166603">
        <w:rPr>
          <w:rFonts w:ascii="Times New Roman" w:hAnsi="Times New Roman"/>
          <w:b/>
        </w:rPr>
        <w:t xml:space="preserve"> </w:t>
      </w:r>
      <w:proofErr w:type="spellStart"/>
      <w:r w:rsidR="000F1CA5" w:rsidRPr="00166603">
        <w:rPr>
          <w:rFonts w:ascii="Times New Roman" w:hAnsi="Times New Roman"/>
          <w:b/>
        </w:rPr>
        <w:t>Operations</w:t>
      </w:r>
      <w:proofErr w:type="spellEnd"/>
      <w:r w:rsidR="000F1CA5" w:rsidRPr="00166603">
        <w:rPr>
          <w:rFonts w:ascii="Times New Roman" w:hAnsi="Times New Roman"/>
          <w:b/>
        </w:rPr>
        <w:t xml:space="preserve"> OÜ</w:t>
      </w:r>
      <w:r w:rsidRPr="00166603">
        <w:rPr>
          <w:rFonts w:ascii="Times New Roman" w:eastAsia="Times New Roman" w:hAnsi="Times New Roman"/>
          <w:b/>
          <w:bCs/>
        </w:rPr>
        <w:t>“</w:t>
      </w:r>
      <w:r w:rsidRPr="00166603">
        <w:rPr>
          <w:rFonts w:ascii="Times New Roman" w:eastAsia="Times New Roman" w:hAnsi="Times New Roman"/>
        </w:rPr>
        <w:t xml:space="preserve">, juridinio asmens kodas </w:t>
      </w:r>
      <w:r w:rsidR="007875D4" w:rsidRPr="00166603">
        <w:rPr>
          <w:rFonts w:ascii="Times New Roman" w:hAnsi="Times New Roman"/>
        </w:rPr>
        <w:t>14532901</w:t>
      </w:r>
      <w:r w:rsidR="007875D4" w:rsidRPr="00166603">
        <w:rPr>
          <w:rFonts w:ascii="Times New Roman" w:eastAsia="Times New Roman" w:hAnsi="Times New Roman"/>
        </w:rPr>
        <w:t xml:space="preserve"> </w:t>
      </w:r>
      <w:r w:rsidRPr="00166603">
        <w:rPr>
          <w:rFonts w:ascii="Times New Roman" w:eastAsia="Times New Roman" w:hAnsi="Times New Roman"/>
        </w:rPr>
        <w:t xml:space="preserve">(toliau - </w:t>
      </w:r>
      <w:proofErr w:type="spellStart"/>
      <w:r w:rsidR="00220F7E" w:rsidRPr="00166603">
        <w:rPr>
          <w:rFonts w:ascii="Times New Roman" w:eastAsia="Times New Roman" w:hAnsi="Times New Roman"/>
        </w:rPr>
        <w:t>Bolt</w:t>
      </w:r>
      <w:proofErr w:type="spellEnd"/>
      <w:r w:rsidRPr="00166603">
        <w:rPr>
          <w:rFonts w:ascii="Times New Roman" w:eastAsia="Times New Roman" w:hAnsi="Times New Roman"/>
        </w:rPr>
        <w:t>), kurio</w:t>
      </w:r>
      <w:r w:rsidR="41B01DFE" w:rsidRPr="00166603">
        <w:rPr>
          <w:rFonts w:ascii="Times New Roman" w:eastAsia="Times New Roman" w:hAnsi="Times New Roman"/>
        </w:rPr>
        <w:t>s</w:t>
      </w:r>
      <w:r w:rsidRPr="00166603">
        <w:rPr>
          <w:rFonts w:ascii="Times New Roman" w:eastAsia="Times New Roman" w:hAnsi="Times New Roman"/>
        </w:rPr>
        <w:t xml:space="preserve"> registracijos buveinės adresas </w:t>
      </w:r>
      <w:r w:rsidR="000674F4" w:rsidRPr="00166603">
        <w:rPr>
          <w:rFonts w:ascii="Times New Roman" w:hAnsi="Times New Roman"/>
        </w:rPr>
        <w:t>Vana-Lõuna tn 15, Talinas 10134, Estija</w:t>
      </w:r>
      <w:r w:rsidRPr="00166603">
        <w:rPr>
          <w:rFonts w:ascii="Times New Roman" w:eastAsia="Times New Roman" w:hAnsi="Times New Roman"/>
        </w:rPr>
        <w:t xml:space="preserve">, atstovaujama </w:t>
      </w:r>
      <w:r w:rsidR="00F54AAE" w:rsidRPr="00166603">
        <w:rPr>
          <w:rFonts w:ascii="Times New Roman" w:eastAsia="Times New Roman" w:hAnsi="Times New Roman"/>
        </w:rPr>
        <w:t xml:space="preserve">valdybos nario </w:t>
      </w:r>
      <w:r w:rsidR="00E82697" w:rsidRPr="00166603">
        <w:rPr>
          <w:rFonts w:ascii="Times New Roman" w:eastAsia="Times New Roman" w:hAnsi="Times New Roman"/>
        </w:rPr>
        <w:t>Ahto Kink</w:t>
      </w:r>
      <w:r w:rsidR="00166603">
        <w:rPr>
          <w:rFonts w:ascii="Times New Roman" w:eastAsia="Times New Roman" w:hAnsi="Times New Roman"/>
        </w:rPr>
        <w:t>,</w:t>
      </w:r>
      <w:r w:rsidR="00E82697" w:rsidRPr="00166603">
        <w:rPr>
          <w:rFonts w:ascii="Times New Roman" w:eastAsia="Times New Roman" w:hAnsi="Times New Roman"/>
        </w:rPr>
        <w:t xml:space="preserve"> </w:t>
      </w:r>
    </w:p>
    <w:p w14:paraId="2867993C" w14:textId="71F8C8C3" w:rsidR="008A28DF" w:rsidRPr="00EB342E" w:rsidRDefault="008A28DF" w:rsidP="006678A5">
      <w:pPr>
        <w:autoSpaceDE w:val="0"/>
        <w:autoSpaceDN w:val="0"/>
        <w:adjustRightInd w:val="0"/>
        <w:spacing w:line="276" w:lineRule="auto"/>
        <w:ind w:firstLine="709"/>
        <w:rPr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toliau kartu vadinamos </w:t>
      </w:r>
      <w:r>
        <w:rPr>
          <w:rStyle w:val="normaltextrun"/>
          <w:b/>
          <w:bCs/>
          <w:color w:val="000000"/>
          <w:shd w:val="clear" w:color="auto" w:fill="FFFFFF"/>
        </w:rPr>
        <w:t>Šalimis</w:t>
      </w:r>
      <w:r>
        <w:rPr>
          <w:rStyle w:val="normaltextrun"/>
          <w:color w:val="000000"/>
          <w:shd w:val="clear" w:color="auto" w:fill="FFFFFF"/>
        </w:rPr>
        <w:t xml:space="preserve">, o kiekviena atskirai </w:t>
      </w:r>
      <w:r>
        <w:rPr>
          <w:rStyle w:val="normaltextrun"/>
          <w:b/>
          <w:bCs/>
          <w:color w:val="000000"/>
          <w:shd w:val="clear" w:color="auto" w:fill="FFFFFF"/>
        </w:rPr>
        <w:t>Šalimi</w:t>
      </w:r>
      <w:r>
        <w:rPr>
          <w:rStyle w:val="normaltextrun"/>
          <w:color w:val="000000"/>
          <w:shd w:val="clear" w:color="auto" w:fill="FFFFFF"/>
        </w:rPr>
        <w:t xml:space="preserve">, </w:t>
      </w:r>
      <w:r>
        <w:t xml:space="preserve">vadovaudamosi </w:t>
      </w:r>
      <w:r w:rsidRPr="18222B2A">
        <w:t>202</w:t>
      </w:r>
      <w:r w:rsidR="00112A45" w:rsidRPr="18222B2A">
        <w:rPr>
          <w:lang w:val="en-US"/>
        </w:rPr>
        <w:t xml:space="preserve">3 </w:t>
      </w:r>
      <w:r w:rsidRPr="18222B2A">
        <w:t xml:space="preserve">m. </w:t>
      </w:r>
      <w:r w:rsidR="0071792F">
        <w:t>gruodžio</w:t>
      </w:r>
      <w:r w:rsidR="0071792F" w:rsidRPr="18222B2A">
        <w:t xml:space="preserve"> </w:t>
      </w:r>
      <w:r w:rsidR="00112A45" w:rsidRPr="18222B2A">
        <w:t>27</w:t>
      </w:r>
      <w:r w:rsidRPr="18222B2A">
        <w:t xml:space="preserve"> d. </w:t>
      </w:r>
      <w:r w:rsidR="00406B96">
        <w:t xml:space="preserve">„Bolt Business“ </w:t>
      </w:r>
      <w:r w:rsidR="008069DC">
        <w:t xml:space="preserve">Specialiųjų sąlygų </w:t>
      </w:r>
      <w:r w:rsidR="00252A80" w:rsidRPr="00252A80">
        <w:t xml:space="preserve">paslaugų sutarties </w:t>
      </w:r>
      <w:r w:rsidR="00252A80">
        <w:t>N</w:t>
      </w:r>
      <w:r w:rsidR="00252A80" w:rsidRPr="00252A80">
        <w:t>r. 6</w:t>
      </w:r>
      <w:r w:rsidR="00252A80">
        <w:t>F</w:t>
      </w:r>
      <w:r w:rsidR="00252A80" w:rsidRPr="00252A80">
        <w:t>-</w:t>
      </w:r>
      <w:r w:rsidR="00D814C5">
        <w:rPr>
          <w:lang w:val="en-US"/>
        </w:rPr>
        <w:t>143</w:t>
      </w:r>
      <w:r w:rsidR="00252A80" w:rsidRPr="00252A80">
        <w:t>(</w:t>
      </w:r>
      <w:r w:rsidR="00D814C5" w:rsidRPr="00252A80">
        <w:t>202</w:t>
      </w:r>
      <w:r w:rsidR="00D814C5">
        <w:t>3</w:t>
      </w:r>
      <w:r w:rsidR="00252A80" w:rsidRPr="00252A80">
        <w:t xml:space="preserve">) </w:t>
      </w:r>
      <w:r w:rsidRPr="00192928">
        <w:t>(</w:t>
      </w:r>
      <w:r>
        <w:t xml:space="preserve">toliau - </w:t>
      </w:r>
      <w:r w:rsidRPr="00192928">
        <w:t>Sutartis</w:t>
      </w:r>
      <w:r>
        <w:t xml:space="preserve">) </w:t>
      </w:r>
      <w:r w:rsidR="00640517">
        <w:t>B</w:t>
      </w:r>
      <w:r w:rsidRPr="4E7CF685">
        <w:t xml:space="preserve">endrųjų sąlygų </w:t>
      </w:r>
      <w:r w:rsidR="00973707">
        <w:rPr>
          <w:lang w:val="en-US"/>
        </w:rPr>
        <w:t>1.3</w:t>
      </w:r>
      <w:r w:rsidRPr="4E7CF685">
        <w:t xml:space="preserve"> punktu</w:t>
      </w:r>
      <w:r w:rsidR="00D66D53">
        <w:t xml:space="preserve"> (</w:t>
      </w:r>
      <w:r w:rsidR="00CC7579" w:rsidRPr="00CC7579">
        <w:t>„Bolt Business“ bendrosios sąlygos ir nuostatos</w:t>
      </w:r>
      <w:r w:rsidR="00CC7579">
        <w:t xml:space="preserve"> viešai prieinamos adresu </w:t>
      </w:r>
      <w:r w:rsidR="00CF0902" w:rsidRPr="00CF0902">
        <w:t>https://bolt.eu/en-lt/legal/?category=boltBusiness</w:t>
      </w:r>
      <w:r w:rsidR="009440F6">
        <w:t>)</w:t>
      </w:r>
      <w:r w:rsidR="00640517">
        <w:t xml:space="preserve"> ir</w:t>
      </w:r>
      <w:r>
        <w:t xml:space="preserve"> </w:t>
      </w:r>
      <w:r w:rsidRPr="00192928">
        <w:t>Lietuvos Respublikos viešųjų pirkimų įstatymo 89 str. 2 d</w:t>
      </w:r>
      <w:r w:rsidRPr="4E7CF685">
        <w:t>alimi</w:t>
      </w:r>
      <w:r w:rsidRPr="00263D69">
        <w:t xml:space="preserve"> </w:t>
      </w:r>
      <w:r>
        <w:t>ir</w:t>
      </w:r>
      <w:r w:rsidRPr="4E7CF685">
        <w:t xml:space="preserve"> atsižvelgdamos į </w:t>
      </w:r>
      <w:r w:rsidR="00640517">
        <w:t>tai</w:t>
      </w:r>
      <w:r w:rsidR="007C3526">
        <w:t xml:space="preserve">, </w:t>
      </w:r>
      <w:r w:rsidR="005A44CB">
        <w:t xml:space="preserve">kad </w:t>
      </w:r>
      <w:r w:rsidR="007C3526">
        <w:t xml:space="preserve">ženkliai padaugėjus </w:t>
      </w:r>
      <w:r w:rsidR="00C82789">
        <w:t xml:space="preserve">Pirkėjo </w:t>
      </w:r>
      <w:r w:rsidR="003650D4">
        <w:t>darbuotojų skaičiui</w:t>
      </w:r>
      <w:r w:rsidR="007C3526">
        <w:t>,</w:t>
      </w:r>
      <w:r w:rsidR="003650D4">
        <w:t xml:space="preserve"> išaugo</w:t>
      </w:r>
      <w:r w:rsidR="007C3526">
        <w:t xml:space="preserve"> ir </w:t>
      </w:r>
      <w:r w:rsidR="00250346">
        <w:t xml:space="preserve"> teikiamų</w:t>
      </w:r>
      <w:r w:rsidR="009414BA">
        <w:t xml:space="preserve"> paslaugų </w:t>
      </w:r>
      <w:r w:rsidR="00250346">
        <w:t xml:space="preserve">poreikis, </w:t>
      </w:r>
    </w:p>
    <w:p w14:paraId="296E5902" w14:textId="44BAB3E2" w:rsidR="008A28DF" w:rsidRDefault="008A28DF" w:rsidP="006678A5">
      <w:pPr>
        <w:autoSpaceDE w:val="0"/>
        <w:autoSpaceDN w:val="0"/>
        <w:adjustRightInd w:val="0"/>
        <w:spacing w:line="276" w:lineRule="auto"/>
        <w:ind w:firstLine="284"/>
      </w:pPr>
      <w:r>
        <w:t xml:space="preserve">Šalys sudarė šį </w:t>
      </w:r>
      <w:r w:rsidR="6AC7D450">
        <w:t>S</w:t>
      </w:r>
      <w:r>
        <w:t>usitarimą, kuriuo susitaria, kad:</w:t>
      </w:r>
    </w:p>
    <w:p w14:paraId="09595CC6" w14:textId="6D1779ED" w:rsidR="008A28DF" w:rsidRPr="000767F7" w:rsidRDefault="00183F39" w:rsidP="006678A5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</w:pPr>
      <w:r>
        <w:rPr>
          <w:rStyle w:val="ui-provider"/>
          <w:rFonts w:eastAsiaTheme="majorEastAsia"/>
        </w:rPr>
        <w:t xml:space="preserve">Pirkėjas </w:t>
      </w:r>
      <w:r w:rsidR="00064D10">
        <w:rPr>
          <w:rStyle w:val="ui-provider"/>
          <w:rFonts w:eastAsiaTheme="majorEastAsia"/>
        </w:rPr>
        <w:t xml:space="preserve">gali pagal poreikį įsigyti Sutarties Specialiųjų sąlygų Bolt Business paslaugų, </w:t>
      </w:r>
      <w:r w:rsidR="0069383A">
        <w:rPr>
          <w:rStyle w:val="ui-provider"/>
          <w:rFonts w:eastAsiaTheme="majorEastAsia"/>
        </w:rPr>
        <w:t>neviršydam</w:t>
      </w:r>
      <w:r>
        <w:rPr>
          <w:rStyle w:val="ui-provider"/>
          <w:rFonts w:eastAsiaTheme="majorEastAsia"/>
        </w:rPr>
        <w:t>a</w:t>
      </w:r>
      <w:r w:rsidR="0069383A">
        <w:rPr>
          <w:rStyle w:val="ui-provider"/>
          <w:rFonts w:eastAsiaTheme="majorEastAsia"/>
        </w:rPr>
        <w:t xml:space="preserve">s </w:t>
      </w:r>
      <w:r w:rsidR="00064D10">
        <w:rPr>
          <w:rStyle w:val="ui-provider"/>
          <w:rFonts w:eastAsiaTheme="majorEastAsia"/>
        </w:rPr>
        <w:t xml:space="preserve">10 (dešimt) </w:t>
      </w:r>
      <w:r w:rsidR="007E31B8">
        <w:rPr>
          <w:rStyle w:val="ui-provider"/>
          <w:rFonts w:eastAsiaTheme="majorEastAsia"/>
        </w:rPr>
        <w:t xml:space="preserve">procentų </w:t>
      </w:r>
      <w:r w:rsidR="00064D10">
        <w:rPr>
          <w:rStyle w:val="ui-provider"/>
          <w:rFonts w:eastAsiaTheme="majorEastAsia"/>
        </w:rPr>
        <w:t xml:space="preserve">Sutarties Specialiųjų sąlygų 3.3 p. numatytos </w:t>
      </w:r>
      <w:r w:rsidR="00E67FD4">
        <w:rPr>
          <w:rStyle w:val="ui-provider"/>
          <w:rFonts w:eastAsiaTheme="majorEastAsia"/>
        </w:rPr>
        <w:t>S</w:t>
      </w:r>
      <w:r w:rsidR="00064D10">
        <w:rPr>
          <w:rStyle w:val="ui-provider"/>
          <w:rFonts w:eastAsiaTheme="majorEastAsia"/>
        </w:rPr>
        <w:t>utarties vertės</w:t>
      </w:r>
      <w:r w:rsidR="00C763B6">
        <w:rPr>
          <w:rStyle w:val="ui-provider"/>
          <w:rFonts w:eastAsiaTheme="majorEastAsia"/>
        </w:rPr>
        <w:t xml:space="preserve"> be PVM</w:t>
      </w:r>
      <w:r w:rsidR="00E90630">
        <w:rPr>
          <w:rStyle w:val="ui-provider"/>
          <w:rFonts w:eastAsiaTheme="majorEastAsia"/>
        </w:rPr>
        <w:t xml:space="preserve">, t. y. </w:t>
      </w:r>
      <w:r w:rsidR="002E6E1D" w:rsidRPr="002E6E1D">
        <w:rPr>
          <w:rStyle w:val="ui-provider"/>
          <w:rFonts w:eastAsiaTheme="majorEastAsia"/>
        </w:rPr>
        <w:t>330,5</w:t>
      </w:r>
      <w:r w:rsidR="002E6E1D">
        <w:rPr>
          <w:rStyle w:val="ui-provider"/>
          <w:rFonts w:eastAsiaTheme="majorEastAsia"/>
        </w:rPr>
        <w:t>8 Eur be PVM (</w:t>
      </w:r>
      <w:r w:rsidR="00E67FD4">
        <w:rPr>
          <w:rStyle w:val="ui-provider"/>
          <w:rFonts w:eastAsiaTheme="majorEastAsia"/>
        </w:rPr>
        <w:t xml:space="preserve">trys šimtai trisdešimt eurų, </w:t>
      </w:r>
      <w:r w:rsidR="008E4AE8">
        <w:rPr>
          <w:rStyle w:val="ui-provider"/>
          <w:rFonts w:eastAsiaTheme="majorEastAsia"/>
        </w:rPr>
        <w:t>58</w:t>
      </w:r>
      <w:r w:rsidR="00E67FD4">
        <w:rPr>
          <w:rStyle w:val="ui-provider"/>
          <w:rFonts w:eastAsiaTheme="majorEastAsia"/>
        </w:rPr>
        <w:t xml:space="preserve"> ct). Maksimali sutarties vertė</w:t>
      </w:r>
      <w:r w:rsidR="00A3679F">
        <w:rPr>
          <w:rStyle w:val="ui-provider"/>
          <w:rFonts w:eastAsiaTheme="majorEastAsia"/>
        </w:rPr>
        <w:t xml:space="preserve"> negali viršyti </w:t>
      </w:r>
      <w:r w:rsidR="005A6962" w:rsidRPr="005A6962">
        <w:rPr>
          <w:rStyle w:val="ui-provider"/>
          <w:rFonts w:eastAsiaTheme="majorEastAsia"/>
        </w:rPr>
        <w:t>3 636,37</w:t>
      </w:r>
      <w:r w:rsidR="005A6962">
        <w:rPr>
          <w:rStyle w:val="ui-provider"/>
          <w:rFonts w:eastAsiaTheme="majorEastAsia"/>
        </w:rPr>
        <w:t xml:space="preserve"> Eur be PVM (trys tūkstančiai šeši šimtai trisdešimt šeši eurai, </w:t>
      </w:r>
      <w:r w:rsidR="008345BF">
        <w:rPr>
          <w:rStyle w:val="ui-provider"/>
          <w:rFonts w:eastAsiaTheme="majorEastAsia"/>
        </w:rPr>
        <w:t>37</w:t>
      </w:r>
      <w:r w:rsidR="005A6962">
        <w:rPr>
          <w:rStyle w:val="ui-provider"/>
          <w:rFonts w:eastAsiaTheme="majorEastAsia"/>
        </w:rPr>
        <w:t xml:space="preserve"> ct)</w:t>
      </w:r>
      <w:r w:rsidR="003E3B44">
        <w:rPr>
          <w:rStyle w:val="ui-provider"/>
          <w:rFonts w:eastAsiaTheme="majorEastAsia"/>
        </w:rPr>
        <w:t xml:space="preserve">, PVM sudaro </w:t>
      </w:r>
      <w:r w:rsidR="001039DA" w:rsidRPr="001039DA">
        <w:rPr>
          <w:rStyle w:val="ui-provider"/>
          <w:rFonts w:eastAsiaTheme="majorEastAsia"/>
        </w:rPr>
        <w:t>763,6</w:t>
      </w:r>
      <w:r w:rsidR="001039DA">
        <w:rPr>
          <w:rStyle w:val="ui-provider"/>
          <w:rFonts w:eastAsiaTheme="majorEastAsia"/>
          <w:lang w:val="en-US"/>
        </w:rPr>
        <w:t xml:space="preserve">4 Eur (septyni šimtai šešiasdešimt trys eurai, </w:t>
      </w:r>
      <w:r w:rsidR="00DF4FD7">
        <w:rPr>
          <w:rStyle w:val="ui-provider"/>
          <w:rFonts w:eastAsiaTheme="majorEastAsia"/>
          <w:lang w:val="en-US"/>
        </w:rPr>
        <w:t>64</w:t>
      </w:r>
      <w:r w:rsidR="001039DA">
        <w:rPr>
          <w:rStyle w:val="ui-provider"/>
          <w:rFonts w:eastAsiaTheme="majorEastAsia"/>
          <w:lang w:val="en-US"/>
        </w:rPr>
        <w:t xml:space="preserve"> ct)</w:t>
      </w:r>
      <w:r w:rsidR="009F406A">
        <w:rPr>
          <w:rStyle w:val="ui-provider"/>
          <w:rFonts w:eastAsiaTheme="majorEastAsia"/>
          <w:lang w:val="en-US"/>
        </w:rPr>
        <w:t xml:space="preserve">, </w:t>
      </w:r>
      <w:r w:rsidR="009F406A" w:rsidRPr="009F406A">
        <w:rPr>
          <w:rStyle w:val="ui-provider"/>
          <w:rFonts w:eastAsiaTheme="majorEastAsia"/>
          <w:lang w:val="en-US"/>
        </w:rPr>
        <w:t>4 400,0</w:t>
      </w:r>
      <w:r w:rsidR="009F406A">
        <w:rPr>
          <w:rStyle w:val="ui-provider"/>
          <w:rFonts w:eastAsiaTheme="majorEastAsia"/>
          <w:lang w:val="en-US"/>
        </w:rPr>
        <w:t>1 Eur su PVM (keturi t</w:t>
      </w:r>
      <w:r w:rsidR="009F406A">
        <w:rPr>
          <w:rStyle w:val="ui-provider"/>
          <w:rFonts w:eastAsiaTheme="majorEastAsia"/>
        </w:rPr>
        <w:t xml:space="preserve">ūkstančiai keturi šimtai </w:t>
      </w:r>
      <w:r w:rsidR="00F72088">
        <w:rPr>
          <w:rStyle w:val="ui-provider"/>
          <w:rFonts w:eastAsiaTheme="majorEastAsia"/>
        </w:rPr>
        <w:t>eur, 1 ct)</w:t>
      </w:r>
      <w:r w:rsidR="55BA747C">
        <w:t>.</w:t>
      </w:r>
    </w:p>
    <w:p w14:paraId="4448D080" w14:textId="77777777" w:rsidR="008A28DF" w:rsidRPr="000767F7" w:rsidRDefault="008A28DF" w:rsidP="006678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0767F7">
        <w:t>Šis Susitarimas yra neatskiriama Sutarties dalis ir galioja kartu su Sutartimi.</w:t>
      </w:r>
    </w:p>
    <w:p w14:paraId="38739DA9" w14:textId="77777777" w:rsidR="008A28DF" w:rsidRPr="000767F7" w:rsidRDefault="008A28DF" w:rsidP="006678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0767F7">
        <w:t>Šis Susitarimas įsigalioja nuo jo pasirašymo dienos.</w:t>
      </w:r>
    </w:p>
    <w:p w14:paraId="46742A18" w14:textId="77777777" w:rsidR="008A28DF" w:rsidRPr="000767F7" w:rsidRDefault="008A28DF" w:rsidP="006678A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</w:pPr>
      <w:r w:rsidRPr="000767F7">
        <w:t>Šiuo Susitarimu neaptartos Sutarties nuostatos lieka nepakitusios.</w:t>
      </w:r>
    </w:p>
    <w:p w14:paraId="0B355D3F" w14:textId="77777777" w:rsidR="00E43736" w:rsidRDefault="00E43736" w:rsidP="55BA747C">
      <w:pPr>
        <w:pStyle w:val="ListParagraph"/>
        <w:autoSpaceDE w:val="0"/>
        <w:autoSpaceDN w:val="0"/>
        <w:adjustRightInd w:val="0"/>
        <w:spacing w:line="240" w:lineRule="auto"/>
        <w:ind w:left="1069"/>
      </w:pPr>
    </w:p>
    <w:p w14:paraId="717FC26B" w14:textId="77777777" w:rsidR="008A28DF" w:rsidRDefault="008A28DF" w:rsidP="008A28DF">
      <w:pPr>
        <w:pStyle w:val="ListParagraph"/>
        <w:autoSpaceDE w:val="0"/>
        <w:autoSpaceDN w:val="0"/>
        <w:adjustRightInd w:val="0"/>
        <w:spacing w:line="240" w:lineRule="auto"/>
        <w:ind w:left="709" w:firstLine="0"/>
        <w:contextualSpacing w:val="0"/>
        <w:rPr>
          <w:shd w:val="clear" w:color="auto" w:fill="FFFFFF"/>
        </w:rPr>
      </w:pPr>
    </w:p>
    <w:tbl>
      <w:tblPr>
        <w:tblW w:w="9823" w:type="dxa"/>
        <w:tblLayout w:type="fixed"/>
        <w:tblLook w:val="04A0" w:firstRow="1" w:lastRow="0" w:firstColumn="1" w:lastColumn="0" w:noHBand="0" w:noVBand="1"/>
      </w:tblPr>
      <w:tblGrid>
        <w:gridCol w:w="4421"/>
        <w:gridCol w:w="338"/>
        <w:gridCol w:w="5064"/>
      </w:tblGrid>
      <w:tr w:rsidR="008A28DF" w:rsidRPr="00CF2941" w14:paraId="1B7761F0" w14:textId="77777777" w:rsidTr="006678A5">
        <w:trPr>
          <w:trHeight w:val="280"/>
        </w:trPr>
        <w:tc>
          <w:tcPr>
            <w:tcW w:w="4421" w:type="dxa"/>
            <w:shd w:val="clear" w:color="auto" w:fill="auto"/>
          </w:tcPr>
          <w:p w14:paraId="3AC14FC7" w14:textId="77777777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  <w:r w:rsidRPr="4E7CF685">
              <w:rPr>
                <w:b/>
                <w:bCs/>
              </w:rPr>
              <w:t>PIRKĖJAS</w:t>
            </w:r>
          </w:p>
        </w:tc>
        <w:tc>
          <w:tcPr>
            <w:tcW w:w="338" w:type="dxa"/>
            <w:shd w:val="clear" w:color="auto" w:fill="auto"/>
          </w:tcPr>
          <w:p w14:paraId="251E4DC0" w14:textId="77777777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</w:p>
        </w:tc>
        <w:tc>
          <w:tcPr>
            <w:tcW w:w="5064" w:type="dxa"/>
            <w:shd w:val="clear" w:color="auto" w:fill="auto"/>
          </w:tcPr>
          <w:p w14:paraId="16998B08" w14:textId="3AEB80A0" w:rsidR="008A28DF" w:rsidRPr="00CF2941" w:rsidRDefault="008A28DF" w:rsidP="18222B2A">
            <w:pPr>
              <w:tabs>
                <w:tab w:val="left" w:pos="993"/>
              </w:tabs>
              <w:spacing w:line="240" w:lineRule="auto"/>
              <w:ind w:firstLine="0"/>
              <w:rPr>
                <w:b/>
                <w:bCs/>
              </w:rPr>
            </w:pPr>
            <w:r w:rsidRPr="18222B2A">
              <w:rPr>
                <w:b/>
                <w:bCs/>
              </w:rPr>
              <w:t>TE</w:t>
            </w:r>
            <w:r w:rsidR="2931FDB1" w:rsidRPr="18222B2A">
              <w:rPr>
                <w:b/>
                <w:bCs/>
              </w:rPr>
              <w:t>I</w:t>
            </w:r>
            <w:r w:rsidRPr="18222B2A">
              <w:rPr>
                <w:b/>
                <w:bCs/>
              </w:rPr>
              <w:t>KĖJAS</w:t>
            </w:r>
          </w:p>
        </w:tc>
      </w:tr>
      <w:tr w:rsidR="008A28DF" w:rsidRPr="00CF2941" w14:paraId="4194C309" w14:textId="77777777" w:rsidTr="006678A5">
        <w:trPr>
          <w:trHeight w:val="516"/>
        </w:trPr>
        <w:tc>
          <w:tcPr>
            <w:tcW w:w="4421" w:type="dxa"/>
            <w:shd w:val="clear" w:color="auto" w:fill="auto"/>
          </w:tcPr>
          <w:p w14:paraId="4DF4F839" w14:textId="77777777" w:rsidR="008A28DF" w:rsidRPr="00CF2941" w:rsidRDefault="008A28DF" w:rsidP="006C2104">
            <w:pPr>
              <w:spacing w:line="240" w:lineRule="auto"/>
              <w:ind w:firstLine="0"/>
              <w:rPr>
                <w:b/>
              </w:rPr>
            </w:pPr>
          </w:p>
          <w:p w14:paraId="49E379D9" w14:textId="78DBA087" w:rsidR="008A28DF" w:rsidRPr="00CF2941" w:rsidRDefault="00E43736" w:rsidP="006C2104">
            <w:pPr>
              <w:spacing w:line="240" w:lineRule="auto"/>
              <w:ind w:firstLine="0"/>
              <w:rPr>
                <w:b/>
              </w:rPr>
            </w:pPr>
            <w:r w:rsidRPr="00E43736">
              <w:rPr>
                <w:b/>
              </w:rPr>
              <w:t>Valstybės skaitmeninių sprendimų agentūra</w:t>
            </w:r>
          </w:p>
        </w:tc>
        <w:tc>
          <w:tcPr>
            <w:tcW w:w="338" w:type="dxa"/>
            <w:shd w:val="clear" w:color="auto" w:fill="auto"/>
          </w:tcPr>
          <w:p w14:paraId="36C65D30" w14:textId="77777777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</w:p>
        </w:tc>
        <w:tc>
          <w:tcPr>
            <w:tcW w:w="5064" w:type="dxa"/>
            <w:shd w:val="clear" w:color="auto" w:fill="auto"/>
          </w:tcPr>
          <w:p w14:paraId="5EC3C7D1" w14:textId="77777777" w:rsidR="00326B62" w:rsidRDefault="00326B62" w:rsidP="006C2104">
            <w:pPr>
              <w:tabs>
                <w:tab w:val="left" w:pos="993"/>
              </w:tabs>
              <w:spacing w:line="240" w:lineRule="auto"/>
              <w:ind w:firstLine="0"/>
              <w:rPr>
                <w:b/>
                <w:bCs/>
              </w:rPr>
            </w:pPr>
          </w:p>
          <w:p w14:paraId="72F1CEBB" w14:textId="17B8D84E" w:rsidR="008A28DF" w:rsidRPr="00CF2941" w:rsidRDefault="00326B62" w:rsidP="006C2104">
            <w:pPr>
              <w:tabs>
                <w:tab w:val="left" w:pos="993"/>
              </w:tabs>
              <w:spacing w:line="240" w:lineRule="auto"/>
              <w:ind w:firstLine="0"/>
            </w:pPr>
            <w:r w:rsidRPr="00166603">
              <w:rPr>
                <w:b/>
                <w:bCs/>
              </w:rPr>
              <w:t>„</w:t>
            </w:r>
            <w:r w:rsidRPr="00166603">
              <w:rPr>
                <w:b/>
              </w:rPr>
              <w:t>Bolt Operations OÜ</w:t>
            </w:r>
          </w:p>
        </w:tc>
      </w:tr>
      <w:tr w:rsidR="008A28DF" w:rsidRPr="00CF2941" w14:paraId="40D45EA9" w14:textId="77777777" w:rsidTr="006678A5">
        <w:trPr>
          <w:trHeight w:val="264"/>
        </w:trPr>
        <w:tc>
          <w:tcPr>
            <w:tcW w:w="4421" w:type="dxa"/>
            <w:shd w:val="clear" w:color="auto" w:fill="auto"/>
          </w:tcPr>
          <w:p w14:paraId="030B07B7" w14:textId="69067C4C" w:rsidR="008A28DF" w:rsidRPr="00CF2941" w:rsidRDefault="0DAD8D4B" w:rsidP="18222B2A">
            <w:pPr>
              <w:tabs>
                <w:tab w:val="left" w:pos="993"/>
              </w:tabs>
              <w:spacing w:line="240" w:lineRule="auto"/>
              <w:ind w:firstLine="0"/>
            </w:pPr>
            <w:r>
              <w:t xml:space="preserve">Juridinio asmens kodas 188772433 </w:t>
            </w:r>
          </w:p>
        </w:tc>
        <w:tc>
          <w:tcPr>
            <w:tcW w:w="338" w:type="dxa"/>
            <w:shd w:val="clear" w:color="auto" w:fill="auto"/>
          </w:tcPr>
          <w:p w14:paraId="5933A9FB" w14:textId="77777777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</w:p>
        </w:tc>
        <w:tc>
          <w:tcPr>
            <w:tcW w:w="5064" w:type="dxa"/>
            <w:shd w:val="clear" w:color="auto" w:fill="auto"/>
          </w:tcPr>
          <w:p w14:paraId="2E0CEC5C" w14:textId="641CF8D9" w:rsidR="008A28DF" w:rsidRPr="00CF2941" w:rsidRDefault="0887E2E6" w:rsidP="18222B2A">
            <w:pPr>
              <w:tabs>
                <w:tab w:val="left" w:pos="993"/>
              </w:tabs>
              <w:spacing w:line="240" w:lineRule="auto"/>
              <w:ind w:firstLine="0"/>
            </w:pPr>
            <w:r>
              <w:t xml:space="preserve">Juridinio asmens kodas </w:t>
            </w:r>
            <w:r w:rsidR="00326B62" w:rsidRPr="00166603">
              <w:t>14532901</w:t>
            </w:r>
          </w:p>
        </w:tc>
      </w:tr>
      <w:tr w:rsidR="008A28DF" w:rsidRPr="00CF2941" w14:paraId="1CE34E73" w14:textId="77777777" w:rsidTr="006678A5">
        <w:trPr>
          <w:trHeight w:val="250"/>
        </w:trPr>
        <w:tc>
          <w:tcPr>
            <w:tcW w:w="4421" w:type="dxa"/>
            <w:shd w:val="clear" w:color="auto" w:fill="auto"/>
          </w:tcPr>
          <w:p w14:paraId="2E40600C" w14:textId="5CE17B0D" w:rsidR="008A28DF" w:rsidRPr="00CF2941" w:rsidRDefault="36E8760E" w:rsidP="18222B2A">
            <w:pPr>
              <w:tabs>
                <w:tab w:val="left" w:pos="993"/>
              </w:tabs>
              <w:spacing w:line="240" w:lineRule="auto"/>
              <w:ind w:firstLine="0"/>
            </w:pPr>
            <w:r>
              <w:t>Konstitucijos pr.15-89, 09319, Vilnius</w:t>
            </w:r>
          </w:p>
        </w:tc>
        <w:tc>
          <w:tcPr>
            <w:tcW w:w="338" w:type="dxa"/>
            <w:shd w:val="clear" w:color="auto" w:fill="auto"/>
          </w:tcPr>
          <w:p w14:paraId="76B1805A" w14:textId="77777777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</w:p>
        </w:tc>
        <w:tc>
          <w:tcPr>
            <w:tcW w:w="5064" w:type="dxa"/>
            <w:shd w:val="clear" w:color="auto" w:fill="auto"/>
          </w:tcPr>
          <w:p w14:paraId="1295EE4A" w14:textId="426AB314" w:rsidR="008A28DF" w:rsidRPr="00CF2941" w:rsidRDefault="00326B62" w:rsidP="006C2104">
            <w:pPr>
              <w:tabs>
                <w:tab w:val="left" w:pos="993"/>
              </w:tabs>
              <w:spacing w:line="240" w:lineRule="auto"/>
              <w:ind w:firstLine="0"/>
            </w:pPr>
            <w:r w:rsidRPr="00166603">
              <w:t>Vana-Lõuna tn 15, Talinas 10134, Estija</w:t>
            </w:r>
          </w:p>
        </w:tc>
      </w:tr>
      <w:tr w:rsidR="008A28DF" w:rsidRPr="00CF2941" w14:paraId="5C5F072D" w14:textId="77777777" w:rsidTr="006678A5">
        <w:trPr>
          <w:trHeight w:val="250"/>
        </w:trPr>
        <w:tc>
          <w:tcPr>
            <w:tcW w:w="4421" w:type="dxa"/>
            <w:shd w:val="clear" w:color="auto" w:fill="auto"/>
          </w:tcPr>
          <w:p w14:paraId="574542C8" w14:textId="070CC7A1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  <w:r w:rsidRPr="00CF2941">
              <w:t>El. p. info@</w:t>
            </w:r>
            <w:r w:rsidR="006064A4">
              <w:t>vssa</w:t>
            </w:r>
            <w:r w:rsidRPr="00CF2941">
              <w:t>.lt</w:t>
            </w:r>
          </w:p>
        </w:tc>
        <w:tc>
          <w:tcPr>
            <w:tcW w:w="338" w:type="dxa"/>
            <w:shd w:val="clear" w:color="auto" w:fill="auto"/>
          </w:tcPr>
          <w:p w14:paraId="171FC48E" w14:textId="77777777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</w:p>
        </w:tc>
        <w:tc>
          <w:tcPr>
            <w:tcW w:w="5064" w:type="dxa"/>
            <w:shd w:val="clear" w:color="auto" w:fill="auto"/>
          </w:tcPr>
          <w:p w14:paraId="38C44385" w14:textId="7EAB2CCA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</w:p>
        </w:tc>
      </w:tr>
      <w:tr w:rsidR="008A28DF" w:rsidRPr="00CF2941" w14:paraId="36DB847F" w14:textId="77777777" w:rsidTr="006678A5">
        <w:trPr>
          <w:trHeight w:val="264"/>
        </w:trPr>
        <w:tc>
          <w:tcPr>
            <w:tcW w:w="4421" w:type="dxa"/>
            <w:shd w:val="clear" w:color="auto" w:fill="auto"/>
          </w:tcPr>
          <w:p w14:paraId="44A33C96" w14:textId="77777777" w:rsidR="008A28DF" w:rsidRPr="00CF2941" w:rsidRDefault="008A28DF" w:rsidP="006C2104">
            <w:pPr>
              <w:spacing w:line="240" w:lineRule="auto"/>
              <w:ind w:firstLine="0"/>
            </w:pPr>
          </w:p>
          <w:p w14:paraId="45582E45" w14:textId="77777777" w:rsidR="008A28DF" w:rsidRDefault="008A28DF" w:rsidP="006C2104">
            <w:pPr>
              <w:spacing w:line="240" w:lineRule="auto"/>
              <w:ind w:firstLine="0"/>
            </w:pPr>
            <w:r>
              <w:t>Direktorius</w:t>
            </w:r>
          </w:p>
          <w:p w14:paraId="62F3D67F" w14:textId="77777777" w:rsidR="008A28DF" w:rsidRDefault="008A28DF" w:rsidP="006C2104">
            <w:pPr>
              <w:spacing w:line="240" w:lineRule="auto"/>
              <w:ind w:firstLine="0"/>
            </w:pPr>
          </w:p>
          <w:p w14:paraId="3F78A047" w14:textId="77777777" w:rsidR="008A28DF" w:rsidRPr="00CF2941" w:rsidRDefault="008A28DF" w:rsidP="006C2104">
            <w:pPr>
              <w:spacing w:line="240" w:lineRule="auto"/>
              <w:ind w:firstLine="0"/>
            </w:pPr>
            <w:r>
              <w:t>Tomas Misevičius</w:t>
            </w:r>
          </w:p>
          <w:p w14:paraId="11A98AFA" w14:textId="77777777" w:rsidR="008A28DF" w:rsidRPr="00CF2941" w:rsidRDefault="008A28DF" w:rsidP="006C2104">
            <w:pPr>
              <w:spacing w:line="240" w:lineRule="auto"/>
              <w:ind w:firstLine="0"/>
            </w:pPr>
            <w:r w:rsidRPr="00CF2941">
              <w:t>_________________________________</w:t>
            </w:r>
          </w:p>
          <w:p w14:paraId="304561BA" w14:textId="77777777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  <w:r w:rsidRPr="00CF2941">
              <w:rPr>
                <w:i/>
                <w:iCs/>
              </w:rPr>
              <w:t>(parašas)</w:t>
            </w:r>
          </w:p>
        </w:tc>
        <w:tc>
          <w:tcPr>
            <w:tcW w:w="338" w:type="dxa"/>
            <w:shd w:val="clear" w:color="auto" w:fill="auto"/>
          </w:tcPr>
          <w:p w14:paraId="70C2EC4B" w14:textId="77777777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</w:p>
        </w:tc>
        <w:tc>
          <w:tcPr>
            <w:tcW w:w="5064" w:type="dxa"/>
            <w:shd w:val="clear" w:color="auto" w:fill="auto"/>
          </w:tcPr>
          <w:p w14:paraId="00EFDD48" w14:textId="77777777" w:rsidR="008A28DF" w:rsidRPr="00CF2941" w:rsidRDefault="008A28DF" w:rsidP="006C2104">
            <w:pPr>
              <w:spacing w:line="240" w:lineRule="auto"/>
              <w:ind w:firstLine="0"/>
            </w:pPr>
          </w:p>
          <w:p w14:paraId="3E553B81" w14:textId="591A3D1E" w:rsidR="00E43736" w:rsidRDefault="00326B62" w:rsidP="006C2104">
            <w:pPr>
              <w:spacing w:line="240" w:lineRule="auto"/>
              <w:ind w:firstLine="0"/>
            </w:pPr>
            <w:r>
              <w:t xml:space="preserve">Valdybos narys </w:t>
            </w:r>
          </w:p>
          <w:p w14:paraId="1F80C147" w14:textId="77777777" w:rsidR="00E56EDB" w:rsidRDefault="00E56EDB" w:rsidP="006C2104">
            <w:pPr>
              <w:spacing w:line="240" w:lineRule="auto"/>
              <w:ind w:firstLine="0"/>
            </w:pPr>
          </w:p>
          <w:p w14:paraId="05EA8570" w14:textId="04674E69" w:rsidR="00326B62" w:rsidRDefault="00326B62" w:rsidP="006C2104">
            <w:pPr>
              <w:tabs>
                <w:tab w:val="left" w:pos="993"/>
              </w:tabs>
              <w:spacing w:line="240" w:lineRule="auto"/>
              <w:ind w:firstLine="0"/>
            </w:pPr>
            <w:r w:rsidRPr="00166603">
              <w:t>Aht</w:t>
            </w:r>
            <w:r w:rsidR="007804F9">
              <w:t>o</w:t>
            </w:r>
            <w:r w:rsidRPr="00166603">
              <w:t xml:space="preserve"> Kink</w:t>
            </w:r>
            <w:r w:rsidRPr="00E43736" w:rsidDel="00326B62">
              <w:t xml:space="preserve"> </w:t>
            </w:r>
          </w:p>
          <w:p w14:paraId="6A457431" w14:textId="3E7E14A3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  <w:r w:rsidRPr="00CF2941">
              <w:rPr>
                <w:b/>
                <w:bCs/>
              </w:rPr>
              <w:t>______________</w:t>
            </w:r>
          </w:p>
          <w:p w14:paraId="05876933" w14:textId="77777777" w:rsidR="008A28DF" w:rsidRPr="00CF2941" w:rsidRDefault="008A28DF" w:rsidP="006C2104">
            <w:pPr>
              <w:tabs>
                <w:tab w:val="left" w:pos="993"/>
              </w:tabs>
              <w:spacing w:line="240" w:lineRule="auto"/>
              <w:ind w:firstLine="0"/>
            </w:pPr>
            <w:r w:rsidRPr="00CF2941">
              <w:rPr>
                <w:i/>
                <w:iCs/>
              </w:rPr>
              <w:t>(parašas)</w:t>
            </w:r>
          </w:p>
        </w:tc>
      </w:tr>
    </w:tbl>
    <w:p w14:paraId="3D45F9F2" w14:textId="77777777" w:rsidR="00DE3E2C" w:rsidRDefault="00DE3E2C"/>
    <w:sectPr w:rsidR="00DE3E2C" w:rsidSect="00E43736">
      <w:pgSz w:w="11906" w:h="16838"/>
      <w:pgMar w:top="1701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9A77D4"/>
    <w:multiLevelType w:val="hybridMultilevel"/>
    <w:tmpl w:val="AE0699D6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692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F11"/>
    <w:rsid w:val="00064D10"/>
    <w:rsid w:val="000674F4"/>
    <w:rsid w:val="000767F7"/>
    <w:rsid w:val="000C281E"/>
    <w:rsid w:val="000D6067"/>
    <w:rsid w:val="000F1CA5"/>
    <w:rsid w:val="001039DA"/>
    <w:rsid w:val="00112A45"/>
    <w:rsid w:val="00166603"/>
    <w:rsid w:val="00183F39"/>
    <w:rsid w:val="001B00AF"/>
    <w:rsid w:val="00220F7E"/>
    <w:rsid w:val="00250346"/>
    <w:rsid w:val="00252A80"/>
    <w:rsid w:val="00272324"/>
    <w:rsid w:val="0028388E"/>
    <w:rsid w:val="002A22BC"/>
    <w:rsid w:val="002D7284"/>
    <w:rsid w:val="002E6E1D"/>
    <w:rsid w:val="00326B62"/>
    <w:rsid w:val="003650D4"/>
    <w:rsid w:val="0037324D"/>
    <w:rsid w:val="003D009B"/>
    <w:rsid w:val="003E3B44"/>
    <w:rsid w:val="00400A6A"/>
    <w:rsid w:val="004037E2"/>
    <w:rsid w:val="00406B96"/>
    <w:rsid w:val="004636EE"/>
    <w:rsid w:val="0048253F"/>
    <w:rsid w:val="00492C71"/>
    <w:rsid w:val="004D7A7F"/>
    <w:rsid w:val="004F5EE1"/>
    <w:rsid w:val="005058D4"/>
    <w:rsid w:val="005126BD"/>
    <w:rsid w:val="00554F00"/>
    <w:rsid w:val="0057146F"/>
    <w:rsid w:val="005A13F8"/>
    <w:rsid w:val="005A44CB"/>
    <w:rsid w:val="005A6962"/>
    <w:rsid w:val="005B6BB3"/>
    <w:rsid w:val="005E2003"/>
    <w:rsid w:val="005F48B0"/>
    <w:rsid w:val="006064A4"/>
    <w:rsid w:val="00640517"/>
    <w:rsid w:val="006678A5"/>
    <w:rsid w:val="0069383A"/>
    <w:rsid w:val="006C2104"/>
    <w:rsid w:val="0071792F"/>
    <w:rsid w:val="00751691"/>
    <w:rsid w:val="007804F9"/>
    <w:rsid w:val="007875D4"/>
    <w:rsid w:val="007C3526"/>
    <w:rsid w:val="007E31B8"/>
    <w:rsid w:val="007F506E"/>
    <w:rsid w:val="008069DC"/>
    <w:rsid w:val="008345BF"/>
    <w:rsid w:val="00836A85"/>
    <w:rsid w:val="008522D0"/>
    <w:rsid w:val="00867BA6"/>
    <w:rsid w:val="008A28DF"/>
    <w:rsid w:val="008C69F5"/>
    <w:rsid w:val="008D410B"/>
    <w:rsid w:val="008E2D84"/>
    <w:rsid w:val="008E4AE8"/>
    <w:rsid w:val="00905026"/>
    <w:rsid w:val="00914F11"/>
    <w:rsid w:val="009414BA"/>
    <w:rsid w:val="009440F6"/>
    <w:rsid w:val="00973707"/>
    <w:rsid w:val="0099017A"/>
    <w:rsid w:val="009C7B7D"/>
    <w:rsid w:val="009D69F6"/>
    <w:rsid w:val="009F406A"/>
    <w:rsid w:val="00A3679F"/>
    <w:rsid w:val="00A62931"/>
    <w:rsid w:val="00A83EBE"/>
    <w:rsid w:val="00A90D8E"/>
    <w:rsid w:val="00AD3A58"/>
    <w:rsid w:val="00B521A9"/>
    <w:rsid w:val="00B86FD3"/>
    <w:rsid w:val="00C116B4"/>
    <w:rsid w:val="00C73D4E"/>
    <w:rsid w:val="00C763B6"/>
    <w:rsid w:val="00C82789"/>
    <w:rsid w:val="00C92230"/>
    <w:rsid w:val="00CC7579"/>
    <w:rsid w:val="00CD390F"/>
    <w:rsid w:val="00CE68E8"/>
    <w:rsid w:val="00CF0902"/>
    <w:rsid w:val="00D66D53"/>
    <w:rsid w:val="00D814C5"/>
    <w:rsid w:val="00DA63B6"/>
    <w:rsid w:val="00DC29BD"/>
    <w:rsid w:val="00DC3EE1"/>
    <w:rsid w:val="00DE3E2C"/>
    <w:rsid w:val="00DF4FD7"/>
    <w:rsid w:val="00E03FE8"/>
    <w:rsid w:val="00E32851"/>
    <w:rsid w:val="00E37155"/>
    <w:rsid w:val="00E43736"/>
    <w:rsid w:val="00E46633"/>
    <w:rsid w:val="00E56EDB"/>
    <w:rsid w:val="00E67FD4"/>
    <w:rsid w:val="00E77BAC"/>
    <w:rsid w:val="00E82697"/>
    <w:rsid w:val="00E90630"/>
    <w:rsid w:val="00EB24D8"/>
    <w:rsid w:val="00F3378A"/>
    <w:rsid w:val="00F54AAE"/>
    <w:rsid w:val="00F65E3D"/>
    <w:rsid w:val="00F72088"/>
    <w:rsid w:val="00FC0992"/>
    <w:rsid w:val="00FE47B0"/>
    <w:rsid w:val="00FF54B9"/>
    <w:rsid w:val="0887E2E6"/>
    <w:rsid w:val="0A1CDB1B"/>
    <w:rsid w:val="0BCF867A"/>
    <w:rsid w:val="0C75A076"/>
    <w:rsid w:val="0CF14A4D"/>
    <w:rsid w:val="0DAD8D4B"/>
    <w:rsid w:val="0DE2C843"/>
    <w:rsid w:val="1010B9FB"/>
    <w:rsid w:val="130DC921"/>
    <w:rsid w:val="15D9B468"/>
    <w:rsid w:val="1707C624"/>
    <w:rsid w:val="18222B2A"/>
    <w:rsid w:val="1BB1E2C8"/>
    <w:rsid w:val="20C01160"/>
    <w:rsid w:val="2210124A"/>
    <w:rsid w:val="230DA0EB"/>
    <w:rsid w:val="236A746C"/>
    <w:rsid w:val="28F13392"/>
    <w:rsid w:val="2931FDB1"/>
    <w:rsid w:val="322C1DAD"/>
    <w:rsid w:val="367EC027"/>
    <w:rsid w:val="36E8760E"/>
    <w:rsid w:val="3741BA4E"/>
    <w:rsid w:val="3B299358"/>
    <w:rsid w:val="3B57256A"/>
    <w:rsid w:val="3CBA4CFC"/>
    <w:rsid w:val="3E06A9FF"/>
    <w:rsid w:val="40E2E40D"/>
    <w:rsid w:val="41B01DFE"/>
    <w:rsid w:val="423F9962"/>
    <w:rsid w:val="42A48E59"/>
    <w:rsid w:val="4450EA9C"/>
    <w:rsid w:val="4496698D"/>
    <w:rsid w:val="49AED2AC"/>
    <w:rsid w:val="4B76DA77"/>
    <w:rsid w:val="4BF196FC"/>
    <w:rsid w:val="4C65B58B"/>
    <w:rsid w:val="516B74DF"/>
    <w:rsid w:val="559BFED7"/>
    <w:rsid w:val="55BA747C"/>
    <w:rsid w:val="571F820A"/>
    <w:rsid w:val="57B166DE"/>
    <w:rsid w:val="59470416"/>
    <w:rsid w:val="5B4A6260"/>
    <w:rsid w:val="5BE71CFA"/>
    <w:rsid w:val="5FAAFD61"/>
    <w:rsid w:val="63B6A135"/>
    <w:rsid w:val="65B9C69A"/>
    <w:rsid w:val="6AC7D450"/>
    <w:rsid w:val="6B6A0E02"/>
    <w:rsid w:val="72847314"/>
    <w:rsid w:val="77B65C6F"/>
    <w:rsid w:val="7938C85A"/>
    <w:rsid w:val="7BC7DFFC"/>
    <w:rsid w:val="7D931CC7"/>
    <w:rsid w:val="7E6A46E4"/>
    <w:rsid w:val="7EA7C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84E60"/>
  <w15:chartTrackingRefBased/>
  <w15:docId w15:val="{8C784FCF-0540-4E45-8FE9-0ED07067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8D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F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F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F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F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F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F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F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F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F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F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F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F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F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F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F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F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F11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F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F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F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F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F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F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F1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8A28DF"/>
    <w:pPr>
      <w:tabs>
        <w:tab w:val="center" w:pos="4153"/>
        <w:tab w:val="right" w:pos="8306"/>
      </w:tabs>
      <w:spacing w:line="240" w:lineRule="auto"/>
      <w:ind w:firstLine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A28DF"/>
    <w:rPr>
      <w:rFonts w:ascii="Times New Roman" w:eastAsia="Times New Roman" w:hAnsi="Times New Roman" w:cs="Times New Roman"/>
      <w:kern w:val="0"/>
      <w:sz w:val="16"/>
      <w:szCs w:val="24"/>
      <w:lang w:eastAsia="lt-LT"/>
      <w14:ligatures w14:val="none"/>
    </w:rPr>
  </w:style>
  <w:style w:type="paragraph" w:styleId="List">
    <w:name w:val="List"/>
    <w:basedOn w:val="Normal"/>
    <w:uiPriority w:val="99"/>
    <w:unhideWhenUsed/>
    <w:rsid w:val="008A28DF"/>
    <w:pPr>
      <w:spacing w:line="240" w:lineRule="auto"/>
      <w:ind w:left="283" w:hanging="283"/>
      <w:contextualSpacing/>
      <w:jc w:val="left"/>
    </w:pPr>
    <w:rPr>
      <w:rFonts w:ascii="Calibri" w:eastAsia="MS Mincho" w:hAnsi="Calibri"/>
    </w:rPr>
  </w:style>
  <w:style w:type="character" w:customStyle="1" w:styleId="normaltextrun">
    <w:name w:val="normaltextrun"/>
    <w:basedOn w:val="DefaultParagraphFont"/>
    <w:rsid w:val="008A28DF"/>
  </w:style>
  <w:style w:type="character" w:styleId="CommentReference">
    <w:name w:val="annotation reference"/>
    <w:basedOn w:val="DefaultParagraphFont"/>
    <w:uiPriority w:val="99"/>
    <w:semiHidden/>
    <w:unhideWhenUsed/>
    <w:rsid w:val="00112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A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A45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A45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Revision">
    <w:name w:val="Revision"/>
    <w:hidden/>
    <w:uiPriority w:val="99"/>
    <w:semiHidden/>
    <w:rsid w:val="00CE68E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customStyle="1" w:styleId="ui-provider">
    <w:name w:val="ui-provider"/>
    <w:basedOn w:val="DefaultParagraphFont"/>
    <w:rsid w:val="00064D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6c1a02f4-7a1b-436b-816a-4e0ebb20cc56" xsi:nil="true"/>
    <_ip_UnifiedCompliancePolicyProperties xmlns="http://schemas.microsoft.com/sharepoint/v3" xsi:nil="true"/>
    <lcf76f155ced4ddcb4097134ff3c332f xmlns="6c1a02f4-7a1b-436b-816a-4e0ebb20cc56">
      <Terms xmlns="http://schemas.microsoft.com/office/infopath/2007/PartnerControls"/>
    </lcf76f155ced4ddcb4097134ff3c332f>
    <TaxCatchAll xmlns="9e7442cb-9d6b-4b4b-bac8-0f20a0600f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C6F1CFB4BC874290F693531F920011" ma:contentTypeVersion="25" ma:contentTypeDescription="Create a new document." ma:contentTypeScope="" ma:versionID="783b84e5768f87cf54c64cfe16629f2d">
  <xsd:schema xmlns:xsd="http://www.w3.org/2001/XMLSchema" xmlns:xs="http://www.w3.org/2001/XMLSchema" xmlns:p="http://schemas.microsoft.com/office/2006/metadata/properties" xmlns:ns1="http://schemas.microsoft.com/sharepoint/v3" xmlns:ns2="9e7442cb-9d6b-4b4b-bac8-0f20a0600f16" xmlns:ns3="6c1a02f4-7a1b-436b-816a-4e0ebb20cc56" targetNamespace="http://schemas.microsoft.com/office/2006/metadata/properties" ma:root="true" ma:fieldsID="0b7e6750e27efc72e32d3fac7cc76a40" ns1:_="" ns2:_="" ns3:_="">
    <xsd:import namespace="http://schemas.microsoft.com/sharepoint/v3"/>
    <xsd:import namespace="9e7442cb-9d6b-4b4b-bac8-0f20a0600f16"/>
    <xsd:import namespace="6c1a02f4-7a1b-436b-816a-4e0ebb20cc5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Imag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42cb-9d6b-4b4b-bac8-0f20a0600f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a460ae0-a939-472a-9d6b-9b72fbf57c7b}" ma:internalName="TaxCatchAll" ma:showField="CatchAllData" ma:web="9e7442cb-9d6b-4b4b-bac8-0f20a0600f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a02f4-7a1b-436b-816a-4e0ebb20cc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Image" ma:index="24" nillable="true" ma:displayName="Image" ma:format="Thumbnail" ma:internalName="Imag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7650D-6BD5-44C4-A860-2779DC1FAE6B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6c1a02f4-7a1b-436b-816a-4e0ebb20cc56"/>
    <ds:schemaRef ds:uri="http://schemas.microsoft.com/office/2006/documentManagement/types"/>
    <ds:schemaRef ds:uri="9e7442cb-9d6b-4b4b-bac8-0f20a0600f16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C2AABD12-D2AE-465C-B3A1-05C8B14AC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7442cb-9d6b-4b4b-bac8-0f20a0600f16"/>
    <ds:schemaRef ds:uri="6c1a02f4-7a1b-436b-816a-4e0ebb20c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4718D-4CCF-4A99-A716-DBB1BA705F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9BA32AD-CBF3-41B8-BCAC-9F679FFF4CC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98c9912-d762-4211-a02c-8aba974f62fb}" enabled="0" method="" siteId="{298c9912-d762-4211-a02c-8aba974f62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1585</Words>
  <Characters>904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Čepaitienė</dc:creator>
  <cp:keywords/>
  <dc:description/>
  <cp:lastModifiedBy>Vitalija Kaniušaitė</cp:lastModifiedBy>
  <cp:revision>2</cp:revision>
  <dcterms:created xsi:type="dcterms:W3CDTF">2024-11-21T14:50:00Z</dcterms:created>
  <dcterms:modified xsi:type="dcterms:W3CDTF">2024-11-21T14:50:00Z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0x0101006EC6F1CFB4BC874290F693531F920011</vt:lpwstr>
  </property>
  <property fmtid="{D5CDD505-2E9C-101B-9397-08002B2CF9AE}" pid="3" name="MediaServiceImageTags">
    <vt:lpwstr/>
  </property>
</Properties>
</file>