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CEF43" w14:textId="090D114F" w:rsidR="007F4509" w:rsidRPr="0091709D" w:rsidRDefault="007F4509" w:rsidP="007F4509">
      <w:pPr>
        <w:pStyle w:val="Pagrindinistekstas1"/>
        <w:ind w:firstLine="567"/>
        <w:jc w:val="right"/>
        <w:rPr>
          <w:rFonts w:ascii="Verdana" w:hAnsi="Verdana"/>
          <w:sz w:val="24"/>
          <w:szCs w:val="24"/>
          <w:lang w:val="lt-LT"/>
        </w:rPr>
      </w:pPr>
      <w:r w:rsidRPr="0091709D">
        <w:rPr>
          <w:rFonts w:ascii="Verdana" w:hAnsi="Verdana"/>
          <w:sz w:val="24"/>
          <w:szCs w:val="24"/>
          <w:lang w:val="lt-LT"/>
        </w:rPr>
        <w:t>Sutarties specialiųjų sąlygų 1 priedas</w:t>
      </w:r>
    </w:p>
    <w:p w14:paraId="2E037F0F" w14:textId="77777777" w:rsidR="007F4509" w:rsidRPr="0091709D" w:rsidRDefault="007F4509" w:rsidP="007F4509">
      <w:pPr>
        <w:pStyle w:val="Pagrindinistekstas1"/>
        <w:ind w:firstLine="567"/>
        <w:jc w:val="right"/>
        <w:rPr>
          <w:rFonts w:ascii="Verdana" w:hAnsi="Verdana"/>
          <w:sz w:val="24"/>
          <w:szCs w:val="24"/>
          <w:lang w:val="lt-LT"/>
        </w:rPr>
      </w:pPr>
      <w:r w:rsidRPr="0091709D">
        <w:rPr>
          <w:rFonts w:ascii="Verdana" w:hAnsi="Verdana"/>
          <w:sz w:val="24"/>
          <w:szCs w:val="24"/>
          <w:lang w:val="lt-LT"/>
        </w:rPr>
        <w:t>„Techninė specifikacija“</w:t>
      </w:r>
    </w:p>
    <w:p w14:paraId="572E3240" w14:textId="77777777" w:rsidR="007F4509" w:rsidRPr="0091709D" w:rsidRDefault="007F4509" w:rsidP="007F4509">
      <w:pPr>
        <w:tabs>
          <w:tab w:val="left" w:pos="317"/>
        </w:tabs>
        <w:suppressAutoHyphens/>
        <w:autoSpaceDN w:val="0"/>
        <w:textAlignment w:val="baseline"/>
        <w:rPr>
          <w:rFonts w:eastAsia="Calibri"/>
          <w:b/>
          <w:bCs/>
        </w:rPr>
      </w:pPr>
      <w:r w:rsidRPr="0091709D">
        <w:rPr>
          <w:noProof/>
          <w:lang w:eastAsia="lt-LT"/>
        </w:rPr>
        <w:drawing>
          <wp:anchor distT="0" distB="0" distL="114300" distR="114300" simplePos="0" relativeHeight="251659264" behindDoc="0" locked="0" layoutInCell="1" allowOverlap="1" wp14:anchorId="68E7483C" wp14:editId="0BCB130C">
            <wp:simplePos x="0" y="0"/>
            <wp:positionH relativeFrom="margin">
              <wp:posOffset>3735070</wp:posOffset>
            </wp:positionH>
            <wp:positionV relativeFrom="paragraph">
              <wp:posOffset>27940</wp:posOffset>
            </wp:positionV>
            <wp:extent cx="1859280" cy="515951"/>
            <wp:effectExtent l="0" t="0" r="7620" b="0"/>
            <wp:wrapNone/>
            <wp:docPr id="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859280" cy="515951"/>
                    </a:xfrm>
                    <a:prstGeom prst="rect">
                      <a:avLst/>
                    </a:prstGeom>
                  </pic:spPr>
                </pic:pic>
              </a:graphicData>
            </a:graphic>
            <wp14:sizeRelH relativeFrom="margin">
              <wp14:pctWidth>0</wp14:pctWidth>
            </wp14:sizeRelH>
            <wp14:sizeRelV relativeFrom="margin">
              <wp14:pctHeight>0</wp14:pctHeight>
            </wp14:sizeRelV>
          </wp:anchor>
        </w:drawing>
      </w:r>
      <w:r w:rsidRPr="0091709D">
        <w:rPr>
          <w:noProof/>
          <w:lang w:eastAsia="lt-LT"/>
        </w:rPr>
        <w:drawing>
          <wp:anchor distT="0" distB="0" distL="114300" distR="114300" simplePos="0" relativeHeight="251660288" behindDoc="0" locked="0" layoutInCell="1" allowOverlap="1" wp14:anchorId="08A66065" wp14:editId="71CCBC89">
            <wp:simplePos x="0" y="0"/>
            <wp:positionH relativeFrom="margin">
              <wp:posOffset>784860</wp:posOffset>
            </wp:positionH>
            <wp:positionV relativeFrom="paragraph">
              <wp:posOffset>-635</wp:posOffset>
            </wp:positionV>
            <wp:extent cx="2019300" cy="521110"/>
            <wp:effectExtent l="0" t="0" r="0" b="0"/>
            <wp:wrapNone/>
            <wp:docPr id="9" name="Picture 1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l="5116" t="31034" r="7673" b="32552"/>
                    <a:stretch/>
                  </pic:blipFill>
                  <pic:spPr bwMode="auto">
                    <a:xfrm>
                      <a:off x="0" y="0"/>
                      <a:ext cx="2019300" cy="52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709D">
        <w:rPr>
          <w:noProof/>
          <w:lang w:eastAsia="lt-LT"/>
        </w:rPr>
        <w:drawing>
          <wp:anchor distT="0" distB="0" distL="114300" distR="114300" simplePos="0" relativeHeight="251661312" behindDoc="0" locked="0" layoutInCell="1" allowOverlap="1" wp14:anchorId="5669B64D" wp14:editId="30837C6B">
            <wp:simplePos x="0" y="0"/>
            <wp:positionH relativeFrom="column">
              <wp:posOffset>2827020</wp:posOffset>
            </wp:positionH>
            <wp:positionV relativeFrom="paragraph">
              <wp:posOffset>33020</wp:posOffset>
            </wp:positionV>
            <wp:extent cx="838200" cy="497226"/>
            <wp:effectExtent l="0" t="0" r="0" b="0"/>
            <wp:wrapNone/>
            <wp:docPr id="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0479" cy="498578"/>
                    </a:xfrm>
                    <a:prstGeom prst="rect">
                      <a:avLst/>
                    </a:prstGeom>
                  </pic:spPr>
                </pic:pic>
              </a:graphicData>
            </a:graphic>
            <wp14:sizeRelH relativeFrom="margin">
              <wp14:pctWidth>0</wp14:pctWidth>
            </wp14:sizeRelH>
            <wp14:sizeRelV relativeFrom="margin">
              <wp14:pctHeight>0</wp14:pctHeight>
            </wp14:sizeRelV>
          </wp:anchor>
        </w:drawing>
      </w:r>
      <w:r w:rsidRPr="0091709D">
        <w:rPr>
          <w:noProof/>
          <w:lang w:eastAsia="lt-LT"/>
        </w:rPr>
        <w:drawing>
          <wp:anchor distT="0" distB="0" distL="114300" distR="114300" simplePos="0" relativeHeight="251662336" behindDoc="0" locked="0" layoutInCell="1" allowOverlap="1" wp14:anchorId="3F48E38C" wp14:editId="6A4E410E">
            <wp:simplePos x="0" y="0"/>
            <wp:positionH relativeFrom="margin">
              <wp:posOffset>0</wp:posOffset>
            </wp:positionH>
            <wp:positionV relativeFrom="paragraph">
              <wp:posOffset>635</wp:posOffset>
            </wp:positionV>
            <wp:extent cx="746760" cy="586740"/>
            <wp:effectExtent l="0" t="0" r="0" b="3810"/>
            <wp:wrapNone/>
            <wp:docPr id="1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t="11374" r="7110" b="15640"/>
                    <a:stretch/>
                  </pic:blipFill>
                  <pic:spPr bwMode="auto">
                    <a:xfrm>
                      <a:off x="0" y="0"/>
                      <a:ext cx="74676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4A9CE4" w14:textId="77777777" w:rsidR="007F4509" w:rsidRPr="0091709D" w:rsidRDefault="007F4509" w:rsidP="007F4509">
      <w:pPr>
        <w:tabs>
          <w:tab w:val="left" w:pos="317"/>
        </w:tabs>
        <w:suppressAutoHyphens/>
        <w:autoSpaceDN w:val="0"/>
        <w:jc w:val="center"/>
        <w:textAlignment w:val="baseline"/>
        <w:rPr>
          <w:rFonts w:eastAsia="Calibri"/>
          <w:b/>
          <w:bCs/>
        </w:rPr>
      </w:pPr>
    </w:p>
    <w:p w14:paraId="23718FED" w14:textId="77777777" w:rsidR="007F4509" w:rsidRPr="0091709D" w:rsidRDefault="007F4509" w:rsidP="007F4509">
      <w:pPr>
        <w:tabs>
          <w:tab w:val="left" w:pos="317"/>
        </w:tabs>
        <w:suppressAutoHyphens/>
        <w:autoSpaceDN w:val="0"/>
        <w:jc w:val="center"/>
        <w:textAlignment w:val="baseline"/>
        <w:rPr>
          <w:rFonts w:eastAsia="Calibri"/>
          <w:b/>
          <w:bCs/>
        </w:rPr>
      </w:pPr>
    </w:p>
    <w:p w14:paraId="56AB3A4F" w14:textId="77777777" w:rsidR="007F4509" w:rsidRDefault="007F4509" w:rsidP="007F4509">
      <w:pPr>
        <w:tabs>
          <w:tab w:val="left" w:pos="317"/>
        </w:tabs>
        <w:suppressAutoHyphens/>
        <w:autoSpaceDN w:val="0"/>
        <w:jc w:val="center"/>
        <w:textAlignment w:val="baseline"/>
        <w:rPr>
          <w:rFonts w:eastAsia="Calibri"/>
          <w:b/>
          <w:bCs/>
        </w:rPr>
      </w:pPr>
    </w:p>
    <w:p w14:paraId="01E8BFEB" w14:textId="77777777" w:rsidR="007F4509" w:rsidRPr="00FF68CD" w:rsidRDefault="007F4509" w:rsidP="007F4509">
      <w:pPr>
        <w:jc w:val="center"/>
        <w:rPr>
          <w:rFonts w:ascii="Verdana" w:hAnsi="Verdana"/>
          <w:b/>
          <w:bCs/>
        </w:rPr>
      </w:pPr>
      <w:r w:rsidRPr="00FF68CD">
        <w:rPr>
          <w:rFonts w:ascii="Verdana" w:hAnsi="Verdana"/>
          <w:b/>
          <w:bCs/>
          <w:lang w:eastAsia="lt-LT"/>
        </w:rPr>
        <w:t>ILGALAIKĖ PROFESINIO TOBULĖJIMO PROGRAMA (MOKYMŲ CIKLAS STEAM TEMA)</w:t>
      </w:r>
      <w:r>
        <w:rPr>
          <w:rFonts w:ascii="Verdana" w:hAnsi="Verdana"/>
          <w:b/>
          <w:bCs/>
        </w:rPr>
        <w:t xml:space="preserve"> </w:t>
      </w:r>
      <w:r w:rsidRPr="00FF68CD">
        <w:rPr>
          <w:rFonts w:ascii="Verdana" w:eastAsia="Calibri" w:hAnsi="Verdana"/>
          <w:b/>
          <w:bCs/>
        </w:rPr>
        <w:t>TECHNINĖ SPECIFIKACIJA</w:t>
      </w:r>
    </w:p>
    <w:p w14:paraId="59175E54" w14:textId="77777777" w:rsidR="007F4509" w:rsidRPr="0091709D" w:rsidRDefault="007F4509" w:rsidP="007F4509">
      <w:pPr>
        <w:tabs>
          <w:tab w:val="left" w:pos="317"/>
        </w:tabs>
        <w:suppressAutoHyphens/>
        <w:autoSpaceDN w:val="0"/>
        <w:jc w:val="center"/>
        <w:textAlignment w:val="baseline"/>
        <w:rPr>
          <w:rFonts w:eastAsia="Calibri"/>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7F4509" w:rsidRPr="007774D6" w14:paraId="1403F834" w14:textId="77777777" w:rsidTr="00473E37">
        <w:trPr>
          <w:trHeight w:val="397"/>
        </w:trPr>
        <w:tc>
          <w:tcPr>
            <w:tcW w:w="9606" w:type="dxa"/>
            <w:shd w:val="clear" w:color="auto" w:fill="D9D9D9" w:themeFill="background1" w:themeFillShade="D9"/>
            <w:vAlign w:val="center"/>
          </w:tcPr>
          <w:p w14:paraId="708AB30D" w14:textId="77777777" w:rsidR="007F4509" w:rsidRPr="007774D6" w:rsidRDefault="007F4509" w:rsidP="00473E37">
            <w:pPr>
              <w:rPr>
                <w:rFonts w:ascii="Verdana" w:hAnsi="Verdana"/>
              </w:rPr>
            </w:pPr>
            <w:r w:rsidRPr="007774D6">
              <w:rPr>
                <w:rFonts w:ascii="Verdana" w:hAnsi="Verdana"/>
              </w:rPr>
              <w:t>Pirkimo objekto pavadinimas</w:t>
            </w:r>
          </w:p>
        </w:tc>
      </w:tr>
      <w:tr w:rsidR="007F4509" w:rsidRPr="007774D6" w14:paraId="2CF73D79" w14:textId="77777777" w:rsidTr="00473E37">
        <w:trPr>
          <w:trHeight w:val="345"/>
        </w:trPr>
        <w:tc>
          <w:tcPr>
            <w:tcW w:w="9606" w:type="dxa"/>
            <w:shd w:val="clear" w:color="auto" w:fill="FFFFFF" w:themeFill="background1"/>
          </w:tcPr>
          <w:p w14:paraId="7755ADBE" w14:textId="77777777" w:rsidR="007F4509" w:rsidRPr="007774D6" w:rsidRDefault="007F4509" w:rsidP="00473E37">
            <w:pPr>
              <w:rPr>
                <w:rFonts w:ascii="Verdana" w:hAnsi="Verdana"/>
              </w:rPr>
            </w:pPr>
            <w:r w:rsidRPr="007774D6">
              <w:rPr>
                <w:rFonts w:ascii="Verdana" w:hAnsi="Verdana"/>
                <w:lang w:eastAsia="lt-LT"/>
              </w:rPr>
              <w:t>Ilgalaikė profesinio tobulėjimo programa (mokymų ciklas STEAM tema)</w:t>
            </w:r>
          </w:p>
        </w:tc>
      </w:tr>
      <w:tr w:rsidR="007F4509" w:rsidRPr="007774D6" w14:paraId="64D41A70" w14:textId="77777777" w:rsidTr="00473E37">
        <w:trPr>
          <w:trHeight w:val="624"/>
        </w:trPr>
        <w:tc>
          <w:tcPr>
            <w:tcW w:w="9606" w:type="dxa"/>
            <w:shd w:val="clear" w:color="auto" w:fill="D9D9D9" w:themeFill="background1" w:themeFillShade="D9"/>
            <w:vAlign w:val="center"/>
          </w:tcPr>
          <w:p w14:paraId="23FE10B8" w14:textId="77777777" w:rsidR="007F4509" w:rsidRPr="007774D6" w:rsidRDefault="007F4509" w:rsidP="00473E37">
            <w:pPr>
              <w:rPr>
                <w:rFonts w:ascii="Verdana" w:hAnsi="Verdana"/>
              </w:rPr>
            </w:pPr>
            <w:r w:rsidRPr="007774D6">
              <w:rPr>
                <w:rFonts w:ascii="Verdana" w:hAnsi="Verdana"/>
              </w:rPr>
              <w:t>Pirkimo objekto aprašymas ir pirkimo objektui keliami reikalavimai (</w:t>
            </w:r>
            <w:r w:rsidRPr="007774D6">
              <w:rPr>
                <w:rFonts w:ascii="Verdana" w:hAnsi="Verdana"/>
                <w:i/>
              </w:rPr>
              <w:t>ketinamų pirkti prekių, paslaugų ar darbų savybės, kokybės reikalavimai)</w:t>
            </w:r>
          </w:p>
        </w:tc>
      </w:tr>
      <w:tr w:rsidR="007F4509" w:rsidRPr="007774D6" w14:paraId="030360CC" w14:textId="77777777" w:rsidTr="00473E37">
        <w:trPr>
          <w:trHeight w:val="345"/>
        </w:trPr>
        <w:tc>
          <w:tcPr>
            <w:tcW w:w="9606" w:type="dxa"/>
            <w:tcBorders>
              <w:bottom w:val="single" w:sz="4" w:space="0" w:color="auto"/>
              <w:right w:val="single" w:sz="4" w:space="0" w:color="auto"/>
            </w:tcBorders>
            <w:shd w:val="clear" w:color="auto" w:fill="FFFFFF" w:themeFill="background1"/>
            <w:vAlign w:val="center"/>
          </w:tcPr>
          <w:p w14:paraId="38073259" w14:textId="77777777" w:rsidR="007F4509" w:rsidRPr="007774D6" w:rsidRDefault="007F4509" w:rsidP="00473E37">
            <w:pPr>
              <w:jc w:val="both"/>
              <w:rPr>
                <w:rFonts w:ascii="Verdana" w:hAnsi="Verdana"/>
                <w:lang w:eastAsia="lt-LT"/>
              </w:rPr>
            </w:pPr>
            <w:r w:rsidRPr="007774D6">
              <w:rPr>
                <w:rFonts w:ascii="Verdana" w:hAnsi="Verdana"/>
                <w:lang w:eastAsia="lt-LT"/>
              </w:rPr>
              <w:t>Užsakovas vykdo projektą „Tūkstantmečio mokyklos II“ (TŪM), Nr. 10-012-P-0001, programos įgyvendinimas Marijampolės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Užsakovo viena iš TŪM veiklų – ilgalaikės profesinio tobulėjimo programos (mokymų ciklas STEAM tema), įsigijimas. Programos tikslas – plėtoti pedagogų kompetencijas ir įgūdžius dirbant su įvairia STEAM technine ir programine įranga. Mokymai padės pedagogams įgyti naujų  gebėjimų ir formuoti(-</w:t>
            </w:r>
            <w:proofErr w:type="spellStart"/>
            <w:r w:rsidRPr="007774D6">
              <w:rPr>
                <w:rFonts w:ascii="Verdana" w:hAnsi="Verdana"/>
                <w:lang w:eastAsia="lt-LT"/>
              </w:rPr>
              <w:t>is</w:t>
            </w:r>
            <w:proofErr w:type="spellEnd"/>
            <w:r w:rsidRPr="007774D6">
              <w:rPr>
                <w:rFonts w:ascii="Verdana" w:hAnsi="Verdana"/>
                <w:lang w:eastAsia="lt-LT"/>
              </w:rPr>
              <w:t xml:space="preserve">) suvokimą, kaip gilinti ir perteikti mokiniams STEAM srities žinias augant technologijų poreikiui. </w:t>
            </w:r>
          </w:p>
          <w:p w14:paraId="07235D3F" w14:textId="77777777" w:rsidR="007F4509" w:rsidRPr="007774D6" w:rsidRDefault="007F4509" w:rsidP="00473E37">
            <w:pPr>
              <w:jc w:val="both"/>
              <w:rPr>
                <w:rFonts w:ascii="Verdana" w:hAnsi="Verdana"/>
                <w:lang w:eastAsia="lt-LT"/>
              </w:rPr>
            </w:pPr>
            <w:r w:rsidRPr="007774D6">
              <w:rPr>
                <w:rFonts w:ascii="Verdana" w:hAnsi="Verdana"/>
                <w:lang w:eastAsia="lt-LT"/>
              </w:rPr>
              <w:t xml:space="preserve">Pirkimo objektą sudaro: Į STEAM technologijų naudojimą orientuota  60 akad. val. profesinio tobulėjimo programa 4 (keturioms) pedagogų grupėms ir praktinės veiklos TŪM mokyklose (iš viso: 10 veiklų). </w:t>
            </w:r>
            <w:r w:rsidRPr="007774D6">
              <w:rPr>
                <w:rFonts w:ascii="Verdana" w:hAnsi="Verdana"/>
              </w:rPr>
              <w:t xml:space="preserve">Vienos grupės dalyvių skaičius – iki 20 žmonių. </w:t>
            </w:r>
            <w:r w:rsidRPr="007774D6">
              <w:rPr>
                <w:rFonts w:ascii="Verdana" w:hAnsi="Verdana"/>
                <w:lang w:eastAsia="lt-LT"/>
              </w:rPr>
              <w:t xml:space="preserve">Mokytojų kvalifikacijos tobulinimo mokymų programa turi būti akredituota, kaip numatyta Lietuvos švietimo, mokslo ir sporto ministro 2022 m. sausio 31 d. įsakyme „Dėl „Tūkstantmečio mokyklų“ programos patvirtinimo“. (36.3 punktas. „Mokyklų vadovų ir pedagoginių darbuotojų kompetencijų stiprinimas - Kompetencijos gali būti tobulinamos tik pagal neformaliojo švietimo programas </w:t>
            </w:r>
            <w:r w:rsidRPr="00FF68CD">
              <w:rPr>
                <w:rFonts w:ascii="Verdana" w:hAnsi="Verdana"/>
                <w:lang w:eastAsia="lt-LT"/>
              </w:rPr>
              <w:t>(</w:t>
            </w:r>
            <w:hyperlink r:id="rId8" w:history="1">
              <w:r w:rsidRPr="00FF68CD">
                <w:rPr>
                  <w:rFonts w:ascii="Verdana" w:hAnsi="Verdana"/>
                  <w:color w:val="0000FF"/>
                  <w:u w:val="single"/>
                  <w:lang w:eastAsia="lt-LT"/>
                </w:rPr>
                <w:t>https://www.e</w:t>
              </w:r>
            </w:hyperlink>
            <w:hyperlink r:id="rId9" w:history="1">
              <w:r w:rsidRPr="00FF68CD">
                <w:rPr>
                  <w:rFonts w:ascii="Verdana" w:hAnsi="Verdana"/>
                  <w:color w:val="0000FF"/>
                  <w:u w:val="single"/>
                  <w:lang w:eastAsia="lt-LT"/>
                </w:rPr>
                <w:t>-</w:t>
              </w:r>
            </w:hyperlink>
            <w:hyperlink r:id="rId10" w:history="1">
              <w:r w:rsidRPr="00FF68CD">
                <w:rPr>
                  <w:rFonts w:ascii="Verdana" w:hAnsi="Verdana"/>
                  <w:color w:val="0000FF"/>
                  <w:u w:val="single"/>
                  <w:lang w:eastAsia="lt-LT"/>
                </w:rPr>
                <w:t>tar.lt/portal/lt/legalAct/9b589cd082b511ecbd43a994b3e2e1cb</w:t>
              </w:r>
            </w:hyperlink>
            <w:hyperlink r:id="rId11" w:history="1">
              <w:r w:rsidRPr="00FF68CD">
                <w:rPr>
                  <w:rFonts w:ascii="Verdana" w:hAnsi="Verdana"/>
                  <w:color w:val="0000FF"/>
                  <w:u w:val="single"/>
                  <w:lang w:eastAsia="lt-LT"/>
                </w:rPr>
                <w:t>)</w:t>
              </w:r>
            </w:hyperlink>
            <w:r w:rsidRPr="00FF68CD">
              <w:rPr>
                <w:rFonts w:ascii="Verdana" w:hAnsi="Verdana"/>
                <w:lang w:eastAsia="lt-LT"/>
              </w:rPr>
              <w:t xml:space="preserve">. Akredituota tiekėjo programa turi būti šiame sąraše: </w:t>
            </w:r>
            <w:hyperlink r:id="rId12" w:history="1">
              <w:r w:rsidRPr="00FF68CD">
                <w:rPr>
                  <w:rFonts w:ascii="Verdana" w:hAnsi="Verdana"/>
                  <w:color w:val="0000FF"/>
                  <w:u w:val="single"/>
                  <w:lang w:eastAsia="lt-LT"/>
                </w:rPr>
                <w:t xml:space="preserve">Neformaliojo švietimo programos </w:t>
              </w:r>
            </w:hyperlink>
            <w:hyperlink r:id="rId13" w:history="1">
              <w:r w:rsidRPr="00FF68CD">
                <w:rPr>
                  <w:rFonts w:ascii="Verdana" w:hAnsi="Verdana"/>
                  <w:color w:val="0000FF"/>
                  <w:u w:val="single"/>
                  <w:lang w:eastAsia="lt-LT"/>
                </w:rPr>
                <w:t xml:space="preserve">- </w:t>
              </w:r>
            </w:hyperlink>
            <w:hyperlink r:id="rId14" w:history="1">
              <w:r w:rsidRPr="00FF68CD">
                <w:rPr>
                  <w:rFonts w:ascii="Verdana" w:hAnsi="Verdana"/>
                  <w:color w:val="0000FF"/>
                  <w:u w:val="single"/>
                  <w:lang w:eastAsia="lt-LT"/>
                </w:rPr>
                <w:t>Pagrindinis</w:t>
              </w:r>
            </w:hyperlink>
            <w:r w:rsidRPr="00FF68CD">
              <w:rPr>
                <w:rFonts w:ascii="Verdana" w:hAnsi="Verdana"/>
                <w:lang w:eastAsia="lt-LT"/>
              </w:rPr>
              <w:t xml:space="preserve"> </w:t>
            </w:r>
            <w:hyperlink r:id="rId15" w:history="1">
              <w:r w:rsidRPr="00FF68CD">
                <w:rPr>
                  <w:rFonts w:ascii="Verdana" w:hAnsi="Verdana"/>
                  <w:color w:val="0000FF"/>
                  <w:u w:val="single"/>
                  <w:lang w:eastAsia="lt-LT"/>
                </w:rPr>
                <w:t>(</w:t>
              </w:r>
              <w:proofErr w:type="spellStart"/>
              <w:r w:rsidRPr="00FF68CD">
                <w:rPr>
                  <w:rFonts w:ascii="Verdana" w:hAnsi="Verdana"/>
                  <w:color w:val="0000FF"/>
                  <w:u w:val="single"/>
                  <w:lang w:eastAsia="lt-LT"/>
                </w:rPr>
                <w:t>smm.lt</w:t>
              </w:r>
              <w:proofErr w:type="spellEnd"/>
              <w:r w:rsidRPr="00FF68CD">
                <w:rPr>
                  <w:rFonts w:ascii="Verdana" w:hAnsi="Verdana"/>
                  <w:color w:val="0000FF"/>
                  <w:u w:val="single"/>
                  <w:lang w:eastAsia="lt-LT"/>
                </w:rPr>
                <w:t>)</w:t>
              </w:r>
            </w:hyperlink>
            <w:hyperlink r:id="rId16" w:history="1">
              <w:r w:rsidRPr="00FF68CD">
                <w:rPr>
                  <w:rFonts w:ascii="Verdana" w:hAnsi="Verdana"/>
                  <w:color w:val="0000FF"/>
                  <w:u w:val="single"/>
                  <w:lang w:eastAsia="lt-LT"/>
                </w:rPr>
                <w:t>;</w:t>
              </w:r>
            </w:hyperlink>
            <w:r w:rsidRPr="00FF68CD">
              <w:rPr>
                <w:rFonts w:ascii="Verdana" w:hAnsi="Verdana"/>
                <w:lang w:eastAsia="lt-LT"/>
              </w:rPr>
              <w:t xml:space="preserve"> Akredituotos mokymų programos galiojimo terminas negali būti trumpesnis nei numatytas mokymų vykdymo laikotarpis, t</w:t>
            </w:r>
            <w:r w:rsidRPr="007774D6">
              <w:rPr>
                <w:rFonts w:ascii="Verdana" w:hAnsi="Verdana"/>
                <w:lang w:eastAsia="lt-LT"/>
              </w:rPr>
              <w:t xml:space="preserve">. y. 2024 m. gruodžio 1 d. – 2026 m. balandžio 30 d. </w:t>
            </w:r>
          </w:p>
          <w:p w14:paraId="72BCF65A" w14:textId="77777777" w:rsidR="007F4509" w:rsidRPr="007774D6" w:rsidRDefault="007F4509" w:rsidP="00473E37">
            <w:pPr>
              <w:jc w:val="both"/>
              <w:rPr>
                <w:rFonts w:ascii="Verdana" w:hAnsi="Verdana"/>
                <w:lang w:eastAsia="lt-LT"/>
              </w:rPr>
            </w:pPr>
            <w:r w:rsidRPr="007774D6">
              <w:rPr>
                <w:rFonts w:ascii="Verdana" w:hAnsi="Verdana"/>
                <w:lang w:eastAsia="lt-LT"/>
              </w:rPr>
              <w:t>Mokymų programa turi pasižymėti aiškiai apibrėžtais ir pagrįstai keliamais tikslais ir uždaviniais, orientuotais į siekiamą rezultatą. Siekiami rezultatai turi būti projektuojami į jų tiesioginį pritaikymą dalyvių darbinėje veikloje ir turi atitikti tikslinės grupės poreikius.</w:t>
            </w:r>
          </w:p>
          <w:p w14:paraId="5643CAF0" w14:textId="77777777" w:rsidR="007F4509" w:rsidRPr="007774D6" w:rsidRDefault="007F4509" w:rsidP="00473E37">
            <w:pPr>
              <w:jc w:val="both"/>
              <w:rPr>
                <w:rFonts w:ascii="Verdana" w:hAnsi="Verdana"/>
                <w:lang w:eastAsia="lt-LT"/>
              </w:rPr>
            </w:pPr>
            <w:r w:rsidRPr="007774D6">
              <w:rPr>
                <w:rFonts w:ascii="Verdana" w:hAnsi="Verdana"/>
                <w:lang w:eastAsia="lt-LT"/>
              </w:rPr>
              <w:t xml:space="preserve">Mokymų programa turi apimti praktines temas, tokias kaip: įvadą į STEAM ir skaitmenines technologijas; 3D modeliavimo ir spausdinimo pagrindus bei įgūdžių lavinimą; </w:t>
            </w:r>
            <w:proofErr w:type="spellStart"/>
            <w:r w:rsidRPr="007774D6">
              <w:rPr>
                <w:rFonts w:ascii="Verdana" w:hAnsi="Verdana"/>
                <w:lang w:eastAsia="lt-LT"/>
              </w:rPr>
              <w:t>robotikos</w:t>
            </w:r>
            <w:proofErr w:type="spellEnd"/>
            <w:r w:rsidRPr="007774D6">
              <w:rPr>
                <w:rFonts w:ascii="Verdana" w:hAnsi="Verdana"/>
                <w:lang w:eastAsia="lt-LT"/>
              </w:rPr>
              <w:t xml:space="preserve"> ir programavimo pagrindus; techninės įrangos </w:t>
            </w:r>
            <w:r w:rsidRPr="007774D6">
              <w:rPr>
                <w:rFonts w:ascii="Verdana" w:hAnsi="Verdana"/>
                <w:lang w:eastAsia="lt-LT"/>
              </w:rPr>
              <w:lastRenderedPageBreak/>
              <w:t xml:space="preserve">(CNC lazerio pjovimo staklės, </w:t>
            </w:r>
            <w:proofErr w:type="spellStart"/>
            <w:r w:rsidRPr="007774D6">
              <w:rPr>
                <w:rFonts w:ascii="Verdana" w:hAnsi="Verdana"/>
                <w:lang w:eastAsia="lt-LT"/>
              </w:rPr>
              <w:t>ploteris</w:t>
            </w:r>
            <w:proofErr w:type="spellEnd"/>
            <w:r w:rsidRPr="007774D6">
              <w:rPr>
                <w:rFonts w:ascii="Verdana" w:hAnsi="Verdana"/>
                <w:lang w:eastAsia="lt-LT"/>
              </w:rPr>
              <w:t xml:space="preserve">) valdymo gebėjimų lavinimą; </w:t>
            </w:r>
            <w:proofErr w:type="spellStart"/>
            <w:r w:rsidRPr="007774D6">
              <w:rPr>
                <w:rFonts w:ascii="Verdana" w:hAnsi="Verdana"/>
                <w:lang w:eastAsia="lt-LT"/>
              </w:rPr>
              <w:t>mechatronikos</w:t>
            </w:r>
            <w:proofErr w:type="spellEnd"/>
            <w:r w:rsidRPr="007774D6">
              <w:rPr>
                <w:rFonts w:ascii="Verdana" w:hAnsi="Verdana"/>
                <w:lang w:eastAsia="lt-LT"/>
              </w:rPr>
              <w:t xml:space="preserve"> priemonių naudojimą.</w:t>
            </w:r>
          </w:p>
          <w:p w14:paraId="01CD36ED" w14:textId="77777777" w:rsidR="007F4509" w:rsidRPr="007774D6" w:rsidRDefault="007F4509" w:rsidP="00473E37">
            <w:pPr>
              <w:jc w:val="both"/>
              <w:rPr>
                <w:rFonts w:ascii="Verdana" w:hAnsi="Verdana"/>
                <w:lang w:eastAsia="lt-LT"/>
              </w:rPr>
            </w:pPr>
            <w:r w:rsidRPr="007774D6">
              <w:rPr>
                <w:rFonts w:ascii="Verdana" w:hAnsi="Verdana"/>
                <w:lang w:eastAsia="lt-LT"/>
              </w:rPr>
              <w:t xml:space="preserve">Mokymų metu turi būti naudojamos konkrečios skaitmeninės ir techninės įrangos priemonės, tokios kaip: </w:t>
            </w:r>
            <w:proofErr w:type="spellStart"/>
            <w:r w:rsidRPr="007774D6">
              <w:rPr>
                <w:rFonts w:ascii="Verdana" w:hAnsi="Verdana"/>
                <w:lang w:eastAsia="lt-LT"/>
              </w:rPr>
              <w:t>TincerCad</w:t>
            </w:r>
            <w:proofErr w:type="spellEnd"/>
            <w:r w:rsidRPr="007774D6">
              <w:rPr>
                <w:rFonts w:ascii="Verdana" w:hAnsi="Verdana"/>
                <w:lang w:eastAsia="lt-LT"/>
              </w:rPr>
              <w:t xml:space="preserve">, </w:t>
            </w:r>
            <w:proofErr w:type="spellStart"/>
            <w:r w:rsidRPr="007774D6">
              <w:rPr>
                <w:rFonts w:ascii="Verdana" w:hAnsi="Verdana"/>
                <w:lang w:eastAsia="lt-LT"/>
              </w:rPr>
              <w:t>Sketchup</w:t>
            </w:r>
            <w:proofErr w:type="spellEnd"/>
            <w:r w:rsidRPr="007774D6">
              <w:rPr>
                <w:rFonts w:ascii="Verdana" w:hAnsi="Verdana"/>
                <w:lang w:eastAsia="lt-LT"/>
              </w:rPr>
              <w:t xml:space="preserve">, Vektorinės grafikos, </w:t>
            </w:r>
            <w:proofErr w:type="spellStart"/>
            <w:r w:rsidRPr="007774D6">
              <w:rPr>
                <w:rFonts w:ascii="Verdana" w:hAnsi="Verdana"/>
                <w:lang w:eastAsia="lt-LT"/>
              </w:rPr>
              <w:t>robotikos</w:t>
            </w:r>
            <w:proofErr w:type="spellEnd"/>
            <w:r w:rsidRPr="007774D6">
              <w:rPr>
                <w:rFonts w:ascii="Verdana" w:hAnsi="Verdana"/>
                <w:lang w:eastAsia="lt-LT"/>
              </w:rPr>
              <w:t xml:space="preserve"> (</w:t>
            </w:r>
            <w:proofErr w:type="spellStart"/>
            <w:r w:rsidRPr="007774D6">
              <w:rPr>
                <w:rFonts w:ascii="Verdana" w:hAnsi="Verdana"/>
                <w:lang w:eastAsia="lt-LT"/>
              </w:rPr>
              <w:t>Lego</w:t>
            </w:r>
            <w:proofErr w:type="spellEnd"/>
            <w:r w:rsidRPr="007774D6">
              <w:rPr>
                <w:rFonts w:ascii="Verdana" w:hAnsi="Verdana"/>
                <w:lang w:eastAsia="lt-LT"/>
              </w:rPr>
              <w:t xml:space="preserve"> </w:t>
            </w:r>
            <w:proofErr w:type="spellStart"/>
            <w:r w:rsidRPr="007774D6">
              <w:rPr>
                <w:rFonts w:ascii="Verdana" w:hAnsi="Verdana"/>
                <w:lang w:eastAsia="lt-LT"/>
              </w:rPr>
              <w:t>Spike</w:t>
            </w:r>
            <w:proofErr w:type="spellEnd"/>
            <w:r w:rsidRPr="007774D6">
              <w:rPr>
                <w:rFonts w:ascii="Verdana" w:hAnsi="Verdana"/>
                <w:lang w:eastAsia="lt-LT"/>
              </w:rPr>
              <w:t xml:space="preserve">, </w:t>
            </w:r>
            <w:proofErr w:type="spellStart"/>
            <w:r w:rsidRPr="007774D6">
              <w:rPr>
                <w:rFonts w:ascii="Verdana" w:hAnsi="Verdana"/>
                <w:lang w:eastAsia="lt-LT"/>
              </w:rPr>
              <w:t>Lego</w:t>
            </w:r>
            <w:proofErr w:type="spellEnd"/>
            <w:r w:rsidRPr="007774D6">
              <w:rPr>
                <w:rFonts w:ascii="Verdana" w:hAnsi="Verdana"/>
                <w:lang w:eastAsia="lt-LT"/>
              </w:rPr>
              <w:t xml:space="preserve"> </w:t>
            </w:r>
            <w:proofErr w:type="spellStart"/>
            <w:r w:rsidRPr="007774D6">
              <w:rPr>
                <w:rFonts w:ascii="Verdana" w:hAnsi="Verdana"/>
                <w:lang w:eastAsia="lt-LT"/>
              </w:rPr>
              <w:t>WeDo</w:t>
            </w:r>
            <w:proofErr w:type="spellEnd"/>
            <w:r w:rsidRPr="007774D6">
              <w:rPr>
                <w:rFonts w:ascii="Verdana" w:hAnsi="Verdana"/>
                <w:lang w:eastAsia="lt-LT"/>
              </w:rPr>
              <w:t xml:space="preserve">, </w:t>
            </w:r>
            <w:proofErr w:type="spellStart"/>
            <w:r w:rsidRPr="007774D6">
              <w:rPr>
                <w:rFonts w:ascii="Verdana" w:hAnsi="Verdana"/>
                <w:lang w:eastAsia="lt-LT"/>
              </w:rPr>
              <w:t>Lego</w:t>
            </w:r>
            <w:proofErr w:type="spellEnd"/>
            <w:r w:rsidRPr="007774D6">
              <w:rPr>
                <w:rFonts w:ascii="Verdana" w:hAnsi="Verdana"/>
                <w:lang w:eastAsia="lt-LT"/>
              </w:rPr>
              <w:t xml:space="preserve"> EV3, </w:t>
            </w:r>
            <w:proofErr w:type="spellStart"/>
            <w:r w:rsidRPr="007774D6">
              <w:rPr>
                <w:rFonts w:ascii="Verdana" w:hAnsi="Verdana"/>
                <w:lang w:eastAsia="lt-LT"/>
              </w:rPr>
              <w:t>Vex</w:t>
            </w:r>
            <w:proofErr w:type="spellEnd"/>
            <w:r w:rsidRPr="007774D6">
              <w:rPr>
                <w:rFonts w:ascii="Verdana" w:hAnsi="Verdana"/>
                <w:lang w:eastAsia="lt-LT"/>
              </w:rPr>
              <w:t>), CNC lazerio pjovimo staklės, 3D spausdintuvai, mikroprocesoriai  arba kitos, joms prilygstančios.</w:t>
            </w:r>
          </w:p>
          <w:p w14:paraId="38C0DE7E" w14:textId="77777777" w:rsidR="007F4509" w:rsidRPr="007774D6" w:rsidRDefault="007F4509" w:rsidP="00473E37">
            <w:pPr>
              <w:jc w:val="both"/>
              <w:rPr>
                <w:rFonts w:ascii="Verdana" w:hAnsi="Verdana"/>
              </w:rPr>
            </w:pPr>
            <w:r w:rsidRPr="007774D6">
              <w:rPr>
                <w:rFonts w:ascii="Verdana" w:hAnsi="Verdana"/>
              </w:rPr>
              <w:t>Mokymai turi būti orientuoti į tai, kaip skaitmeninės ir techninės įrangos priemonės gali būti integruotos į pamokų turinį, kokie rezultatai gali būti pasiekiami. Mokymų metu dalyviams turi būti sudarytos sąlygos praktiškai išbandyti skaitmeninę ir techninę įrangą bei atlikti užduotis. Mokymų programa turi atitikti Universalaus dizaino mokymo(-</w:t>
            </w:r>
            <w:proofErr w:type="spellStart"/>
            <w:r w:rsidRPr="007774D6">
              <w:rPr>
                <w:rFonts w:ascii="Verdana" w:hAnsi="Verdana"/>
              </w:rPr>
              <w:t>si</w:t>
            </w:r>
            <w:proofErr w:type="spellEnd"/>
            <w:r w:rsidRPr="007774D6">
              <w:rPr>
                <w:rFonts w:ascii="Verdana" w:hAnsi="Verdana"/>
              </w:rPr>
              <w:t>) gaires ir turi būti pritaikyta taip, kad mokytojai galėtų dirbti su mokiniais, turinčiais individualių ugdymo(-</w:t>
            </w:r>
            <w:proofErr w:type="spellStart"/>
            <w:r w:rsidRPr="007774D6">
              <w:rPr>
                <w:rFonts w:ascii="Verdana" w:hAnsi="Verdana"/>
              </w:rPr>
              <w:t>si</w:t>
            </w:r>
            <w:proofErr w:type="spellEnd"/>
            <w:r w:rsidRPr="007774D6">
              <w:rPr>
                <w:rFonts w:ascii="Verdana" w:hAnsi="Verdana"/>
              </w:rPr>
              <w:t>) poreikių.  Programoje turi būti nurodytas programai rengti naudotas informacinių šaltinių sąrašas, aprašytos naudojamos mokymo(-</w:t>
            </w:r>
            <w:proofErr w:type="spellStart"/>
            <w:r w:rsidRPr="007774D6">
              <w:rPr>
                <w:rFonts w:ascii="Verdana" w:hAnsi="Verdana"/>
              </w:rPr>
              <w:t>si</w:t>
            </w:r>
            <w:proofErr w:type="spellEnd"/>
            <w:r w:rsidRPr="007774D6">
              <w:rPr>
                <w:rFonts w:ascii="Verdana" w:hAnsi="Verdana"/>
              </w:rPr>
              <w:t>) priemonės. Programai realizuoti naudojama mokomoji medžiaga ir numatyta (aprašyta) dalinamoji medžiaga. Mokymų medžiaga turi būti orientuota į techninės ir programinės įrangos naudojimo praktinių įgūdžių lavinimą ir gebėjimų perteikti šias žinias mokiniams ugdymą.</w:t>
            </w:r>
          </w:p>
          <w:p w14:paraId="5A244AAF" w14:textId="77777777" w:rsidR="007F4509" w:rsidRPr="007774D6" w:rsidRDefault="007F4509" w:rsidP="00473E37">
            <w:pPr>
              <w:jc w:val="both"/>
              <w:rPr>
                <w:rFonts w:ascii="Verdana" w:hAnsi="Verdana"/>
              </w:rPr>
            </w:pPr>
            <w:r w:rsidRPr="007774D6">
              <w:rPr>
                <w:rFonts w:ascii="Verdana" w:hAnsi="Verdana"/>
              </w:rPr>
              <w:t xml:space="preserve">Mokymų pobūdis – praktinis. Pasibaigus mokymams vykdomos praktinės veiklos mokyklose mokymų medžiagai įtvirtinti. Kiekvienos grupės dalyviai stebi ir/ar įsitraukia į praktines veiklas. Praktinės veiklos su mokiniais planuojamos atsižvelgiant į mokyklų turimą įrangą ir priemones. Praktinių veiklų metu demonstruojamas priemonių pritaikymas ir jų galimybių išnaudojimas pamokoje dirbant su mokiniais.  Praktinių veiklų temas 1-12 kl. siūlo Paslaugos teikėjas. Praktinių veiklų temos iš anksto turi būti suderintos su Užsakovu ir įtrauktos į praktinių veiklų grafiką. </w:t>
            </w:r>
          </w:p>
          <w:p w14:paraId="3D521449" w14:textId="77777777" w:rsidR="007F4509" w:rsidRPr="007774D6" w:rsidRDefault="007F4509" w:rsidP="00473E37">
            <w:pPr>
              <w:jc w:val="both"/>
              <w:rPr>
                <w:rFonts w:ascii="Verdana" w:hAnsi="Verdana"/>
              </w:rPr>
            </w:pPr>
            <w:r w:rsidRPr="00FF68CD">
              <w:rPr>
                <w:rFonts w:ascii="Verdana" w:hAnsi="Verdana"/>
              </w:rPr>
              <w:t>Dalyviams, išklausiusiems ne mažiau kaip 67 proc. mokymų, suteikiami tai liudijantys skaitmeniniai pažymėjimai. Pažymėjimo</w:t>
            </w:r>
            <w:r w:rsidRPr="007774D6">
              <w:rPr>
                <w:rFonts w:ascii="Verdana" w:hAnsi="Verdana"/>
              </w:rPr>
              <w:t xml:space="preserve"> turinys ir forma turi būti suderinta su Užsakovu, pažymėjime nurodoma, kokias mokymų temas ir kiek valandų dalyvis išklausė, atliko praktines veiklas. Pažymėjimo dizainas yra Paslaugos teikėjo atsakomybė, ant pažymėjimo privalo būti naudojama: „Finansuoja Europos Sąjunga. </w:t>
            </w:r>
            <w:proofErr w:type="spellStart"/>
            <w:r w:rsidRPr="007774D6">
              <w:rPr>
                <w:rFonts w:ascii="Verdana" w:hAnsi="Verdana"/>
              </w:rPr>
              <w:t>NextGenerationEU</w:t>
            </w:r>
            <w:proofErr w:type="spellEnd"/>
            <w:r w:rsidRPr="007774D6">
              <w:rPr>
                <w:rFonts w:ascii="Verdana" w:hAnsi="Verdana"/>
              </w:rPr>
              <w:t>“ logotipas, „Naujos kartos Lietuva“ logotipas.</w:t>
            </w:r>
            <w:r w:rsidRPr="007774D6">
              <w:rPr>
                <w:rFonts w:ascii="Verdana" w:hAnsi="Verdana"/>
                <w:u w:val="single"/>
              </w:rPr>
              <w:t xml:space="preserve"> </w:t>
            </w:r>
            <w:r w:rsidRPr="007774D6">
              <w:rPr>
                <w:rFonts w:ascii="Verdana" w:hAnsi="Verdana"/>
              </w:rPr>
              <w:t xml:space="preserve">Teikėjas skaitmeninius pažymėjimus dalyviams turi išsiųsti elektroniniu paštu ne vėliau kaip per 10 dienų po mokymų baigimo. </w:t>
            </w:r>
          </w:p>
          <w:p w14:paraId="10E0FFE7" w14:textId="77777777" w:rsidR="007F4509" w:rsidRPr="007774D6" w:rsidRDefault="007F4509" w:rsidP="00473E37">
            <w:pPr>
              <w:jc w:val="both"/>
              <w:rPr>
                <w:rFonts w:ascii="Verdana" w:hAnsi="Verdana"/>
              </w:rPr>
            </w:pPr>
            <w:r w:rsidRPr="007774D6">
              <w:rPr>
                <w:rFonts w:ascii="Verdana" w:hAnsi="Verdana"/>
              </w:rPr>
              <w:t xml:space="preserve">Teikėjas turi paskirti asmenį (Projekto vadovą), atsakingą už mokymų organizavimą visą sutarties galiojimo laikotarpį, į kurį Užsakovas galėtų kreiptis dėl teikiamų paslaugų ir (arba) mokymų metu iškilusių problemų. Atsakingas asmuo (Projekto vadovas) turi bendradarbiauti ir dalyvauti Užsakovo pagal poreikį rengiamuose susitikimuose, kuriuose svarstomi ir derinami įvairūs paslaugų teikimo klausimai. Susitikimai vykdomi Užsakovo nurodytoje vietoje arba nuotoliniu būdu, jų laikas derinamas su teikėju likus ne mažiau kaip 5 darbo dienoms iki planuojamo susitikimo pradžios. Mokymų ir praktinių veiklų grafikas suderinamas ne vėliau kaip per 20 darbo dienų nuo sutarties pasirašymo dienos. Sutarties vykdymo metu mokymų ir praktinių veiklų grafikas gali būti tikslinamas šalių susitarimu arba Užsakovo iniciatyva. </w:t>
            </w:r>
          </w:p>
          <w:p w14:paraId="22C5EA0E" w14:textId="77777777" w:rsidR="007F4509" w:rsidRPr="007774D6" w:rsidRDefault="007F4509" w:rsidP="00473E37">
            <w:pPr>
              <w:jc w:val="both"/>
              <w:rPr>
                <w:rFonts w:ascii="Verdana" w:hAnsi="Verdana"/>
              </w:rPr>
            </w:pPr>
            <w:r w:rsidRPr="007774D6">
              <w:rPr>
                <w:rFonts w:ascii="Verdana" w:hAnsi="Verdana"/>
              </w:rPr>
              <w:t xml:space="preserve">Pasikeitus pateikto mokymų ir praktinių veiklų grafiko informacijai, visais atvejais apie pakeitimus Užsakovas turi būti informuota ne vėliau kaip prieš 5 </w:t>
            </w:r>
            <w:r w:rsidRPr="007774D6">
              <w:rPr>
                <w:rFonts w:ascii="Verdana" w:hAnsi="Verdana"/>
              </w:rPr>
              <w:lastRenderedPageBreak/>
              <w:t xml:space="preserve">(penkias) darbo dienas iki planuotų mokymų pradžios, pateikiant Užsakovui patikslintą mokymų grafiką. Mokymų grafiko nepateikimas ir nesuderinimas nustatyta tvarka arba grafiko nesilaikymas yra esminis Sutarties pažeidimas. </w:t>
            </w:r>
          </w:p>
          <w:p w14:paraId="1DB0EA36" w14:textId="77777777" w:rsidR="007F4509" w:rsidRPr="007774D6" w:rsidRDefault="007F4509" w:rsidP="00473E37">
            <w:pPr>
              <w:jc w:val="both"/>
              <w:rPr>
                <w:rFonts w:ascii="Verdana" w:hAnsi="Verdana"/>
              </w:rPr>
            </w:pPr>
            <w:r w:rsidRPr="007774D6">
              <w:rPr>
                <w:rFonts w:ascii="Verdana" w:hAnsi="Verdana"/>
              </w:rPr>
              <w:t xml:space="preserve">Paslaugos teikėjas parengia ir siunčia kvietimus į mokymus ir praktines veiklas bei užtikrina ryšio palaikymą su tiksline grupe. Paslaugos teikėjas pasirūpina mokymų vieta, kurioje būtų programai įvykdyti numatytos priemonės ir įranga. Mokymai turi vykti Marijampolės mieste, kad TŪM mokyklų mokytojams būtų patogus atvykimas į mokymų vietą. Paslaugų teikėjas turi užtikrinti, kad mokymų metu dalyviai patys galėtų išbandyti techniką/priemones ir atlikti užduotis praktiškai, t. y. atsižvelgiant į mokymų dalyvių skaičių parūpinti atitinkamą įrangos/priemonių kiekį mokymų dalyviams: kompiuterizuotas darbo vietas su mokymams skirta programine įranga, CNC lazerinio pjovimo stakles, </w:t>
            </w:r>
            <w:proofErr w:type="spellStart"/>
            <w:r w:rsidRPr="007774D6">
              <w:rPr>
                <w:rFonts w:ascii="Verdana" w:hAnsi="Verdana"/>
              </w:rPr>
              <w:t>ploterį</w:t>
            </w:r>
            <w:proofErr w:type="spellEnd"/>
            <w:r w:rsidRPr="007774D6">
              <w:rPr>
                <w:rFonts w:ascii="Verdana" w:hAnsi="Verdana"/>
              </w:rPr>
              <w:t xml:space="preserve"> (plataus formato spausdintuvą) ir kt.</w:t>
            </w:r>
          </w:p>
          <w:p w14:paraId="2715EC44" w14:textId="77777777" w:rsidR="007F4509" w:rsidRPr="007774D6" w:rsidRDefault="007F4509" w:rsidP="00473E37">
            <w:pPr>
              <w:jc w:val="both"/>
              <w:rPr>
                <w:rFonts w:ascii="Verdana" w:hAnsi="Verdana"/>
              </w:rPr>
            </w:pPr>
            <w:r w:rsidRPr="007774D6">
              <w:rPr>
                <w:rFonts w:ascii="Verdana" w:hAnsi="Verdana"/>
              </w:rPr>
              <w:t xml:space="preserve">Į paslaugos kainą turi būti įskaičiuotos visos su paslaugų teikimu susijusios išlaidos, įskaitant lektorių kelionės, </w:t>
            </w:r>
            <w:proofErr w:type="spellStart"/>
            <w:r w:rsidRPr="007774D6">
              <w:rPr>
                <w:rFonts w:ascii="Verdana" w:hAnsi="Verdana"/>
              </w:rPr>
              <w:t>dalomosios</w:t>
            </w:r>
            <w:proofErr w:type="spellEnd"/>
            <w:r w:rsidRPr="007774D6">
              <w:rPr>
                <w:rFonts w:ascii="Verdana" w:hAnsi="Verdana"/>
              </w:rPr>
              <w:t xml:space="preserve"> medžiagos parengimo, patalpų ir įrangos nuomos, išskyrus tikslinės dalyvių grupės kelionės išlaidas.  Kavos pertraukų organizavimu (15 min. 1 pertrauka) ir dalyvių maitinimu (60 min. viena pietų pertrauka su maitinimu) taip pat rūpinasi Paslaugų teikėjas (teikiant pasiūlymus teikėjai į pasiūlymo kainą įtraukia šias išlaidas prie mokymų organizavimo sąnaudų). Paslaugų teikėjas turi užtikrinti, kad maitinimo paslaugos būtų pritaikytos įvairių mitybos įpročių turintiems mokymų dalyviams ir atitiktų LT higienos normą </w:t>
            </w:r>
            <w:r w:rsidRPr="007774D6">
              <w:rPr>
                <w:rFonts w:ascii="Verdana" w:hAnsi="Verdana"/>
                <w:color w:val="000000"/>
              </w:rPr>
              <w:t>HN15:2021 „Maisto higiena“ patvirtintą Lietuvos Respublikos sveikatos apsaugos ministro 2005 m. rugsėjo 1 d. įsakymu n. V-675. Pertraukų laikas ir maitinimo vieta numatomi su Paslaugų gavėju suderintose mokymų darbotvarkėse.</w:t>
            </w:r>
            <w:r w:rsidRPr="007774D6">
              <w:rPr>
                <w:rFonts w:ascii="Verdana" w:hAnsi="Verdana"/>
              </w:rPr>
              <w:t xml:space="preserve"> Paslaugų teikėjas fiksuoja dalyvių lankomumą (pagal Užsakovo pateiktą formą) kiekvieną mokymų dieną. </w:t>
            </w:r>
          </w:p>
          <w:p w14:paraId="0F15AD98" w14:textId="77777777" w:rsidR="007F4509" w:rsidRPr="007774D6" w:rsidRDefault="007F4509" w:rsidP="00473E37">
            <w:pPr>
              <w:jc w:val="both"/>
              <w:rPr>
                <w:rFonts w:ascii="Verdana" w:hAnsi="Verdana"/>
              </w:rPr>
            </w:pPr>
            <w:r w:rsidRPr="007774D6">
              <w:rPr>
                <w:rFonts w:ascii="Verdana" w:hAnsi="Verdana"/>
              </w:rPr>
              <w:t>Pasibaigus mokymams Paslaugų teikėjas atlieka mokymų vertinimo apklausą pagal su Užsakovu suderintą formą. Teikėjas privalo nediskriminuoti asmenų dėl tautybės, rasės, lyties, kilmės, negalios, socialinės padėties, kalbos, tikėjimo, įsitikinimų, pažiūrų ar kitų panašių pagrindų.</w:t>
            </w:r>
          </w:p>
          <w:p w14:paraId="4DB15F3C" w14:textId="77777777" w:rsidR="007F4509" w:rsidRPr="007774D6" w:rsidRDefault="007F4509" w:rsidP="00473E37">
            <w:pPr>
              <w:jc w:val="both"/>
              <w:rPr>
                <w:rFonts w:ascii="Verdana" w:hAnsi="Verdana"/>
              </w:rPr>
            </w:pPr>
            <w:r w:rsidRPr="007774D6">
              <w:rPr>
                <w:rFonts w:ascii="Verdana" w:hAnsi="Verdana"/>
              </w:rPr>
              <w:t>Paslaugos turi būti teikiamos kokybiškai ir laiku, vadovaujantis pirkimo dokumentuose aprašytais reikalavimais ir atsižvelgiant į teisės aktus bei kitus normatyvinius dokumentus, reglamentuojančius Vidurinį ugdymą.</w:t>
            </w:r>
          </w:p>
          <w:p w14:paraId="289F516C" w14:textId="77777777" w:rsidR="007F4509" w:rsidRPr="007774D6" w:rsidRDefault="007F4509" w:rsidP="00473E37">
            <w:pPr>
              <w:jc w:val="both"/>
              <w:rPr>
                <w:rFonts w:ascii="Verdana" w:hAnsi="Verdana"/>
              </w:rPr>
            </w:pPr>
            <w:r w:rsidRPr="007774D6">
              <w:rPr>
                <w:rFonts w:ascii="Verdana" w:hAnsi="Verdana"/>
              </w:rPr>
              <w:t>Ne vėliau kaip likus 2 savaitėms iki mokymų pradžios, Paslaugų teikėjas turi organizuoti susitikimą su lektoriais ir Užsakovu, kurio metu būtų aptarta: mokymų grafikas, mokymų medžiaga, vertinimo anketa ir kiti aktualūs mokymams klausimai. Užsakovo motyvuotu prašymu mokymų eigoje lektoriai gali būti keičiami. Tokią galimybę turi ir Paslaugų teikėjas, parenkantis ne žemesnės kvalifikacijos lektorių.</w:t>
            </w:r>
          </w:p>
        </w:tc>
      </w:tr>
      <w:tr w:rsidR="007F4509" w:rsidRPr="007774D6" w14:paraId="62C7CFD8" w14:textId="77777777" w:rsidTr="00473E37">
        <w:trPr>
          <w:cantSplit/>
          <w:trHeight w:val="624"/>
        </w:trPr>
        <w:tc>
          <w:tcPr>
            <w:tcW w:w="9606" w:type="dxa"/>
            <w:shd w:val="clear" w:color="auto" w:fill="D9D9D9" w:themeFill="background1" w:themeFillShade="D9"/>
            <w:vAlign w:val="center"/>
          </w:tcPr>
          <w:p w14:paraId="33A52D4E" w14:textId="77777777" w:rsidR="007F4509" w:rsidRPr="007774D6" w:rsidRDefault="007F4509" w:rsidP="00473E37">
            <w:pPr>
              <w:jc w:val="both"/>
              <w:rPr>
                <w:rFonts w:ascii="Verdana" w:hAnsi="Verdana"/>
              </w:rPr>
            </w:pPr>
            <w:r w:rsidRPr="007774D6">
              <w:rPr>
                <w:rFonts w:ascii="Verdana" w:hAnsi="Verdana"/>
                <w:color w:val="000000"/>
              </w:rPr>
              <w:lastRenderedPageBreak/>
              <w:t>Pirkimo objekto k</w:t>
            </w:r>
            <w:r w:rsidRPr="007774D6">
              <w:rPr>
                <w:rFonts w:ascii="Verdana" w:hAnsi="Verdana"/>
              </w:rPr>
              <w:t xml:space="preserve">iekis ar apimtys </w:t>
            </w:r>
            <w:r w:rsidRPr="007774D6">
              <w:rPr>
                <w:rFonts w:ascii="Verdana" w:hAnsi="Verdana"/>
                <w:i/>
              </w:rPr>
              <w:t>(atsižvelgiant į visą pirkimo sutarties trukmę su galimais pratęsimais)</w:t>
            </w:r>
          </w:p>
        </w:tc>
      </w:tr>
      <w:tr w:rsidR="007F4509" w:rsidRPr="007774D6" w14:paraId="6306DC81" w14:textId="77777777" w:rsidTr="00473E37">
        <w:trPr>
          <w:cantSplit/>
          <w:trHeight w:val="345"/>
        </w:trPr>
        <w:tc>
          <w:tcPr>
            <w:tcW w:w="9606" w:type="dxa"/>
          </w:tcPr>
          <w:p w14:paraId="267D7F64" w14:textId="77777777" w:rsidR="007F4509" w:rsidRPr="00FF68CD" w:rsidRDefault="007F4509" w:rsidP="00473E37">
            <w:pPr>
              <w:jc w:val="both"/>
              <w:rPr>
                <w:rFonts w:ascii="Verdana" w:hAnsi="Verdana"/>
                <w:lang w:eastAsia="lt-LT"/>
              </w:rPr>
            </w:pPr>
            <w:r w:rsidRPr="007774D6">
              <w:rPr>
                <w:rFonts w:ascii="Verdana" w:hAnsi="Verdana"/>
                <w:lang w:eastAsia="lt-LT"/>
              </w:rPr>
              <w:lastRenderedPageBreak/>
              <w:t xml:space="preserve">Mokymai </w:t>
            </w:r>
            <w:r w:rsidRPr="00FF68CD">
              <w:rPr>
                <w:rFonts w:ascii="Verdana" w:hAnsi="Verdana"/>
                <w:lang w:eastAsia="lt-LT"/>
              </w:rPr>
              <w:t>organizuojami 4 grupėms po 60 akademinių val. kiekvienai grupei (viso 240 akademinių val.) ir praktinės veiklos TŪM mokyklose:</w:t>
            </w:r>
          </w:p>
          <w:p w14:paraId="378CE4B6" w14:textId="77777777" w:rsidR="007F4509" w:rsidRPr="00FF68CD" w:rsidRDefault="007F4509" w:rsidP="00473E37">
            <w:pPr>
              <w:jc w:val="both"/>
              <w:rPr>
                <w:rFonts w:ascii="Verdana" w:hAnsi="Verdana"/>
                <w:lang w:eastAsia="lt-LT"/>
              </w:rPr>
            </w:pPr>
            <w:r w:rsidRPr="00FF68CD">
              <w:rPr>
                <w:rFonts w:ascii="Verdana" w:hAnsi="Verdana"/>
                <w:lang w:eastAsia="lt-LT"/>
              </w:rPr>
              <w:t>1 grupė iki 20 asmenų (bet ne mažiau kaip 15) – TŪM mokyklų 1-2 klasių mokytojai, 60 akad. val.: 6 kontaktiniai užsiėmimai po 7 akad. val. ir 18 akad. val. savarankiški darbai.</w:t>
            </w:r>
          </w:p>
          <w:p w14:paraId="332EFB9A" w14:textId="77777777" w:rsidR="007F4509" w:rsidRPr="00FF68CD" w:rsidRDefault="007F4509" w:rsidP="00473E37">
            <w:pPr>
              <w:jc w:val="both"/>
              <w:rPr>
                <w:rFonts w:ascii="Verdana" w:hAnsi="Verdana"/>
                <w:lang w:eastAsia="lt-LT"/>
              </w:rPr>
            </w:pPr>
            <w:r w:rsidRPr="00FF68CD">
              <w:rPr>
                <w:rFonts w:ascii="Verdana" w:hAnsi="Verdana"/>
                <w:lang w:eastAsia="lt-LT"/>
              </w:rPr>
              <w:t>2 grupė iki 20 asmenų (bet ne mažiau kaip 15) – TŪM mokyklų 3-4 klasių mokytojai, 60 akad. val.: 6 kontaktiniai užsiėmimai po 7 akad. val. ir 18 akad. val. savarankiški darbai.</w:t>
            </w:r>
          </w:p>
          <w:p w14:paraId="2C77027C" w14:textId="77777777" w:rsidR="007F4509" w:rsidRPr="00FF68CD" w:rsidRDefault="007F4509" w:rsidP="00473E37">
            <w:pPr>
              <w:jc w:val="both"/>
              <w:rPr>
                <w:rFonts w:ascii="Verdana" w:hAnsi="Verdana"/>
                <w:lang w:eastAsia="lt-LT"/>
              </w:rPr>
            </w:pPr>
            <w:r w:rsidRPr="00FF68CD">
              <w:rPr>
                <w:rFonts w:ascii="Verdana" w:hAnsi="Verdana"/>
                <w:lang w:eastAsia="lt-LT"/>
              </w:rPr>
              <w:t>3 grupė iki 20 asmenų (bet ne mažiau kaip 15) – TŪM mokyklų 5-8 klasių mokytojai, 60 akad. val.: 6 kontaktiniai užsiėmimai po 7 akad. val. ir 18 akad. val. savarankiški darbai.</w:t>
            </w:r>
          </w:p>
          <w:p w14:paraId="6CA72A15" w14:textId="77777777" w:rsidR="007F4509" w:rsidRPr="00FF68CD" w:rsidRDefault="007F4509" w:rsidP="00473E37">
            <w:pPr>
              <w:jc w:val="both"/>
              <w:rPr>
                <w:rFonts w:ascii="Verdana" w:hAnsi="Verdana"/>
                <w:lang w:eastAsia="lt-LT"/>
              </w:rPr>
            </w:pPr>
            <w:r w:rsidRPr="00FF68CD">
              <w:rPr>
                <w:rFonts w:ascii="Verdana" w:hAnsi="Verdana"/>
                <w:lang w:eastAsia="lt-LT"/>
              </w:rPr>
              <w:t>4 grupė iki 20 asmenų (bet ne mažiau kaip 15)  – TŪM mokyklų 9-12 klasių mokytojai, 60 akad. val.: 6 kontaktiniai užsiėmimai po 7 akad. val. ir 18 akad. val. savarankiški darbai.</w:t>
            </w:r>
          </w:p>
          <w:p w14:paraId="64065C11" w14:textId="77777777" w:rsidR="007F4509" w:rsidRPr="007774D6" w:rsidRDefault="007F4509" w:rsidP="00473E37">
            <w:pPr>
              <w:jc w:val="both"/>
              <w:rPr>
                <w:rFonts w:ascii="Verdana" w:hAnsi="Verdana"/>
                <w:lang w:eastAsia="lt-LT"/>
              </w:rPr>
            </w:pPr>
            <w:r w:rsidRPr="00FF68CD">
              <w:rPr>
                <w:rFonts w:ascii="Verdana" w:hAnsi="Verdana"/>
                <w:lang w:eastAsia="lt-LT"/>
              </w:rPr>
              <w:t>10 praktinių veiklų TŪM mokyklose. Vienos veiklos trukmė ne trumpesnė nei 2 ak. val.</w:t>
            </w:r>
          </w:p>
        </w:tc>
      </w:tr>
      <w:tr w:rsidR="007F4509" w:rsidRPr="007774D6" w14:paraId="32BA4EB5" w14:textId="77777777" w:rsidTr="00473E37">
        <w:trPr>
          <w:cantSplit/>
          <w:trHeight w:val="397"/>
        </w:trPr>
        <w:tc>
          <w:tcPr>
            <w:tcW w:w="9606" w:type="dxa"/>
            <w:shd w:val="clear" w:color="auto" w:fill="D9D9D9" w:themeFill="background1" w:themeFillShade="D9"/>
            <w:vAlign w:val="center"/>
          </w:tcPr>
          <w:p w14:paraId="19462306" w14:textId="77777777" w:rsidR="007F4509" w:rsidRPr="007774D6" w:rsidRDefault="007F4509" w:rsidP="00473E37">
            <w:pPr>
              <w:jc w:val="both"/>
              <w:rPr>
                <w:rFonts w:ascii="Verdana" w:hAnsi="Verdana"/>
              </w:rPr>
            </w:pPr>
            <w:r w:rsidRPr="007774D6">
              <w:rPr>
                <w:rFonts w:ascii="Verdana" w:hAnsi="Verdana"/>
              </w:rPr>
              <w:t>Prekių pristatymo, paslaugų suteikimo ar darbų atlikimo terminai</w:t>
            </w:r>
          </w:p>
        </w:tc>
      </w:tr>
      <w:tr w:rsidR="007F4509" w:rsidRPr="007774D6" w14:paraId="7D8DE068" w14:textId="77777777" w:rsidTr="00473E37">
        <w:trPr>
          <w:cantSplit/>
          <w:trHeight w:val="345"/>
        </w:trPr>
        <w:tc>
          <w:tcPr>
            <w:tcW w:w="9606" w:type="dxa"/>
          </w:tcPr>
          <w:p w14:paraId="306A5211" w14:textId="77777777" w:rsidR="007F4509" w:rsidRPr="00FF68CD" w:rsidRDefault="007F4509" w:rsidP="00473E37">
            <w:pPr>
              <w:jc w:val="both"/>
              <w:rPr>
                <w:rFonts w:ascii="Verdana" w:hAnsi="Verdana"/>
                <w:lang w:eastAsia="lt-LT"/>
              </w:rPr>
            </w:pPr>
            <w:r w:rsidRPr="007774D6">
              <w:rPr>
                <w:rFonts w:ascii="Verdana" w:hAnsi="Verdana"/>
                <w:lang w:eastAsia="lt-LT"/>
              </w:rPr>
              <w:t>Paslaugų vykdymo laikotarpis</w:t>
            </w:r>
            <w:r w:rsidRPr="00FF68CD">
              <w:rPr>
                <w:rFonts w:ascii="Verdana" w:hAnsi="Verdana"/>
                <w:lang w:eastAsia="lt-LT"/>
              </w:rPr>
              <w:t>: 2024 m. gruodžio 1 d. –  2026 m. balandžio 30 d. pagal iš anksto suderintą grafiką su Užsakovu ir/ar nurodytu kontaktiniu asmeniu.</w:t>
            </w:r>
          </w:p>
          <w:p w14:paraId="79DB279F" w14:textId="77777777" w:rsidR="007F4509" w:rsidRPr="007774D6" w:rsidRDefault="007F4509" w:rsidP="00473E37">
            <w:pPr>
              <w:jc w:val="both"/>
              <w:rPr>
                <w:rFonts w:ascii="Verdana" w:hAnsi="Verdana"/>
                <w:lang w:eastAsia="lt-LT"/>
              </w:rPr>
            </w:pPr>
            <w:r w:rsidRPr="00FF68CD">
              <w:rPr>
                <w:rFonts w:ascii="Verdana" w:hAnsi="Verdana"/>
                <w:lang w:eastAsia="lt-LT"/>
              </w:rPr>
              <w:t>Mokymai pagal akredituotą programą</w:t>
            </w:r>
            <w:r w:rsidRPr="007774D6">
              <w:rPr>
                <w:rFonts w:ascii="Verdana" w:hAnsi="Verdana"/>
                <w:lang w:eastAsia="lt-LT"/>
              </w:rPr>
              <w:t xml:space="preserve"> prasideda 2024 m. gruodžio mėn. arba ne vėliau kaip po mėnesio nuo sutarties įsigaliojimo datos.</w:t>
            </w:r>
          </w:p>
          <w:p w14:paraId="678BE99B" w14:textId="77777777" w:rsidR="007F4509" w:rsidRPr="007774D6" w:rsidRDefault="007F4509" w:rsidP="00473E37">
            <w:pPr>
              <w:jc w:val="both"/>
              <w:rPr>
                <w:rFonts w:ascii="Verdana" w:hAnsi="Verdana"/>
                <w:lang w:eastAsia="lt-LT"/>
              </w:rPr>
            </w:pPr>
            <w:r w:rsidRPr="007774D6">
              <w:rPr>
                <w:rFonts w:ascii="Verdana" w:hAnsi="Verdana"/>
                <w:lang w:eastAsia="lt-LT"/>
              </w:rPr>
              <w:t xml:space="preserve">Praktinės veiklos mokyklose vyksta 2025 m. II, III ir IV </w:t>
            </w:r>
            <w:proofErr w:type="spellStart"/>
            <w:r w:rsidRPr="007774D6">
              <w:rPr>
                <w:rFonts w:ascii="Verdana" w:hAnsi="Verdana"/>
                <w:lang w:eastAsia="lt-LT"/>
              </w:rPr>
              <w:t>ketv</w:t>
            </w:r>
            <w:proofErr w:type="spellEnd"/>
            <w:r w:rsidRPr="007774D6">
              <w:rPr>
                <w:rFonts w:ascii="Verdana" w:hAnsi="Verdana"/>
                <w:lang w:eastAsia="lt-LT"/>
              </w:rPr>
              <w:t xml:space="preserve">., 2026 m. I ir II </w:t>
            </w:r>
            <w:proofErr w:type="spellStart"/>
            <w:r w:rsidRPr="007774D6">
              <w:rPr>
                <w:rFonts w:ascii="Verdana" w:hAnsi="Verdana"/>
                <w:lang w:eastAsia="lt-LT"/>
              </w:rPr>
              <w:t>ketv</w:t>
            </w:r>
            <w:proofErr w:type="spellEnd"/>
            <w:r w:rsidRPr="007774D6">
              <w:rPr>
                <w:rFonts w:ascii="Verdana" w:hAnsi="Verdana"/>
                <w:lang w:eastAsia="lt-LT"/>
              </w:rPr>
              <w:t xml:space="preserve">.  – ne mažiau kaip po vieną veiklą dviejose TŪM mokyklose per vieną ketvirtį (iš viso: 10 veiklų). </w:t>
            </w:r>
          </w:p>
        </w:tc>
      </w:tr>
      <w:tr w:rsidR="007F4509" w:rsidRPr="007774D6" w14:paraId="2546B892" w14:textId="77777777" w:rsidTr="00473E37">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6F4B6" w14:textId="77777777" w:rsidR="007F4509" w:rsidRPr="007774D6" w:rsidRDefault="007F4509" w:rsidP="00473E37">
            <w:pPr>
              <w:jc w:val="both"/>
              <w:rPr>
                <w:rFonts w:ascii="Verdana" w:hAnsi="Verdana"/>
                <w:i/>
                <w:iCs/>
              </w:rPr>
            </w:pPr>
            <w:r w:rsidRPr="007774D6">
              <w:rPr>
                <w:rFonts w:ascii="Verdana" w:hAnsi="Verdana"/>
              </w:rPr>
              <w:t>Papildoma informacija</w:t>
            </w:r>
          </w:p>
        </w:tc>
      </w:tr>
      <w:tr w:rsidR="007F4509" w:rsidRPr="007774D6" w14:paraId="0991FCA2" w14:textId="77777777" w:rsidTr="00473E37">
        <w:trPr>
          <w:cantSplit/>
          <w:trHeight w:val="380"/>
        </w:trPr>
        <w:tc>
          <w:tcPr>
            <w:tcW w:w="9606" w:type="dxa"/>
            <w:tcBorders>
              <w:bottom w:val="single" w:sz="4" w:space="0" w:color="auto"/>
              <w:right w:val="single" w:sz="4" w:space="0" w:color="auto"/>
            </w:tcBorders>
            <w:vAlign w:val="center"/>
          </w:tcPr>
          <w:p w14:paraId="25237356" w14:textId="77777777" w:rsidR="007F4509" w:rsidRPr="007774D6" w:rsidRDefault="007F4509" w:rsidP="00473E37">
            <w:pPr>
              <w:jc w:val="both"/>
              <w:rPr>
                <w:rFonts w:ascii="Verdana" w:hAnsi="Verdana"/>
                <w:lang w:eastAsia="lt-LT"/>
              </w:rPr>
            </w:pPr>
            <w:r w:rsidRPr="007774D6">
              <w:rPr>
                <w:rFonts w:ascii="Verdana" w:hAnsi="Verdana"/>
                <w:lang w:eastAsia="lt-LT"/>
              </w:rPr>
              <w:t>Paslaugos teikėjas patvirtina, kad profesinio tobulėjimo programa atitinka horizontaliųjų  principų reikalavimus:</w:t>
            </w:r>
          </w:p>
          <w:p w14:paraId="5C0C69DB" w14:textId="77777777" w:rsidR="007F4509" w:rsidRPr="007774D6" w:rsidRDefault="007F4509" w:rsidP="00473E37">
            <w:pPr>
              <w:jc w:val="both"/>
              <w:rPr>
                <w:rFonts w:ascii="Verdana" w:hAnsi="Verdana"/>
                <w:lang w:eastAsia="lt-LT"/>
              </w:rPr>
            </w:pPr>
            <w:r w:rsidRPr="007774D6">
              <w:rPr>
                <w:rFonts w:ascii="Verdana" w:hAnsi="Verdana"/>
                <w:lang w:eastAsia="lt-LT"/>
              </w:rPr>
              <w:t>- programos turinyje nėra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p>
          <w:p w14:paraId="6345D890" w14:textId="77777777" w:rsidR="007F4509" w:rsidRPr="007774D6" w:rsidRDefault="007F4509" w:rsidP="00473E37">
            <w:pPr>
              <w:jc w:val="both"/>
              <w:rPr>
                <w:rFonts w:ascii="Verdana" w:hAnsi="Verdana"/>
                <w:lang w:eastAsia="lt-LT"/>
              </w:rPr>
            </w:pPr>
            <w:r w:rsidRPr="007774D6">
              <w:rPr>
                <w:rFonts w:ascii="Verdana" w:hAnsi="Verdana"/>
                <w:lang w:eastAsia="lt-LT"/>
              </w:rPr>
              <w:t>- perkamos paslaugos užtikrina horizontaliojo principo „Nedarome reikšmingos žalos” laikymąsi.</w:t>
            </w:r>
          </w:p>
        </w:tc>
      </w:tr>
    </w:tbl>
    <w:p w14:paraId="4095910B" w14:textId="77777777" w:rsidR="007F4509" w:rsidRDefault="007F4509" w:rsidP="007F4509">
      <w:pPr>
        <w:jc w:val="right"/>
        <w:rPr>
          <w:rFonts w:ascii="Verdana" w:hAnsi="Verdana"/>
        </w:rPr>
      </w:pPr>
    </w:p>
    <w:p w14:paraId="44EA23B2" w14:textId="77777777" w:rsidR="007F4509" w:rsidRDefault="007F4509" w:rsidP="007F4509">
      <w:pPr>
        <w:jc w:val="right"/>
        <w:rPr>
          <w:rFonts w:ascii="Verdana" w:hAnsi="Verdana"/>
        </w:rPr>
      </w:pPr>
    </w:p>
    <w:p w14:paraId="65682F31" w14:textId="77777777" w:rsidR="007F4509" w:rsidRDefault="007F4509" w:rsidP="007F4509">
      <w:pPr>
        <w:jc w:val="right"/>
        <w:rPr>
          <w:rFonts w:ascii="Verdana" w:hAnsi="Verdana"/>
        </w:rPr>
      </w:pPr>
    </w:p>
    <w:p w14:paraId="198B4983" w14:textId="77777777" w:rsidR="007F4509" w:rsidRDefault="007F4509"/>
    <w:sectPr w:rsidR="007F45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09"/>
    <w:rsid w:val="002C2164"/>
    <w:rsid w:val="007F4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833E"/>
  <w15:chartTrackingRefBased/>
  <w15:docId w15:val="{C6BEA936-87C0-4F8A-BC1D-6CDECF98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50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7F45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F45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F45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F450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F450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F450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F450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F450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F450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45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45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45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45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45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45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45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45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45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450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F45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45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F45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450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F4509"/>
    <w:rPr>
      <w:i/>
      <w:iCs/>
      <w:color w:val="404040" w:themeColor="text1" w:themeTint="BF"/>
    </w:rPr>
  </w:style>
  <w:style w:type="paragraph" w:styleId="Sraopastraipa">
    <w:name w:val="List Paragraph"/>
    <w:basedOn w:val="prastasis"/>
    <w:uiPriority w:val="34"/>
    <w:qFormat/>
    <w:rsid w:val="007F450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7F4509"/>
    <w:rPr>
      <w:i/>
      <w:iCs/>
      <w:color w:val="0F4761" w:themeColor="accent1" w:themeShade="BF"/>
    </w:rPr>
  </w:style>
  <w:style w:type="paragraph" w:styleId="Iskirtacitata">
    <w:name w:val="Intense Quote"/>
    <w:basedOn w:val="prastasis"/>
    <w:next w:val="prastasis"/>
    <w:link w:val="IskirtacitataDiagrama"/>
    <w:uiPriority w:val="30"/>
    <w:qFormat/>
    <w:rsid w:val="007F45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F4509"/>
    <w:rPr>
      <w:i/>
      <w:iCs/>
      <w:color w:val="0F4761" w:themeColor="accent1" w:themeShade="BF"/>
    </w:rPr>
  </w:style>
  <w:style w:type="character" w:styleId="Rykinuoroda">
    <w:name w:val="Intense Reference"/>
    <w:basedOn w:val="Numatytasispastraiposriftas"/>
    <w:uiPriority w:val="32"/>
    <w:qFormat/>
    <w:rsid w:val="007F4509"/>
    <w:rPr>
      <w:b/>
      <w:bCs/>
      <w:smallCaps/>
      <w:color w:val="0F4761" w:themeColor="accent1" w:themeShade="BF"/>
      <w:spacing w:val="5"/>
    </w:rPr>
  </w:style>
  <w:style w:type="paragraph" w:customStyle="1" w:styleId="Pagrindinistekstas1">
    <w:name w:val="Pagrindinis tekstas1"/>
    <w:link w:val="Bodytext"/>
    <w:qFormat/>
    <w:rsid w:val="007F4509"/>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7F4509"/>
    <w:rPr>
      <w:rFonts w:ascii="TimesLT" w:eastAsia="Times New Roman" w:hAnsi="TimesLT"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b589cd082b511ecbd43a994b3e2e1cb" TargetMode="External"/><Relationship Id="rId13" Type="http://schemas.openxmlformats.org/officeDocument/2006/relationships/hyperlink" Target="https://www.aikos.smm.lt/Registrai/Kvalifikacijos-tobulinimo-programos/SitePages/Pagrindinis.aspx?ss=3cf63d8a-487d-4949-a8d3-d873203e035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aikos.smm.lt/Registrai/Kvalifikacijos-tobulinimo-programos/SitePages/Pagrindinis.aspx?ss=ad7c053e-5146-4535-a450-d75cefb52f9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ikos.smm.lt/Registrai/Kvalifikacijos-tobulinimo-programos/SitePages/Pagrindinis.aspx?ss=3cf63d8a-487d-4949-a8d3-d873203e0358"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e-tar.lt/portal/lt/legalAct/9b589cd082b511ecbd43a994b3e2e1cb" TargetMode="External"/><Relationship Id="rId5" Type="http://schemas.openxmlformats.org/officeDocument/2006/relationships/image" Target="media/image2.png"/><Relationship Id="rId15" Type="http://schemas.openxmlformats.org/officeDocument/2006/relationships/hyperlink" Target="https://www.aikos.smm.lt/Registrai/Kvalifikacijos-tobulinimo-programos/SitePages/Pagrindinis.aspx?ss=3cf63d8a-487d-4949-a8d3-d873203e0358" TargetMode="External"/><Relationship Id="rId10" Type="http://schemas.openxmlformats.org/officeDocument/2006/relationships/hyperlink" Target="https://www.e-tar.lt/portal/lt/legalAct/9b589cd082b511ecbd43a994b3e2e1cb" TargetMode="External"/><Relationship Id="rId4" Type="http://schemas.openxmlformats.org/officeDocument/2006/relationships/image" Target="media/image1.jpg"/><Relationship Id="rId9" Type="http://schemas.openxmlformats.org/officeDocument/2006/relationships/hyperlink" Target="https://www.e-tar.lt/portal/lt/legalAct/9b589cd082b511ecbd43a994b3e2e1cb" TargetMode="External"/><Relationship Id="rId14" Type="http://schemas.openxmlformats.org/officeDocument/2006/relationships/hyperlink" Target="https://www.aikos.smm.lt/Registrai/Kvalifikacijos-tobulinimo-programos/SitePages/Pagrindinis.aspx?ss=3cf63d8a-487d-4949-a8d3-d873203e035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7863</Words>
  <Characters>4482</Characters>
  <Application>Microsoft Office Word</Application>
  <DocSecurity>0</DocSecurity>
  <Lines>37</Lines>
  <Paragraphs>24</Paragraphs>
  <ScaleCrop>false</ScaleCrop>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cp:revision>
  <dcterms:created xsi:type="dcterms:W3CDTF">2024-12-09T10:48:00Z</dcterms:created>
  <dcterms:modified xsi:type="dcterms:W3CDTF">2024-12-09T10:49:00Z</dcterms:modified>
</cp:coreProperties>
</file>