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989A9" w14:textId="77777777" w:rsidR="007D69D3" w:rsidRDefault="007D69D3" w:rsidP="007D69D3">
      <w:pPr>
        <w:widowControl w:val="0"/>
        <w:spacing w:after="0" w:line="240" w:lineRule="auto"/>
        <w:ind w:left="7797" w:hanging="21"/>
        <w:rPr>
          <w:rFonts w:ascii="Times New Roman" w:eastAsia="Arial" w:hAnsi="Times New Roman" w:cs="Times New Roman"/>
          <w:lang w:bidi="lt-LT"/>
        </w:rPr>
      </w:pPr>
      <w:bookmarkStart w:id="0" w:name="_Hlk156831677"/>
      <w:bookmarkStart w:id="1" w:name="_GoBack"/>
      <w:bookmarkEnd w:id="1"/>
      <w:proofErr w:type="spellStart"/>
      <w:r>
        <w:rPr>
          <w:rFonts w:ascii="Times New Roman" w:eastAsia="Arial" w:hAnsi="Times New Roman" w:cs="Times New Roman"/>
          <w:lang w:bidi="lt-LT"/>
        </w:rPr>
        <w:t>Teleradiologijos</w:t>
      </w:r>
      <w:proofErr w:type="spellEnd"/>
      <w:r>
        <w:rPr>
          <w:rFonts w:ascii="Times New Roman" w:eastAsia="Arial" w:hAnsi="Times New Roman" w:cs="Times New Roman"/>
          <w:lang w:bidi="lt-LT"/>
        </w:rPr>
        <w:t xml:space="preserve"> paslaugų sutarties </w:t>
      </w:r>
    </w:p>
    <w:p w14:paraId="3A42DED4" w14:textId="77777777" w:rsidR="007D69D3" w:rsidRDefault="007D69D3" w:rsidP="007D69D3">
      <w:pPr>
        <w:spacing w:after="0" w:line="240" w:lineRule="auto"/>
        <w:ind w:left="5184" w:firstLine="1296"/>
        <w:jc w:val="both"/>
        <w:rPr>
          <w:rFonts w:ascii="Times New Roman" w:eastAsia="Batang" w:hAnsi="Times New Roman" w:cs="Times New Roman"/>
          <w:bCs/>
          <w:sz w:val="20"/>
          <w:szCs w:val="20"/>
          <w:lang w:eastAsia="en-GB"/>
        </w:rPr>
      </w:pPr>
      <w:r>
        <w:rPr>
          <w:rFonts w:ascii="Times New Roman" w:eastAsia="Courier New" w:hAnsi="Times New Roman" w:cs="Times New Roman"/>
          <w:color w:val="000000"/>
          <w:lang w:bidi="lt-LT"/>
        </w:rPr>
        <w:t>2 priedas</w:t>
      </w:r>
    </w:p>
    <w:p w14:paraId="0C7B3973" w14:textId="77777777" w:rsidR="00D83626" w:rsidRPr="009B352B" w:rsidRDefault="00D83626" w:rsidP="00D83626">
      <w:pPr>
        <w:spacing w:after="0" w:line="240" w:lineRule="auto"/>
        <w:ind w:left="5184" w:firstLine="1296"/>
        <w:jc w:val="both"/>
        <w:rPr>
          <w:rFonts w:ascii="Times New Roman" w:eastAsia="Batang" w:hAnsi="Times New Roman" w:cs="Times New Roman"/>
          <w:bCs/>
          <w:sz w:val="24"/>
          <w:szCs w:val="24"/>
          <w:lang w:eastAsia="en-GB"/>
        </w:rPr>
      </w:pPr>
    </w:p>
    <w:p w14:paraId="575C0571" w14:textId="746C8974" w:rsidR="002A62D0" w:rsidRPr="002A62D0" w:rsidRDefault="002A62D0" w:rsidP="00D8362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en-GB"/>
        </w:rPr>
      </w:pPr>
      <w:r w:rsidRPr="002A62D0">
        <w:rPr>
          <w:rFonts w:ascii="Times New Roman" w:eastAsia="Batang" w:hAnsi="Times New Roman" w:cs="Times New Roman"/>
          <w:b/>
          <w:sz w:val="24"/>
          <w:szCs w:val="24"/>
          <w:lang w:eastAsia="en-GB"/>
        </w:rPr>
        <w:t>TELERADIOLOGIJOS PASLAUG</w:t>
      </w:r>
      <w:r w:rsidR="00D83626">
        <w:rPr>
          <w:rFonts w:ascii="Times New Roman" w:eastAsia="Batang" w:hAnsi="Times New Roman" w:cs="Times New Roman"/>
          <w:b/>
          <w:sz w:val="24"/>
          <w:szCs w:val="24"/>
          <w:lang w:eastAsia="en-GB"/>
        </w:rPr>
        <w:t>Ų</w:t>
      </w:r>
    </w:p>
    <w:p w14:paraId="004991BA" w14:textId="77777777" w:rsidR="002A62D0" w:rsidRPr="002A62D0" w:rsidRDefault="002A62D0" w:rsidP="00D83626">
      <w:pPr>
        <w:widowControl w:val="0"/>
        <w:suppressAutoHyphens/>
        <w:autoSpaceDN w:val="0"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2D0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  <w:bookmarkEnd w:id="0"/>
    </w:p>
    <w:p w14:paraId="21683F99" w14:textId="77777777" w:rsidR="002A62D0" w:rsidRPr="002A62D0" w:rsidRDefault="002A62D0" w:rsidP="00D83626">
      <w:pPr>
        <w:widowControl w:val="0"/>
        <w:suppressAutoHyphens/>
        <w:autoSpaceDN w:val="0"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DE34B" w14:textId="13272A26" w:rsidR="002A62D0" w:rsidRPr="002C5231" w:rsidRDefault="002A62D0" w:rsidP="002A62D0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2D0">
        <w:rPr>
          <w:rFonts w:ascii="Times New Roman" w:hAnsi="Times New Roman" w:cs="Times New Roman"/>
          <w:sz w:val="24"/>
          <w:szCs w:val="24"/>
        </w:rPr>
        <w:t xml:space="preserve">Paslaugų </w:t>
      </w:r>
      <w:r w:rsidR="00A84650">
        <w:rPr>
          <w:rFonts w:ascii="Times New Roman" w:hAnsi="Times New Roman" w:cs="Times New Roman"/>
          <w:sz w:val="24"/>
          <w:szCs w:val="24"/>
        </w:rPr>
        <w:t>aprašymai</w:t>
      </w:r>
      <w:r w:rsidRPr="002A62D0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Lentelstinklelis1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F149CC" w:rsidRPr="002A62D0" w14:paraId="7A0C498E" w14:textId="77777777" w:rsidTr="00ED3E84">
        <w:trPr>
          <w:trHeight w:val="559"/>
        </w:trPr>
        <w:tc>
          <w:tcPr>
            <w:tcW w:w="1418" w:type="dxa"/>
            <w:vAlign w:val="center"/>
          </w:tcPr>
          <w:p w14:paraId="6CDEAEFF" w14:textId="77777777" w:rsidR="00F149CC" w:rsidRDefault="00F149CC" w:rsidP="00F149CC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lang w:val="lt-LT"/>
              </w:rPr>
            </w:pPr>
            <w:r w:rsidRPr="002A62D0">
              <w:rPr>
                <w:rFonts w:ascii="Times New Roman" w:eastAsia="Calibri" w:hAnsi="Times New Roman" w:cs="Times New Roman"/>
                <w:bCs/>
                <w:sz w:val="24"/>
                <w:lang w:val="lt-LT"/>
              </w:rPr>
              <w:t xml:space="preserve">Eil. </w:t>
            </w:r>
          </w:p>
          <w:p w14:paraId="69759593" w14:textId="1F46740C" w:rsidR="00F149CC" w:rsidRPr="002A62D0" w:rsidRDefault="00F149CC" w:rsidP="00F149CC">
            <w:pPr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2A62D0">
              <w:rPr>
                <w:rFonts w:ascii="Times New Roman" w:eastAsia="Calibri" w:hAnsi="Times New Roman" w:cs="Times New Roman"/>
                <w:bCs/>
                <w:sz w:val="24"/>
                <w:lang w:val="lt-LT"/>
              </w:rPr>
              <w:t>Nr.</w:t>
            </w:r>
          </w:p>
        </w:tc>
        <w:tc>
          <w:tcPr>
            <w:tcW w:w="8080" w:type="dxa"/>
            <w:vAlign w:val="center"/>
          </w:tcPr>
          <w:p w14:paraId="5EF826BB" w14:textId="77777777" w:rsidR="00F149CC" w:rsidRPr="002A62D0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2A62D0">
              <w:rPr>
                <w:rFonts w:ascii="Times New Roman" w:hAnsi="Times New Roman" w:cs="Times New Roman"/>
                <w:sz w:val="24"/>
                <w:lang w:val="lt-LT"/>
              </w:rPr>
              <w:t>Pavadinimas</w:t>
            </w:r>
          </w:p>
        </w:tc>
      </w:tr>
      <w:tr w:rsidR="00F149CC" w:rsidRPr="002A62D0" w14:paraId="12C8455E" w14:textId="77777777" w:rsidTr="00ED3E84">
        <w:trPr>
          <w:trHeight w:val="374"/>
        </w:trPr>
        <w:tc>
          <w:tcPr>
            <w:tcW w:w="1418" w:type="dxa"/>
          </w:tcPr>
          <w:p w14:paraId="446ECA04" w14:textId="493DCFAE" w:rsidR="00F149CC" w:rsidRPr="002A62D0" w:rsidRDefault="00F149CC" w:rsidP="004F46B3">
            <w:pPr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I</w:t>
            </w:r>
            <w:r w:rsidRPr="002A62D0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 pirkimo dalis</w:t>
            </w:r>
          </w:p>
        </w:tc>
        <w:tc>
          <w:tcPr>
            <w:tcW w:w="8080" w:type="dxa"/>
          </w:tcPr>
          <w:p w14:paraId="6948D7FD" w14:textId="77777777" w:rsidR="00F149CC" w:rsidRPr="002A62D0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2A62D0">
              <w:rPr>
                <w:rFonts w:ascii="Times New Roman" w:hAnsi="Times New Roman" w:cs="Times New Roman"/>
                <w:b/>
                <w:sz w:val="24"/>
                <w:lang w:val="lt-LT"/>
              </w:rPr>
              <w:t>SKAITMENINĖS RENTGENOGRAFIJOS VAIZDŲ APRAŠYMAS</w:t>
            </w:r>
          </w:p>
        </w:tc>
      </w:tr>
      <w:tr w:rsidR="00F149CC" w:rsidRPr="001C04FD" w14:paraId="41F38150" w14:textId="77777777" w:rsidTr="00ED3E84">
        <w:tc>
          <w:tcPr>
            <w:tcW w:w="1418" w:type="dxa"/>
          </w:tcPr>
          <w:p w14:paraId="2819E737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1.1. </w:t>
            </w:r>
          </w:p>
        </w:tc>
        <w:tc>
          <w:tcPr>
            <w:tcW w:w="8080" w:type="dxa"/>
          </w:tcPr>
          <w:p w14:paraId="04C7E813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Skaitmeninės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rentgenografijos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vaizdų (vienos anatominės srities) įvertinimas ir aprašymas, kai konsultacija suteikiama per 24 val. nuo atlikimo</w:t>
            </w:r>
          </w:p>
        </w:tc>
      </w:tr>
      <w:tr w:rsidR="00F149CC" w:rsidRPr="001C04FD" w14:paraId="21AB44AC" w14:textId="77777777" w:rsidTr="00ED3E84">
        <w:tc>
          <w:tcPr>
            <w:tcW w:w="1418" w:type="dxa"/>
          </w:tcPr>
          <w:p w14:paraId="35B4C36A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1.1.1. </w:t>
            </w:r>
          </w:p>
        </w:tc>
        <w:tc>
          <w:tcPr>
            <w:tcW w:w="8080" w:type="dxa"/>
          </w:tcPr>
          <w:p w14:paraId="72B97BD1" w14:textId="2F96B3CC" w:rsidR="00F149CC" w:rsidRPr="001C04FD" w:rsidRDefault="00F149CC" w:rsidP="002A62D0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Elektroninio siuntimo (E027)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teleradiologijos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paslaugai priėmim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</w:t>
            </w: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iš RL informacinės sistemos per ESPBI IS arba tiesiogiai</w:t>
            </w:r>
          </w:p>
        </w:tc>
      </w:tr>
      <w:tr w:rsidR="00F149CC" w:rsidRPr="001C04FD" w14:paraId="4812AAE1" w14:textId="77777777" w:rsidTr="00ED3E84">
        <w:tc>
          <w:tcPr>
            <w:tcW w:w="1418" w:type="dxa"/>
          </w:tcPr>
          <w:p w14:paraId="42763F7E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1.1.2.</w:t>
            </w:r>
          </w:p>
        </w:tc>
        <w:tc>
          <w:tcPr>
            <w:tcW w:w="8080" w:type="dxa"/>
          </w:tcPr>
          <w:p w14:paraId="4D6EA9C7" w14:textId="6CD869A6" w:rsidR="00F149CC" w:rsidRPr="001C04FD" w:rsidRDefault="00F149CC" w:rsidP="002A62D0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Medicininio DICOM formato vaizdo persiuntim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</w:t>
            </w: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per ESPBI IS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MedVAIS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arba tiesiogiai (esant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MedVAIS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sutrikimams) tarp RL PACS ir paslaugos teikėjo PACS</w:t>
            </w:r>
          </w:p>
        </w:tc>
      </w:tr>
      <w:tr w:rsidR="00F149CC" w:rsidRPr="001C04FD" w14:paraId="4C17BD0A" w14:textId="77777777" w:rsidTr="00ED3E84">
        <w:tc>
          <w:tcPr>
            <w:tcW w:w="1418" w:type="dxa"/>
          </w:tcPr>
          <w:p w14:paraId="0F3251DB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1.1.3.</w:t>
            </w:r>
          </w:p>
        </w:tc>
        <w:tc>
          <w:tcPr>
            <w:tcW w:w="8080" w:type="dxa"/>
          </w:tcPr>
          <w:p w14:paraId="187B096A" w14:textId="7602FD64" w:rsidR="00F149CC" w:rsidRPr="001C04FD" w:rsidRDefault="00F149CC" w:rsidP="002A62D0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Elektroninio atsakymo (E027-va arba E027-ats) perdavim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</w:t>
            </w: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RL per ESPBI IS arba tiesiogiai į RL IS (esant ESPBI IS sutrikimams)</w:t>
            </w:r>
          </w:p>
        </w:tc>
      </w:tr>
      <w:tr w:rsidR="00F149CC" w:rsidRPr="001C04FD" w14:paraId="7CEDA501" w14:textId="77777777" w:rsidTr="00ED3E84">
        <w:tc>
          <w:tcPr>
            <w:tcW w:w="1418" w:type="dxa"/>
          </w:tcPr>
          <w:p w14:paraId="45BC022C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1.2. </w:t>
            </w:r>
          </w:p>
        </w:tc>
        <w:tc>
          <w:tcPr>
            <w:tcW w:w="8080" w:type="dxa"/>
          </w:tcPr>
          <w:p w14:paraId="58AC2E25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Skaitmeninės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rentgenografijos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vaizdų (vienos anatominės srities) įvertinimas ir aprašymas, kai konsultacija suteikiama per 2 val. nuo atlikimo</w:t>
            </w:r>
          </w:p>
        </w:tc>
      </w:tr>
      <w:tr w:rsidR="00F149CC" w:rsidRPr="001C04FD" w14:paraId="3A7FD043" w14:textId="77777777" w:rsidTr="00ED3E84">
        <w:tc>
          <w:tcPr>
            <w:tcW w:w="1418" w:type="dxa"/>
          </w:tcPr>
          <w:p w14:paraId="43E00F66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1.2.1.</w:t>
            </w:r>
          </w:p>
        </w:tc>
        <w:tc>
          <w:tcPr>
            <w:tcW w:w="8080" w:type="dxa"/>
          </w:tcPr>
          <w:p w14:paraId="05BB9599" w14:textId="1423A18B" w:rsidR="00F149CC" w:rsidRPr="001C04FD" w:rsidRDefault="00F149CC" w:rsidP="002A62D0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Elektroninio siuntimo (E027)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teleradiologijos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paslaugai priėmim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</w:t>
            </w: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iš RL informacinės sistemos per ESPBI IS arba tiesiogiai</w:t>
            </w:r>
          </w:p>
        </w:tc>
      </w:tr>
      <w:tr w:rsidR="00F149CC" w:rsidRPr="001C04FD" w14:paraId="45A6AA41" w14:textId="77777777" w:rsidTr="00ED3E84">
        <w:tc>
          <w:tcPr>
            <w:tcW w:w="1418" w:type="dxa"/>
          </w:tcPr>
          <w:p w14:paraId="5465742E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1.2.2.</w:t>
            </w:r>
          </w:p>
        </w:tc>
        <w:tc>
          <w:tcPr>
            <w:tcW w:w="8080" w:type="dxa"/>
          </w:tcPr>
          <w:p w14:paraId="5326DA62" w14:textId="0A1FCCDE" w:rsidR="00F149CC" w:rsidRPr="001C04FD" w:rsidRDefault="00F149CC" w:rsidP="002A62D0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Medicininio DICOM formato vaizdo persiuntim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</w:t>
            </w: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per ESPBI IS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MedVAIS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arba tiesiogiai (esant </w:t>
            </w:r>
            <w:proofErr w:type="spellStart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MedVAIS</w:t>
            </w:r>
            <w:proofErr w:type="spellEnd"/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sutrikimams) tarp RL PACS ir paslaugos teikėjo PACS</w:t>
            </w:r>
          </w:p>
        </w:tc>
      </w:tr>
      <w:tr w:rsidR="00F149CC" w:rsidRPr="001C04FD" w14:paraId="7F1D5F22" w14:textId="77777777" w:rsidTr="00ED3E84">
        <w:tc>
          <w:tcPr>
            <w:tcW w:w="1418" w:type="dxa"/>
          </w:tcPr>
          <w:p w14:paraId="25DE4B98" w14:textId="77777777" w:rsidR="00F149CC" w:rsidRPr="001C04FD" w:rsidRDefault="00F149CC" w:rsidP="004F46B3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1.2.3.</w:t>
            </w:r>
          </w:p>
        </w:tc>
        <w:tc>
          <w:tcPr>
            <w:tcW w:w="8080" w:type="dxa"/>
          </w:tcPr>
          <w:p w14:paraId="5C06C0BD" w14:textId="4FFA6E5F" w:rsidR="00F149CC" w:rsidRPr="001C04FD" w:rsidRDefault="00F149CC" w:rsidP="002A62D0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>Elektroninio atsakymo (E027-va arba E027-ats) perdavim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as</w:t>
            </w:r>
            <w:r w:rsidRPr="001C04FD">
              <w:rPr>
                <w:rFonts w:ascii="Times New Roman" w:hAnsi="Times New Roman" w:cs="Times New Roman"/>
                <w:sz w:val="24"/>
                <w:lang w:val="lt-LT"/>
              </w:rPr>
              <w:t xml:space="preserve"> RL per ESPBI IS arba tiesiogiai į RL IS (esant ESPBI IS sutrikimams)</w:t>
            </w:r>
          </w:p>
        </w:tc>
      </w:tr>
    </w:tbl>
    <w:p w14:paraId="66B32BE0" w14:textId="182191FE" w:rsidR="002A62D0" w:rsidRPr="001C04FD" w:rsidRDefault="002A62D0" w:rsidP="002A62D0">
      <w:pPr>
        <w:numPr>
          <w:ilvl w:val="0"/>
          <w:numId w:val="1"/>
        </w:numPr>
        <w:tabs>
          <w:tab w:val="left" w:pos="851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4FD">
        <w:rPr>
          <w:rFonts w:ascii="Times New Roman" w:hAnsi="Times New Roman" w:cs="Times New Roman"/>
          <w:sz w:val="24"/>
          <w:szCs w:val="24"/>
        </w:rPr>
        <w:t>Tiekėjas privalo užtikrinti perduot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ų radiologinių v</w:t>
      </w:r>
      <w:r w:rsidRPr="001C04FD">
        <w:rPr>
          <w:rFonts w:ascii="Times New Roman" w:hAnsi="Times New Roman" w:cs="Times New Roman"/>
          <w:sz w:val="24"/>
          <w:szCs w:val="24"/>
        </w:rPr>
        <w:t>aizd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ir kitų su pacientu susijusių asmens duomenų </w:t>
      </w:r>
      <w:r w:rsidRPr="001C04FD">
        <w:rPr>
          <w:rFonts w:ascii="Times New Roman" w:hAnsi="Times New Roman" w:cs="Times New Roman"/>
          <w:sz w:val="24"/>
          <w:szCs w:val="24"/>
        </w:rPr>
        <w:t>konfidencialum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ą, į</w:t>
      </w:r>
      <w:r w:rsidRPr="001C04FD">
        <w:rPr>
          <w:rFonts w:ascii="Times New Roman" w:hAnsi="Times New Roman" w:cs="Times New Roman"/>
          <w:sz w:val="24"/>
          <w:szCs w:val="24"/>
        </w:rPr>
        <w:t>statym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numatyta tvarka. Perduoti radiologiniai vaizdai gali b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ū</w:t>
      </w:r>
      <w:r w:rsidRPr="001C04FD">
        <w:rPr>
          <w:rFonts w:ascii="Times New Roman" w:hAnsi="Times New Roman" w:cs="Times New Roman"/>
          <w:sz w:val="24"/>
          <w:szCs w:val="24"/>
        </w:rPr>
        <w:t>ti naudojami tik j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aprašymui, joks kitas j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panaudojimas ar perdavimas tretiesiems asmenims be raštiško paciento sutikimo yra neteis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ė</w:t>
      </w:r>
      <w:r w:rsidRPr="001C04FD">
        <w:rPr>
          <w:rFonts w:ascii="Times New Roman" w:hAnsi="Times New Roman" w:cs="Times New Roman"/>
          <w:sz w:val="24"/>
          <w:szCs w:val="24"/>
        </w:rPr>
        <w:t xml:space="preserve">tas. Lietuvos Respublikos 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į</w:t>
      </w:r>
      <w:r w:rsidRPr="001C04FD">
        <w:rPr>
          <w:rFonts w:ascii="Times New Roman" w:hAnsi="Times New Roman" w:cs="Times New Roman"/>
          <w:sz w:val="24"/>
          <w:szCs w:val="24"/>
        </w:rPr>
        <w:t>statym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numatyta tvarka, radiologinių vaizd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ir aprašym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kopijos gali b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ū</w:t>
      </w:r>
      <w:r w:rsidRPr="001C04FD">
        <w:rPr>
          <w:rFonts w:ascii="Times New Roman" w:hAnsi="Times New Roman" w:cs="Times New Roman"/>
          <w:sz w:val="24"/>
          <w:szCs w:val="24"/>
        </w:rPr>
        <w:t>ti perduodamos tik teis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ė</w:t>
      </w:r>
      <w:r w:rsidRPr="001C04FD">
        <w:rPr>
          <w:rFonts w:ascii="Times New Roman" w:hAnsi="Times New Roman" w:cs="Times New Roman"/>
          <w:sz w:val="24"/>
          <w:szCs w:val="24"/>
        </w:rPr>
        <w:t>saugos institucijoms pagal raštišk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1C04FD">
        <w:rPr>
          <w:rFonts w:ascii="Times New Roman" w:hAnsi="Times New Roman" w:cs="Times New Roman"/>
          <w:sz w:val="24"/>
          <w:szCs w:val="24"/>
        </w:rPr>
        <w:t>teis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ė</w:t>
      </w:r>
      <w:r w:rsidRPr="001C04FD">
        <w:rPr>
          <w:rFonts w:ascii="Times New Roman" w:hAnsi="Times New Roman" w:cs="Times New Roman"/>
          <w:sz w:val="24"/>
          <w:szCs w:val="24"/>
        </w:rPr>
        <w:t>t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1C04FD">
        <w:rPr>
          <w:rFonts w:ascii="Times New Roman" w:hAnsi="Times New Roman" w:cs="Times New Roman"/>
          <w:sz w:val="24"/>
          <w:szCs w:val="24"/>
        </w:rPr>
        <w:t>j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 xml:space="preserve">ų </w:t>
      </w:r>
      <w:r w:rsidRPr="001C04FD">
        <w:rPr>
          <w:rFonts w:ascii="Times New Roman" w:hAnsi="Times New Roman" w:cs="Times New Roman"/>
          <w:sz w:val="24"/>
          <w:szCs w:val="24"/>
        </w:rPr>
        <w:t>reikalavim</w:t>
      </w:r>
      <w:r w:rsidRPr="001C04F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C04FD">
        <w:rPr>
          <w:rFonts w:ascii="Times New Roman" w:hAnsi="Times New Roman" w:cs="Times New Roman"/>
          <w:sz w:val="24"/>
          <w:szCs w:val="24"/>
        </w:rPr>
        <w:t>. Šis konfidencialumo įsipareigojimas galioja neterminuotai, t. y. ir pasibaigus sutarčiai.</w:t>
      </w:r>
    </w:p>
    <w:p w14:paraId="02A718D4" w14:textId="77777777" w:rsidR="002A62D0" w:rsidRPr="001C04FD" w:rsidRDefault="002A62D0" w:rsidP="002A62D0">
      <w:pPr>
        <w:numPr>
          <w:ilvl w:val="0"/>
          <w:numId w:val="1"/>
        </w:numPr>
        <w:tabs>
          <w:tab w:val="left" w:pos="851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4FD">
        <w:rPr>
          <w:rFonts w:ascii="Times New Roman" w:hAnsi="Times New Roman" w:cs="Times New Roman"/>
          <w:sz w:val="24"/>
          <w:szCs w:val="24"/>
        </w:rPr>
        <w:t xml:space="preserve">Tiekėjas atsako už teikiamų paslaugų kokybę ir/ar padarytą žalą. Teikiamų paslaugų kokybė turi atitikti Lietuvos Respublikos sveikatos apsaugos ministro 2012 m. spalio 19 d. įsakyme Nr. V-944 „Dėl asmens sveikatos priežiūros paslaugų, kurias teikiant naudojamos </w:t>
      </w:r>
      <w:proofErr w:type="spellStart"/>
      <w:r w:rsidRPr="001C04FD">
        <w:rPr>
          <w:rFonts w:ascii="Times New Roman" w:hAnsi="Times New Roman" w:cs="Times New Roman"/>
          <w:sz w:val="24"/>
          <w:szCs w:val="24"/>
        </w:rPr>
        <w:t>Teleradiologijos</w:t>
      </w:r>
      <w:proofErr w:type="spellEnd"/>
      <w:r w:rsidRPr="001C04FD">
        <w:rPr>
          <w:rFonts w:ascii="Times New Roman" w:hAnsi="Times New Roman" w:cs="Times New Roman"/>
          <w:sz w:val="24"/>
          <w:szCs w:val="24"/>
        </w:rPr>
        <w:t xml:space="preserve"> priemonės, teikimo ir jų išlaidų apmokėjimo Privalomojo sveikatos draudimo fondo biudžeto lėšomis tvarkos aprašo patvirtinimo“ bei kituose teisės aktuose nustatytus reikalavimus. </w:t>
      </w:r>
    </w:p>
    <w:p w14:paraId="67D0A6BF" w14:textId="270A702D" w:rsidR="00765BD6" w:rsidRPr="00BE2C3A" w:rsidRDefault="00BE2C3A" w:rsidP="00BE2C3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65BD6" w:rsidRPr="00BE2C3A">
        <w:rPr>
          <w:rFonts w:ascii="Times New Roman" w:eastAsia="Times New Roman" w:hAnsi="Times New Roman" w:cs="Times New Roman"/>
          <w:sz w:val="24"/>
          <w:szCs w:val="24"/>
        </w:rPr>
        <w:t xml:space="preserve">Vykdomas žaliasis pirkimas vadovaujantis </w:t>
      </w:r>
      <w:r w:rsidR="00765BD6" w:rsidRPr="00BE2C3A">
        <w:rPr>
          <w:rFonts w:ascii="Times New Roman" w:hAnsi="Times New Roman" w:cs="Times New Roman"/>
          <w:sz w:val="24"/>
          <w:szCs w:val="24"/>
        </w:rPr>
        <w:t xml:space="preserve">Lietuvos Respublikos aplinkos ministro 2011 m. birželio 28 d. įsakymo Nr. D1-508 „Dėl </w:t>
      </w:r>
      <w:r w:rsidR="00765BD6" w:rsidRPr="00BE2C3A">
        <w:rPr>
          <w:rFonts w:ascii="Times New Roman" w:hAnsi="Times New Roman" w:cs="Times New Roman"/>
          <w:bCs/>
          <w:sz w:val="24"/>
          <w:szCs w:val="24"/>
        </w:rPr>
        <w:t>aplinkos apsaugos kriterijų taikymo, vykdant žaliuosius pirkimus tvarkos aprašo patvirtinimo“ (</w:t>
      </w:r>
      <w:r w:rsidR="00765BD6" w:rsidRPr="00BE2C3A">
        <w:rPr>
          <w:rFonts w:ascii="Times New Roman" w:hAnsi="Times New Roman" w:cs="Times New Roman"/>
          <w:bCs/>
          <w:noProof/>
          <w:sz w:val="24"/>
          <w:szCs w:val="24"/>
        </w:rPr>
        <w:t>aktuali redakcija Lietuvos Respublikos aplinkos ministro 2022 m. gruodžio 13 d. įsakymas Nr. D1-401)</w:t>
      </w:r>
      <w:r w:rsidR="00765BD6" w:rsidRPr="00BE2C3A">
        <w:rPr>
          <w:rFonts w:ascii="Times New Roman" w:hAnsi="Times New Roman" w:cs="Times New Roman"/>
          <w:sz w:val="24"/>
          <w:szCs w:val="24"/>
        </w:rPr>
        <w:t xml:space="preserve"> Aplinkos apsaugos kriterijų taikymo, vykdant žaliuosius pirkimus tvarkos aprašo </w:t>
      </w:r>
      <w:r w:rsidR="00765BD6" w:rsidRPr="00BE2C3A">
        <w:rPr>
          <w:rFonts w:ascii="Times New Roman" w:hAnsi="Times New Roman" w:cs="Times New Roman"/>
          <w:b/>
          <w:bCs/>
          <w:sz w:val="24"/>
          <w:szCs w:val="24"/>
        </w:rPr>
        <w:t>4.4.3</w:t>
      </w:r>
      <w:r w:rsidR="00765BD6" w:rsidRPr="00BE2C3A">
        <w:rPr>
          <w:rFonts w:ascii="Times New Roman" w:hAnsi="Times New Roman" w:cs="Times New Roman"/>
          <w:sz w:val="24"/>
          <w:szCs w:val="24"/>
        </w:rPr>
        <w:t xml:space="preserve"> papunkčiu, t. y., perkama tik nematerialaus pobūdžio (intelektinė)</w:t>
      </w:r>
      <w:r w:rsidR="002B4476">
        <w:rPr>
          <w:rFonts w:ascii="Times New Roman" w:hAnsi="Times New Roman" w:cs="Times New Roman"/>
          <w:sz w:val="24"/>
          <w:szCs w:val="24"/>
        </w:rPr>
        <w:t xml:space="preserve"> ar kitokia paslauga</w:t>
      </w:r>
      <w:r w:rsidR="00765BD6" w:rsidRPr="00BE2C3A">
        <w:rPr>
          <w:rFonts w:ascii="Times New Roman" w:hAnsi="Times New Roman" w:cs="Times New Roman"/>
          <w:sz w:val="24"/>
          <w:szCs w:val="24"/>
        </w:rPr>
        <w:t>, nesusijusi su materialaus objekto sukūrimu.</w:t>
      </w:r>
    </w:p>
    <w:p w14:paraId="5AE217C4" w14:textId="77777777" w:rsidR="002A62D0" w:rsidRPr="002A62D0" w:rsidRDefault="002A62D0" w:rsidP="002A62D0">
      <w:pPr>
        <w:pStyle w:val="Antrat1"/>
        <w:keepNext w:val="0"/>
        <w:widowControl w:val="0"/>
        <w:tabs>
          <w:tab w:val="left" w:pos="4277"/>
        </w:tabs>
        <w:autoSpaceDE w:val="0"/>
        <w:autoSpaceDN w:val="0"/>
        <w:spacing w:before="0"/>
        <w:ind w:left="4026" w:right="65"/>
        <w:rPr>
          <w:rFonts w:ascii="Times New Roman" w:hAnsi="Times New Roman" w:cs="Times New Roman"/>
          <w:sz w:val="24"/>
          <w:szCs w:val="24"/>
        </w:rPr>
      </w:pPr>
    </w:p>
    <w:p w14:paraId="3F1DA6D0" w14:textId="77777777" w:rsidR="002A62D0" w:rsidRPr="002A62D0" w:rsidRDefault="002A62D0" w:rsidP="009E3146">
      <w:pPr>
        <w:pStyle w:val="Pagrindinistekstas"/>
        <w:spacing w:after="0"/>
        <w:ind w:right="169"/>
        <w:jc w:val="center"/>
      </w:pPr>
      <w:r w:rsidRPr="002A62D0">
        <w:t>________________</w:t>
      </w:r>
    </w:p>
    <w:p w14:paraId="4BE1A84B" w14:textId="77777777" w:rsidR="002A62D0" w:rsidRPr="002A62D0" w:rsidRDefault="002A62D0" w:rsidP="009E3146">
      <w:pPr>
        <w:widowControl w:val="0"/>
        <w:autoSpaceDE w:val="0"/>
        <w:autoSpaceDN w:val="0"/>
        <w:adjustRightInd w:val="0"/>
        <w:spacing w:line="240" w:lineRule="auto"/>
        <w:ind w:right="6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</w:p>
    <w:sectPr w:rsidR="002A62D0" w:rsidRPr="002A62D0" w:rsidSect="00CA50C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  <w:sig w:usb0="E50002FF" w:usb1="500079DB" w:usb2="0000001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2FF5"/>
    <w:multiLevelType w:val="multilevel"/>
    <w:tmpl w:val="C276D39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5DD73DC"/>
    <w:multiLevelType w:val="multilevel"/>
    <w:tmpl w:val="37A650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F4"/>
    <w:rsid w:val="00033FF4"/>
    <w:rsid w:val="000C0DBB"/>
    <w:rsid w:val="00103A8A"/>
    <w:rsid w:val="00152A40"/>
    <w:rsid w:val="001C04FD"/>
    <w:rsid w:val="00277FC9"/>
    <w:rsid w:val="002A62D0"/>
    <w:rsid w:val="002B4476"/>
    <w:rsid w:val="002B750F"/>
    <w:rsid w:val="002C5231"/>
    <w:rsid w:val="002F14CC"/>
    <w:rsid w:val="00386423"/>
    <w:rsid w:val="005325BE"/>
    <w:rsid w:val="00533F36"/>
    <w:rsid w:val="005F469E"/>
    <w:rsid w:val="006A4D8C"/>
    <w:rsid w:val="00765BD6"/>
    <w:rsid w:val="007C0F9E"/>
    <w:rsid w:val="007D69D3"/>
    <w:rsid w:val="008A6469"/>
    <w:rsid w:val="00993A94"/>
    <w:rsid w:val="009A029A"/>
    <w:rsid w:val="009B352B"/>
    <w:rsid w:val="009E3146"/>
    <w:rsid w:val="009E5794"/>
    <w:rsid w:val="00A84650"/>
    <w:rsid w:val="00AC4707"/>
    <w:rsid w:val="00AD5009"/>
    <w:rsid w:val="00BB30CA"/>
    <w:rsid w:val="00BB5D6C"/>
    <w:rsid w:val="00BE2C3A"/>
    <w:rsid w:val="00CA50C2"/>
    <w:rsid w:val="00D76D10"/>
    <w:rsid w:val="00D83626"/>
    <w:rsid w:val="00DE78CD"/>
    <w:rsid w:val="00E01C82"/>
    <w:rsid w:val="00E4487D"/>
    <w:rsid w:val="00E61A57"/>
    <w:rsid w:val="00ED3E84"/>
    <w:rsid w:val="00F149CC"/>
    <w:rsid w:val="00F35CBC"/>
    <w:rsid w:val="00F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62D0"/>
    <w:rPr>
      <w:rFonts w:eastAsiaTheme="minorEastAsia"/>
      <w:lang w:eastAsia="lt-LT"/>
    </w:rPr>
  </w:style>
  <w:style w:type="paragraph" w:styleId="Antrat1">
    <w:name w:val="heading 1"/>
    <w:aliases w:val="Appendix,skyrius1,Skyrius"/>
    <w:basedOn w:val="prastasis"/>
    <w:link w:val="Antrat1Diagrama1"/>
    <w:qFormat/>
    <w:rsid w:val="002A62D0"/>
    <w:pPr>
      <w:keepNext/>
      <w:keepLines/>
      <w:spacing w:before="240" w:after="0" w:line="240" w:lineRule="auto"/>
      <w:outlineLvl w:val="0"/>
    </w:pPr>
    <w:rPr>
      <w:rFonts w:ascii="Helvetica Neue UltraLight" w:eastAsia="Arial Unicode MS" w:hAnsi="Helvetica Neue UltraLight" w:cs="Helvetica Neue UltraLight"/>
      <w:color w:val="4C96AD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2A6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1Diagrama1">
    <w:name w:val="Antraštė 1 Diagrama1"/>
    <w:aliases w:val="Appendix Diagrama,skyrius1 Diagrama,Skyrius Diagrama"/>
    <w:basedOn w:val="Numatytasispastraiposriftas"/>
    <w:link w:val="Antrat1"/>
    <w:locked/>
    <w:rsid w:val="002A62D0"/>
    <w:rPr>
      <w:rFonts w:ascii="Helvetica Neue UltraLight" w:eastAsia="Arial Unicode MS" w:hAnsi="Helvetica Neue UltraLight" w:cs="Helvetica Neue UltraLight"/>
      <w:color w:val="4C96AD"/>
      <w:sz w:val="32"/>
      <w:szCs w:val="32"/>
    </w:rPr>
  </w:style>
  <w:style w:type="paragraph" w:styleId="Pagrindinistekstas">
    <w:name w:val="Body Text"/>
    <w:basedOn w:val="prastasis"/>
    <w:link w:val="PagrindinistekstasDiagrama"/>
    <w:qFormat/>
    <w:rsid w:val="002A62D0"/>
    <w:pPr>
      <w:spacing w:after="140" w:line="288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A62D0"/>
    <w:rPr>
      <w:rFonts w:ascii="Times New Roman" w:eastAsia="Arial Unicode MS" w:hAnsi="Times New Roman" w:cs="Times New Roman"/>
      <w:color w:val="00000A"/>
      <w:sz w:val="24"/>
      <w:szCs w:val="24"/>
    </w:rPr>
  </w:style>
  <w:style w:type="paragraph" w:styleId="Sraopastraipa">
    <w:name w:val="List Paragraph"/>
    <w:aliases w:val="punktai,List Paragraph12,List Paragr1,Table of contents numbered,Medium Grid 1 - Accent 21,List Paragrap,Sąrašo pastraipa.Bullet,Sąrašo pastraipa;Bullet,Bullet,List Paragraph22,Lente,Table of contents number,List not in Tabl,Buletai,lp1"/>
    <w:basedOn w:val="prastasis"/>
    <w:link w:val="SraopastraipaDiagrama"/>
    <w:uiPriority w:val="34"/>
    <w:qFormat/>
    <w:rsid w:val="002A62D0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List Paragrap Diagrama,Sąrašo pastraipa.Bullet Diagrama,Sąrašo pastraipa;Bullet Diagrama"/>
    <w:link w:val="Sraopastraipa"/>
    <w:uiPriority w:val="34"/>
    <w:qFormat/>
    <w:locked/>
    <w:rsid w:val="002A62D0"/>
    <w:rPr>
      <w:rFonts w:ascii="Times New Roman" w:eastAsia="Calibri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A62D0"/>
    <w:pPr>
      <w:suppressAutoHyphens/>
      <w:spacing w:after="0"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2A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F46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6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69E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6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69E"/>
    <w:rPr>
      <w:rFonts w:eastAsiaTheme="minorEastAsia"/>
      <w:b/>
      <w:bCs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62D0"/>
    <w:rPr>
      <w:rFonts w:eastAsiaTheme="minorEastAsia"/>
      <w:lang w:eastAsia="lt-LT"/>
    </w:rPr>
  </w:style>
  <w:style w:type="paragraph" w:styleId="Antrat1">
    <w:name w:val="heading 1"/>
    <w:aliases w:val="Appendix,skyrius1,Skyrius"/>
    <w:basedOn w:val="prastasis"/>
    <w:link w:val="Antrat1Diagrama1"/>
    <w:qFormat/>
    <w:rsid w:val="002A62D0"/>
    <w:pPr>
      <w:keepNext/>
      <w:keepLines/>
      <w:spacing w:before="240" w:after="0" w:line="240" w:lineRule="auto"/>
      <w:outlineLvl w:val="0"/>
    </w:pPr>
    <w:rPr>
      <w:rFonts w:ascii="Helvetica Neue UltraLight" w:eastAsia="Arial Unicode MS" w:hAnsi="Helvetica Neue UltraLight" w:cs="Helvetica Neue UltraLight"/>
      <w:color w:val="4C96AD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2A6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1Diagrama1">
    <w:name w:val="Antraštė 1 Diagrama1"/>
    <w:aliases w:val="Appendix Diagrama,skyrius1 Diagrama,Skyrius Diagrama"/>
    <w:basedOn w:val="Numatytasispastraiposriftas"/>
    <w:link w:val="Antrat1"/>
    <w:locked/>
    <w:rsid w:val="002A62D0"/>
    <w:rPr>
      <w:rFonts w:ascii="Helvetica Neue UltraLight" w:eastAsia="Arial Unicode MS" w:hAnsi="Helvetica Neue UltraLight" w:cs="Helvetica Neue UltraLight"/>
      <w:color w:val="4C96AD"/>
      <w:sz w:val="32"/>
      <w:szCs w:val="32"/>
    </w:rPr>
  </w:style>
  <w:style w:type="paragraph" w:styleId="Pagrindinistekstas">
    <w:name w:val="Body Text"/>
    <w:basedOn w:val="prastasis"/>
    <w:link w:val="PagrindinistekstasDiagrama"/>
    <w:qFormat/>
    <w:rsid w:val="002A62D0"/>
    <w:pPr>
      <w:spacing w:after="140" w:line="288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A62D0"/>
    <w:rPr>
      <w:rFonts w:ascii="Times New Roman" w:eastAsia="Arial Unicode MS" w:hAnsi="Times New Roman" w:cs="Times New Roman"/>
      <w:color w:val="00000A"/>
      <w:sz w:val="24"/>
      <w:szCs w:val="24"/>
    </w:rPr>
  </w:style>
  <w:style w:type="paragraph" w:styleId="Sraopastraipa">
    <w:name w:val="List Paragraph"/>
    <w:aliases w:val="punktai,List Paragraph12,List Paragr1,Table of contents numbered,Medium Grid 1 - Accent 21,List Paragrap,Sąrašo pastraipa.Bullet,Sąrašo pastraipa;Bullet,Bullet,List Paragraph22,Lente,Table of contents number,List not in Tabl,Buletai,lp1"/>
    <w:basedOn w:val="prastasis"/>
    <w:link w:val="SraopastraipaDiagrama"/>
    <w:uiPriority w:val="34"/>
    <w:qFormat/>
    <w:rsid w:val="002A62D0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List Paragrap Diagrama,Sąrašo pastraipa.Bullet Diagrama,Sąrašo pastraipa;Bullet Diagrama"/>
    <w:link w:val="Sraopastraipa"/>
    <w:uiPriority w:val="34"/>
    <w:qFormat/>
    <w:locked/>
    <w:rsid w:val="002A62D0"/>
    <w:rPr>
      <w:rFonts w:ascii="Times New Roman" w:eastAsia="Calibri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A62D0"/>
    <w:pPr>
      <w:suppressAutoHyphens/>
      <w:spacing w:after="0"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2A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F46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6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69E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6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69E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2</cp:revision>
  <dcterms:created xsi:type="dcterms:W3CDTF">2025-01-15T11:40:00Z</dcterms:created>
  <dcterms:modified xsi:type="dcterms:W3CDTF">2025-01-15T11:40:00Z</dcterms:modified>
</cp:coreProperties>
</file>