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982CC" w14:textId="77777777" w:rsidR="002F210F" w:rsidRDefault="00161805" w:rsidP="002F210F">
      <w:pPr>
        <w:pStyle w:val="Heading"/>
        <w:jc w:val="center"/>
        <w:rPr>
          <w:color w:val="auto"/>
          <w:sz w:val="21"/>
          <w:szCs w:val="21"/>
          <w:lang w:val="lt-LT"/>
        </w:rPr>
      </w:pPr>
      <w:r w:rsidRPr="00B87451">
        <w:rPr>
          <w:color w:val="auto"/>
          <w:sz w:val="21"/>
          <w:szCs w:val="21"/>
          <w:lang w:val="lt-LT"/>
        </w:rPr>
        <w:t xml:space="preserve">SUSITARIMAS Nr. </w:t>
      </w:r>
      <w:r w:rsidR="00B87451" w:rsidRPr="00B87451">
        <w:rPr>
          <w:color w:val="auto"/>
          <w:sz w:val="21"/>
          <w:szCs w:val="21"/>
          <w:lang w:val="lt-LT"/>
        </w:rPr>
        <w:t>1</w:t>
      </w:r>
      <w:r w:rsidR="002F210F">
        <w:rPr>
          <w:color w:val="auto"/>
          <w:sz w:val="21"/>
          <w:szCs w:val="21"/>
          <w:lang w:val="lt-LT"/>
        </w:rPr>
        <w:t xml:space="preserve"> </w:t>
      </w:r>
    </w:p>
    <w:p w14:paraId="4C3A97A2" w14:textId="18C06CE6" w:rsidR="00335E7D" w:rsidRPr="00B87451" w:rsidRDefault="00161805" w:rsidP="00713F36">
      <w:pPr>
        <w:pStyle w:val="Heading"/>
        <w:jc w:val="center"/>
        <w:rPr>
          <w:color w:val="auto"/>
          <w:sz w:val="21"/>
          <w:szCs w:val="21"/>
          <w:lang w:val="lt-LT"/>
        </w:rPr>
      </w:pPr>
      <w:r w:rsidRPr="00B87451">
        <w:rPr>
          <w:color w:val="auto"/>
          <w:sz w:val="21"/>
          <w:szCs w:val="21"/>
          <w:lang w:val="lt-LT"/>
        </w:rPr>
        <w:t>DĖL</w:t>
      </w:r>
      <w:r w:rsidR="00B87451" w:rsidRPr="00B87451">
        <w:rPr>
          <w:color w:val="auto"/>
          <w:sz w:val="21"/>
          <w:szCs w:val="21"/>
          <w:lang w:val="lt-LT"/>
        </w:rPr>
        <w:t xml:space="preserve"> </w:t>
      </w:r>
      <w:r w:rsidR="00713F36" w:rsidRPr="00713F36">
        <w:rPr>
          <w:color w:val="auto"/>
          <w:sz w:val="21"/>
          <w:szCs w:val="21"/>
          <w:lang w:val="lt-LT"/>
        </w:rPr>
        <w:t>2024</w:t>
      </w:r>
      <w:r w:rsidR="00713F36">
        <w:rPr>
          <w:color w:val="auto"/>
          <w:sz w:val="21"/>
          <w:szCs w:val="21"/>
          <w:lang w:val="lt-LT"/>
        </w:rPr>
        <w:t xml:space="preserve"> m. rugpjūčio 21 d. </w:t>
      </w:r>
      <w:r w:rsidR="00713F36" w:rsidRPr="00713F36">
        <w:rPr>
          <w:color w:val="auto"/>
          <w:sz w:val="21"/>
          <w:szCs w:val="21"/>
          <w:lang w:val="lt-LT"/>
        </w:rPr>
        <w:t xml:space="preserve">Pirkimo sutartis Nr. </w:t>
      </w:r>
      <w:bookmarkStart w:id="0" w:name="_Hlk187666290"/>
      <w:r w:rsidR="00713F36" w:rsidRPr="00713F36">
        <w:rPr>
          <w:color w:val="auto"/>
          <w:sz w:val="21"/>
          <w:szCs w:val="21"/>
          <w:lang w:val="lt-LT"/>
        </w:rPr>
        <w:t>CPO311934</w:t>
      </w:r>
      <w:bookmarkEnd w:id="0"/>
      <w:r w:rsidR="00713F36">
        <w:rPr>
          <w:color w:val="auto"/>
          <w:sz w:val="21"/>
          <w:szCs w:val="21"/>
          <w:lang w:val="lt-LT"/>
        </w:rPr>
        <w:t xml:space="preserve"> </w:t>
      </w:r>
      <w:r w:rsidRPr="00B87451">
        <w:rPr>
          <w:color w:val="auto"/>
          <w:sz w:val="21"/>
          <w:szCs w:val="21"/>
          <w:lang w:val="lt-LT"/>
        </w:rPr>
        <w:t>PAKEITIMO</w:t>
      </w:r>
    </w:p>
    <w:p w14:paraId="7ED80919" w14:textId="77777777" w:rsidR="00335E7D" w:rsidRPr="009565AB" w:rsidRDefault="00335E7D" w:rsidP="009565AB">
      <w:pPr>
        <w:pStyle w:val="Body2"/>
        <w:rPr>
          <w:sz w:val="21"/>
          <w:szCs w:val="21"/>
          <w:lang w:val="lt-LT"/>
        </w:rPr>
      </w:pPr>
    </w:p>
    <w:p w14:paraId="40E20FD3" w14:textId="7213266A" w:rsidR="00335E7D" w:rsidRPr="009565AB" w:rsidRDefault="00161805" w:rsidP="009565AB">
      <w:pPr>
        <w:pStyle w:val="Body2"/>
        <w:jc w:val="center"/>
        <w:rPr>
          <w:sz w:val="21"/>
          <w:szCs w:val="21"/>
          <w:lang w:val="lt-LT"/>
        </w:rPr>
      </w:pPr>
      <w:r w:rsidRPr="009565AB">
        <w:rPr>
          <w:sz w:val="21"/>
          <w:szCs w:val="21"/>
          <w:lang w:val="lt-LT"/>
        </w:rPr>
        <w:t>20</w:t>
      </w:r>
      <w:r w:rsidR="00B87451">
        <w:rPr>
          <w:sz w:val="21"/>
          <w:szCs w:val="21"/>
          <w:lang w:val="lt-LT"/>
        </w:rPr>
        <w:t>2</w:t>
      </w:r>
      <w:r w:rsidR="00713F36">
        <w:rPr>
          <w:sz w:val="21"/>
          <w:szCs w:val="21"/>
          <w:lang w:val="lt-LT"/>
        </w:rPr>
        <w:t>5</w:t>
      </w:r>
      <w:r w:rsidRPr="009565AB">
        <w:rPr>
          <w:sz w:val="21"/>
          <w:szCs w:val="21"/>
          <w:lang w:val="lt-LT"/>
        </w:rPr>
        <w:t xml:space="preserve"> m. </w:t>
      </w:r>
      <w:r w:rsidR="00713F36">
        <w:rPr>
          <w:sz w:val="21"/>
          <w:szCs w:val="21"/>
          <w:lang w:val="lt-LT"/>
        </w:rPr>
        <w:t>sausio</w:t>
      </w:r>
      <w:r w:rsidRPr="009565AB">
        <w:rPr>
          <w:sz w:val="21"/>
          <w:szCs w:val="21"/>
          <w:lang w:val="lt-LT"/>
        </w:rPr>
        <w:t xml:space="preserve"> </w:t>
      </w:r>
      <w:r w:rsidR="00DC3D41">
        <w:rPr>
          <w:sz w:val="21"/>
          <w:szCs w:val="21"/>
          <w:lang w:val="lt-LT"/>
        </w:rPr>
        <w:t>2</w:t>
      </w:r>
      <w:r w:rsidR="008C4446">
        <w:rPr>
          <w:sz w:val="21"/>
          <w:szCs w:val="21"/>
          <w:lang w:val="lt-LT"/>
        </w:rPr>
        <w:t>2</w:t>
      </w:r>
      <w:r w:rsidRPr="009565AB">
        <w:rPr>
          <w:sz w:val="21"/>
          <w:szCs w:val="21"/>
          <w:lang w:val="lt-LT"/>
        </w:rPr>
        <w:t xml:space="preserve"> d.</w:t>
      </w:r>
      <w:r w:rsidR="00DC3D41">
        <w:rPr>
          <w:sz w:val="21"/>
          <w:szCs w:val="21"/>
          <w:lang w:val="lt-LT"/>
        </w:rPr>
        <w:t xml:space="preserve"> Nr. _______</w:t>
      </w:r>
    </w:p>
    <w:p w14:paraId="3B85E25A" w14:textId="5531F34E" w:rsidR="00335E7D" w:rsidRPr="0073196E" w:rsidRDefault="00B87451" w:rsidP="009565AB">
      <w:pPr>
        <w:pStyle w:val="Body2"/>
        <w:jc w:val="center"/>
        <w:rPr>
          <w:color w:val="auto"/>
          <w:sz w:val="21"/>
          <w:szCs w:val="21"/>
          <w:lang w:val="lt-LT"/>
        </w:rPr>
      </w:pPr>
      <w:r w:rsidRPr="0073196E">
        <w:rPr>
          <w:color w:val="auto"/>
          <w:sz w:val="21"/>
          <w:szCs w:val="21"/>
          <w:lang w:val="lt-LT"/>
        </w:rPr>
        <w:t>Visaginas</w:t>
      </w:r>
    </w:p>
    <w:p w14:paraId="1A49623A" w14:textId="77777777" w:rsidR="00335E7D" w:rsidRPr="0073196E" w:rsidRDefault="00335E7D" w:rsidP="009565AB">
      <w:pPr>
        <w:pStyle w:val="Body2"/>
        <w:rPr>
          <w:color w:val="auto"/>
          <w:sz w:val="21"/>
          <w:szCs w:val="21"/>
          <w:lang w:val="lt-LT"/>
        </w:rPr>
      </w:pPr>
    </w:p>
    <w:p w14:paraId="63CFD4B4" w14:textId="67B6DAD9" w:rsidR="00335E7D" w:rsidRPr="0073196E" w:rsidRDefault="00161805" w:rsidP="009565AB">
      <w:pPr>
        <w:pStyle w:val="Body2"/>
        <w:rPr>
          <w:color w:val="auto"/>
          <w:sz w:val="21"/>
          <w:szCs w:val="21"/>
          <w:lang w:val="lt-LT"/>
        </w:rPr>
      </w:pPr>
      <w:r w:rsidRPr="0073196E">
        <w:rPr>
          <w:color w:val="auto"/>
          <w:sz w:val="21"/>
          <w:szCs w:val="21"/>
          <w:lang w:val="lt-LT"/>
        </w:rPr>
        <w:tab/>
      </w:r>
      <w:r w:rsidR="00B87451" w:rsidRPr="0073196E">
        <w:rPr>
          <w:color w:val="auto"/>
          <w:sz w:val="21"/>
          <w:szCs w:val="21"/>
          <w:lang w:val="lt-LT"/>
        </w:rPr>
        <w:t>UAB „</w:t>
      </w:r>
      <w:r w:rsidR="00713F36">
        <w:rPr>
          <w:color w:val="auto"/>
          <w:sz w:val="21"/>
          <w:szCs w:val="21"/>
          <w:lang w:val="lt-LT"/>
        </w:rPr>
        <w:t>Dauniškis ir ko</w:t>
      </w:r>
      <w:r w:rsidR="00B87451" w:rsidRPr="0073196E">
        <w:rPr>
          <w:color w:val="auto"/>
          <w:sz w:val="21"/>
          <w:szCs w:val="21"/>
          <w:lang w:val="lt-LT"/>
        </w:rPr>
        <w:t>“</w:t>
      </w:r>
      <w:r w:rsidRPr="0073196E">
        <w:rPr>
          <w:color w:val="auto"/>
          <w:sz w:val="21"/>
          <w:szCs w:val="21"/>
          <w:lang w:val="lt-LT"/>
        </w:rPr>
        <w:t xml:space="preserve"> (toliau - Rangovas), atstovaujama</w:t>
      </w:r>
      <w:r w:rsidR="00B87451" w:rsidRPr="0073196E">
        <w:rPr>
          <w:color w:val="auto"/>
          <w:sz w:val="21"/>
          <w:szCs w:val="21"/>
          <w:lang w:val="lt-LT"/>
        </w:rPr>
        <w:t xml:space="preserve"> direktoriaus </w:t>
      </w:r>
      <w:r w:rsidRPr="0073196E">
        <w:rPr>
          <w:color w:val="auto"/>
          <w:sz w:val="21"/>
          <w:szCs w:val="21"/>
          <w:lang w:val="lt-LT"/>
        </w:rPr>
        <w:t xml:space="preserve"> </w:t>
      </w:r>
      <w:r w:rsidR="00713F36">
        <w:rPr>
          <w:color w:val="auto"/>
          <w:sz w:val="21"/>
          <w:szCs w:val="21"/>
          <w:lang w:val="lt-LT"/>
        </w:rPr>
        <w:t>Alvydo Rudoko</w:t>
      </w:r>
      <w:r w:rsidRPr="0073196E">
        <w:rPr>
          <w:color w:val="auto"/>
          <w:sz w:val="21"/>
          <w:szCs w:val="21"/>
          <w:lang w:val="lt-LT"/>
        </w:rPr>
        <w:t xml:space="preserve">, veikiančio pagal </w:t>
      </w:r>
      <w:r w:rsidR="00B87451" w:rsidRPr="0073196E">
        <w:rPr>
          <w:color w:val="auto"/>
          <w:sz w:val="21"/>
          <w:szCs w:val="21"/>
          <w:lang w:val="lt-LT"/>
        </w:rPr>
        <w:t xml:space="preserve">bendrovės įstatus </w:t>
      </w:r>
      <w:r w:rsidRPr="0073196E">
        <w:rPr>
          <w:color w:val="auto"/>
          <w:sz w:val="21"/>
          <w:szCs w:val="21"/>
          <w:lang w:val="lt-LT"/>
        </w:rPr>
        <w:t>ir</w:t>
      </w:r>
      <w:r w:rsidR="00B87451" w:rsidRPr="0073196E">
        <w:rPr>
          <w:color w:val="auto"/>
          <w:sz w:val="21"/>
          <w:szCs w:val="21"/>
          <w:lang w:val="lt-LT"/>
        </w:rPr>
        <w:t xml:space="preserve"> Visagino </w:t>
      </w:r>
      <w:r w:rsidR="00713F36">
        <w:rPr>
          <w:color w:val="auto"/>
          <w:sz w:val="21"/>
          <w:szCs w:val="21"/>
          <w:lang w:val="lt-LT"/>
        </w:rPr>
        <w:t>Gerosios vilties progimnazija</w:t>
      </w:r>
      <w:r w:rsidRPr="0073196E">
        <w:rPr>
          <w:color w:val="auto"/>
          <w:sz w:val="21"/>
          <w:szCs w:val="21"/>
          <w:lang w:val="lt-LT"/>
        </w:rPr>
        <w:t xml:space="preserve"> (toliau –</w:t>
      </w:r>
      <w:r w:rsidR="00B87451" w:rsidRPr="0073196E">
        <w:rPr>
          <w:color w:val="auto"/>
          <w:sz w:val="21"/>
          <w:szCs w:val="21"/>
          <w:lang w:val="lt-LT"/>
        </w:rPr>
        <w:t xml:space="preserve"> </w:t>
      </w:r>
      <w:r w:rsidRPr="0073196E">
        <w:rPr>
          <w:color w:val="auto"/>
          <w:sz w:val="21"/>
          <w:szCs w:val="21"/>
          <w:lang w:val="lt-LT"/>
        </w:rPr>
        <w:t>Užsakovas), atstovaujama</w:t>
      </w:r>
      <w:r w:rsidR="00B87451" w:rsidRPr="0073196E">
        <w:rPr>
          <w:color w:val="auto"/>
          <w:sz w:val="21"/>
          <w:szCs w:val="21"/>
          <w:lang w:val="lt-LT"/>
        </w:rPr>
        <w:t xml:space="preserve"> direktorės </w:t>
      </w:r>
      <w:r w:rsidR="00713F36">
        <w:rPr>
          <w:color w:val="auto"/>
          <w:sz w:val="21"/>
          <w:szCs w:val="21"/>
          <w:lang w:val="lt-LT"/>
        </w:rPr>
        <w:t>Jolantos Bartkūnienės</w:t>
      </w:r>
      <w:r w:rsidRPr="0073196E">
        <w:rPr>
          <w:color w:val="auto"/>
          <w:sz w:val="21"/>
          <w:szCs w:val="21"/>
          <w:lang w:val="lt-LT"/>
        </w:rPr>
        <w:t>, veikiančio</w:t>
      </w:r>
      <w:r w:rsidR="00B87451" w:rsidRPr="0073196E">
        <w:rPr>
          <w:color w:val="auto"/>
          <w:sz w:val="21"/>
          <w:szCs w:val="21"/>
          <w:lang w:val="lt-LT"/>
        </w:rPr>
        <w:t>s</w:t>
      </w:r>
      <w:r w:rsidRPr="0073196E">
        <w:rPr>
          <w:color w:val="auto"/>
          <w:sz w:val="21"/>
          <w:szCs w:val="21"/>
          <w:lang w:val="lt-LT"/>
        </w:rPr>
        <w:t xml:space="preserve"> pagal </w:t>
      </w:r>
      <w:r w:rsidR="00B87451" w:rsidRPr="0073196E">
        <w:rPr>
          <w:color w:val="auto"/>
          <w:sz w:val="21"/>
          <w:szCs w:val="21"/>
          <w:lang w:val="lt-LT"/>
        </w:rPr>
        <w:t>įstaigos nuostatus</w:t>
      </w:r>
      <w:r w:rsidRPr="0073196E">
        <w:rPr>
          <w:color w:val="auto"/>
          <w:sz w:val="21"/>
          <w:szCs w:val="21"/>
          <w:lang w:val="lt-LT"/>
        </w:rPr>
        <w:t xml:space="preserve">, toliau kartu šiame susitarime Rangovas ir Užsakovas vadinami „Šalimis“, o kiekvienas atskirai - „Šalimi“, </w:t>
      </w:r>
    </w:p>
    <w:p w14:paraId="371FF820" w14:textId="77777777" w:rsidR="00335E7D" w:rsidRPr="009565AB" w:rsidRDefault="00335E7D" w:rsidP="009565AB">
      <w:pPr>
        <w:pStyle w:val="Body"/>
        <w:spacing w:line="240" w:lineRule="auto"/>
        <w:jc w:val="both"/>
        <w:rPr>
          <w:rFonts w:ascii="Times New Roman" w:eastAsia="Times New Roman" w:hAnsi="Times New Roman" w:cs="Times New Roman"/>
          <w:sz w:val="21"/>
          <w:szCs w:val="21"/>
          <w:lang w:val="lt-LT"/>
        </w:rPr>
      </w:pPr>
    </w:p>
    <w:p w14:paraId="607EAB54" w14:textId="77777777" w:rsidR="00335E7D" w:rsidRPr="009565AB" w:rsidRDefault="00161805" w:rsidP="009565AB">
      <w:pPr>
        <w:pStyle w:val="Heading"/>
        <w:rPr>
          <w:sz w:val="21"/>
          <w:szCs w:val="21"/>
          <w:lang w:val="lt-LT"/>
        </w:rPr>
      </w:pPr>
      <w:r w:rsidRPr="009565AB">
        <w:rPr>
          <w:sz w:val="21"/>
          <w:szCs w:val="21"/>
          <w:lang w:val="lt-LT"/>
        </w:rPr>
        <w:tab/>
        <w:t>ATSIŽVELGDAMOS Į TAI, KAD:</w:t>
      </w:r>
    </w:p>
    <w:p w14:paraId="767FAF32" w14:textId="77777777" w:rsidR="00335E7D" w:rsidRPr="0073196E" w:rsidRDefault="00335E7D" w:rsidP="009565AB">
      <w:pPr>
        <w:pStyle w:val="Body"/>
        <w:spacing w:line="240" w:lineRule="auto"/>
        <w:jc w:val="both"/>
        <w:rPr>
          <w:rFonts w:ascii="Times New Roman" w:eastAsia="Times New Roman" w:hAnsi="Times New Roman" w:cs="Times New Roman"/>
          <w:color w:val="auto"/>
          <w:sz w:val="21"/>
          <w:szCs w:val="21"/>
          <w:lang w:val="lt-LT"/>
        </w:rPr>
      </w:pPr>
    </w:p>
    <w:p w14:paraId="1B7110C5" w14:textId="094C21AE" w:rsidR="00335E7D" w:rsidRPr="0073196E" w:rsidRDefault="00161805" w:rsidP="009565AB">
      <w:pPr>
        <w:pStyle w:val="Body2"/>
        <w:rPr>
          <w:color w:val="auto"/>
          <w:sz w:val="21"/>
          <w:szCs w:val="21"/>
          <w:lang w:val="lt-LT"/>
        </w:rPr>
      </w:pPr>
      <w:r w:rsidRPr="0073196E">
        <w:rPr>
          <w:color w:val="auto"/>
          <w:sz w:val="21"/>
          <w:szCs w:val="21"/>
          <w:lang w:val="lt-LT"/>
        </w:rPr>
        <w:tab/>
        <w:t xml:space="preserve">A. Šalys </w:t>
      </w:r>
      <w:r w:rsidR="00B87451" w:rsidRPr="0073196E">
        <w:rPr>
          <w:color w:val="auto"/>
          <w:sz w:val="21"/>
          <w:szCs w:val="21"/>
          <w:lang w:val="lt-LT"/>
        </w:rPr>
        <w:t xml:space="preserve">2024 m. </w:t>
      </w:r>
      <w:r w:rsidR="00713F36">
        <w:rPr>
          <w:color w:val="auto"/>
          <w:sz w:val="21"/>
          <w:szCs w:val="21"/>
          <w:lang w:val="lt-LT"/>
        </w:rPr>
        <w:t>rugpjūčio</w:t>
      </w:r>
      <w:r w:rsidR="00B87451" w:rsidRPr="0073196E">
        <w:rPr>
          <w:color w:val="auto"/>
          <w:sz w:val="21"/>
          <w:szCs w:val="21"/>
          <w:lang w:val="lt-LT"/>
        </w:rPr>
        <w:t xml:space="preserve"> </w:t>
      </w:r>
      <w:r w:rsidR="00713F36">
        <w:rPr>
          <w:color w:val="auto"/>
          <w:sz w:val="21"/>
          <w:szCs w:val="21"/>
          <w:lang w:val="lt-LT"/>
        </w:rPr>
        <w:t>21</w:t>
      </w:r>
      <w:r w:rsidR="00B87451" w:rsidRPr="0073196E">
        <w:rPr>
          <w:color w:val="auto"/>
          <w:sz w:val="21"/>
          <w:szCs w:val="21"/>
          <w:lang w:val="lt-LT"/>
        </w:rPr>
        <w:t xml:space="preserve"> d.</w:t>
      </w:r>
      <w:r w:rsidRPr="0073196E">
        <w:rPr>
          <w:color w:val="auto"/>
          <w:sz w:val="21"/>
          <w:szCs w:val="21"/>
          <w:lang w:val="lt-LT"/>
        </w:rPr>
        <w:t xml:space="preserve"> sudarė pirkimo sutartį </w:t>
      </w:r>
      <w:r w:rsidR="00B87451" w:rsidRPr="0073196E">
        <w:rPr>
          <w:color w:val="auto"/>
          <w:sz w:val="21"/>
          <w:szCs w:val="21"/>
          <w:lang w:val="lt-LT"/>
        </w:rPr>
        <w:t xml:space="preserve">Nr. </w:t>
      </w:r>
      <w:r w:rsidR="00713F36" w:rsidRPr="00713F36">
        <w:rPr>
          <w:color w:val="auto"/>
          <w:sz w:val="21"/>
          <w:szCs w:val="21"/>
          <w:lang w:val="lt-LT"/>
        </w:rPr>
        <w:t>CPO311934</w:t>
      </w:r>
      <w:r w:rsidR="00170E40">
        <w:rPr>
          <w:color w:val="auto"/>
          <w:sz w:val="21"/>
          <w:szCs w:val="21"/>
          <w:lang w:val="lt-LT"/>
        </w:rPr>
        <w:t xml:space="preserve"> </w:t>
      </w:r>
      <w:r w:rsidR="00170E40" w:rsidRPr="0073196E">
        <w:rPr>
          <w:color w:val="auto"/>
          <w:sz w:val="21"/>
          <w:szCs w:val="21"/>
          <w:lang w:val="lt-LT"/>
        </w:rPr>
        <w:t>(toliau – Sutartis)</w:t>
      </w:r>
      <w:r w:rsidRPr="0073196E">
        <w:rPr>
          <w:color w:val="auto"/>
          <w:sz w:val="21"/>
          <w:szCs w:val="21"/>
          <w:lang w:val="lt-LT"/>
        </w:rPr>
        <w:t xml:space="preserve"> „</w:t>
      </w:r>
      <w:r w:rsidR="00713F36" w:rsidRPr="00713F36">
        <w:rPr>
          <w:color w:val="auto"/>
          <w:sz w:val="21"/>
          <w:szCs w:val="21"/>
          <w:lang w:val="lt-LT"/>
        </w:rPr>
        <w:t>Visagino mokslo paskirties pastato, Partizanų g. 2, Visagine, paprastojo remonto darbų 1 dalies (etapo) (Padidinti ugdymo prieinamumą atskirtį patiriantiems vaikams“ (investicijų kryptis – „Infrastruktūros pritaikymas neįgaliesiems efektyviai veikiančiose mokyklose“) priemonės Nr. 12-003-03-01-23 (RE))</w:t>
      </w:r>
      <w:r w:rsidR="00713F36">
        <w:rPr>
          <w:color w:val="auto"/>
          <w:sz w:val="21"/>
          <w:szCs w:val="21"/>
          <w:lang w:val="lt-LT"/>
        </w:rPr>
        <w:t xml:space="preserve"> ir 2</w:t>
      </w:r>
      <w:r w:rsidR="00713F36" w:rsidRPr="00713F36">
        <w:rPr>
          <w:color w:val="auto"/>
          <w:sz w:val="21"/>
          <w:szCs w:val="21"/>
          <w:lang w:val="lt-LT"/>
        </w:rPr>
        <w:t xml:space="preserve"> dalies (etapo)</w:t>
      </w:r>
      <w:r w:rsidR="00713F36">
        <w:rPr>
          <w:color w:val="auto"/>
          <w:sz w:val="21"/>
          <w:szCs w:val="21"/>
          <w:lang w:val="lt-LT"/>
        </w:rPr>
        <w:t xml:space="preserve"> </w:t>
      </w:r>
      <w:r w:rsidR="00713F36" w:rsidRPr="00713F36">
        <w:rPr>
          <w:color w:val="auto"/>
          <w:sz w:val="21"/>
          <w:szCs w:val="21"/>
          <w:lang w:val="lt-LT"/>
        </w:rPr>
        <w:t>(Pažangos priemonė  Nr. LT029-01-03-02 „Visos dienos mokyklos modelio pritaikymas formalaus ir neformalaus švietimo integracijai“, projektas „Visos dienos užimtumo erdvių sukūrimas Visagino bendrojo ugdymo mokyklose“) pagal patalpų sutvarkymo paprastojo remonto darbų aprašą Nr. AZP-023-273</w:t>
      </w:r>
      <w:r w:rsidRPr="0073196E">
        <w:rPr>
          <w:color w:val="auto"/>
          <w:sz w:val="21"/>
          <w:szCs w:val="21"/>
          <w:lang w:val="lt-LT"/>
        </w:rPr>
        <w:t xml:space="preserve">. </w:t>
      </w:r>
    </w:p>
    <w:p w14:paraId="57C44000" w14:textId="77777777" w:rsidR="00170E40" w:rsidRDefault="00161805" w:rsidP="009565AB">
      <w:pPr>
        <w:pStyle w:val="Body2"/>
        <w:rPr>
          <w:color w:val="auto"/>
          <w:sz w:val="21"/>
          <w:szCs w:val="21"/>
          <w:lang w:val="lt-LT"/>
        </w:rPr>
      </w:pPr>
      <w:r w:rsidRPr="0073196E">
        <w:rPr>
          <w:color w:val="auto"/>
          <w:sz w:val="21"/>
          <w:szCs w:val="21"/>
          <w:lang w:val="lt-LT"/>
        </w:rPr>
        <w:tab/>
        <w:t>B. Sutarties galiojimo terminui nepasibaigus kilo poreikis</w:t>
      </w:r>
      <w:r w:rsidR="00B87451" w:rsidRPr="0073196E">
        <w:rPr>
          <w:color w:val="auto"/>
          <w:sz w:val="21"/>
          <w:szCs w:val="21"/>
          <w:lang w:val="lt-LT"/>
        </w:rPr>
        <w:t xml:space="preserve"> nupirkti papildomus ir nenumatytus darbus siekiant </w:t>
      </w:r>
      <w:r w:rsidR="00844837" w:rsidRPr="0073196E">
        <w:rPr>
          <w:color w:val="auto"/>
          <w:sz w:val="21"/>
          <w:szCs w:val="21"/>
          <w:lang w:val="lt-LT"/>
        </w:rPr>
        <w:t>užtikrinti</w:t>
      </w:r>
      <w:r w:rsidR="00170E40">
        <w:rPr>
          <w:color w:val="auto"/>
          <w:sz w:val="21"/>
          <w:szCs w:val="21"/>
          <w:lang w:val="lt-LT"/>
        </w:rPr>
        <w:t xml:space="preserve"> tolimesnį</w:t>
      </w:r>
      <w:r w:rsidR="00844837" w:rsidRPr="0073196E">
        <w:rPr>
          <w:color w:val="auto"/>
          <w:sz w:val="21"/>
          <w:szCs w:val="21"/>
          <w:lang w:val="lt-LT"/>
        </w:rPr>
        <w:t xml:space="preserve"> sklandų ir racionalų remonto darbų vykdymą.</w:t>
      </w:r>
      <w:r w:rsidRPr="0073196E">
        <w:rPr>
          <w:color w:val="auto"/>
          <w:sz w:val="21"/>
          <w:szCs w:val="21"/>
          <w:lang w:val="lt-LT"/>
        </w:rPr>
        <w:tab/>
      </w:r>
    </w:p>
    <w:p w14:paraId="345F266D" w14:textId="1C544BC1" w:rsidR="00335E7D" w:rsidRPr="0073196E" w:rsidRDefault="00161805" w:rsidP="00170E40">
      <w:pPr>
        <w:pStyle w:val="Body2"/>
        <w:ind w:firstLine="720"/>
        <w:rPr>
          <w:color w:val="auto"/>
          <w:sz w:val="21"/>
          <w:szCs w:val="21"/>
          <w:lang w:val="lt-LT"/>
        </w:rPr>
      </w:pPr>
      <w:r w:rsidRPr="0073196E">
        <w:rPr>
          <w:color w:val="auto"/>
          <w:sz w:val="21"/>
          <w:szCs w:val="21"/>
          <w:lang w:val="lt-LT"/>
        </w:rPr>
        <w:t xml:space="preserve">C. Sutarties </w:t>
      </w:r>
      <w:r w:rsidR="00B87451" w:rsidRPr="0073196E">
        <w:rPr>
          <w:color w:val="auto"/>
          <w:sz w:val="21"/>
          <w:szCs w:val="21"/>
          <w:lang w:val="lt-LT"/>
        </w:rPr>
        <w:t>10.1.2 papunk</w:t>
      </w:r>
      <w:r w:rsidR="00170E40">
        <w:rPr>
          <w:color w:val="auto"/>
          <w:sz w:val="21"/>
          <w:szCs w:val="21"/>
          <w:lang w:val="lt-LT"/>
        </w:rPr>
        <w:t>tyje</w:t>
      </w:r>
      <w:r w:rsidRPr="0073196E">
        <w:rPr>
          <w:color w:val="auto"/>
          <w:sz w:val="21"/>
          <w:szCs w:val="21"/>
          <w:lang w:val="lt-LT"/>
        </w:rPr>
        <w:t xml:space="preserve"> numatyta, kad Sutarties sąlygos gali būti keičiamos tik vadovaujantis Viešųjų pirkimų įstatymo (toliau - VPĮ) 89 straipsnio nuostatomis.</w:t>
      </w:r>
    </w:p>
    <w:p w14:paraId="4151EAB4" w14:textId="41A72044" w:rsidR="00335E7D" w:rsidRPr="009565AB" w:rsidRDefault="00161805" w:rsidP="009565AB">
      <w:pPr>
        <w:pStyle w:val="Body2"/>
        <w:rPr>
          <w:i/>
          <w:iCs/>
          <w:sz w:val="21"/>
          <w:szCs w:val="21"/>
          <w:lang w:val="lt-LT"/>
        </w:rPr>
      </w:pPr>
      <w:r w:rsidRPr="009565AB">
        <w:rPr>
          <w:sz w:val="21"/>
          <w:szCs w:val="21"/>
          <w:lang w:val="lt-LT"/>
        </w:rPr>
        <w:tab/>
        <w:t xml:space="preserve">D. Vadovaujantis VPĮ 89 straipsnio 1 dalies 2 punktu, Sutartis gali būti keičiama neatliekant naujos pirkimo procedūros, </w:t>
      </w:r>
      <w:r w:rsidRPr="009565AB">
        <w:rPr>
          <w:i/>
          <w:iCs/>
          <w:sz w:val="21"/>
          <w:szCs w:val="21"/>
          <w:lang w:val="lt-LT"/>
        </w:rPr>
        <w:t>„kai būtina iš to paties tiekėjo pirkti papildomų darbų, paslaugų ar prekių, kurie nebuvo įtraukti į pirminį pirkimą, kai yra visos šios sąlygos kartu:</w:t>
      </w:r>
    </w:p>
    <w:p w14:paraId="7EA5E3B0" w14:textId="77777777" w:rsidR="00335E7D" w:rsidRPr="009565AB" w:rsidRDefault="00161805" w:rsidP="009565AB">
      <w:pPr>
        <w:pStyle w:val="Body2"/>
        <w:rPr>
          <w:i/>
          <w:iCs/>
          <w:sz w:val="21"/>
          <w:szCs w:val="21"/>
          <w:lang w:val="lt-LT"/>
        </w:rPr>
      </w:pPr>
      <w:r w:rsidRPr="009565AB">
        <w:rPr>
          <w:i/>
          <w:iCs/>
          <w:sz w:val="21"/>
          <w:szCs w:val="21"/>
          <w:lang w:val="lt-LT"/>
        </w:rPr>
        <w:tab/>
        <w:t>a) tiekėjo pakeitimas negalimas dėl ekonominių ar techninių priežasčių, tokių kaip pagal pirminį pirkimą įsigytos įrangos, paslaugų ar įrenginių pakeičiamumo ir sąveikumo reikalavimų užtikrinimas, ir dėl to, kad perkančiajai organizacijai sukeltų didelių nepatogumų ar nemažą išlaidų dubliavimą;</w:t>
      </w:r>
    </w:p>
    <w:p w14:paraId="3D1CD125" w14:textId="77777777" w:rsidR="00335E7D" w:rsidRPr="009565AB" w:rsidRDefault="00161805" w:rsidP="009565AB">
      <w:pPr>
        <w:pStyle w:val="Body2"/>
        <w:rPr>
          <w:sz w:val="21"/>
          <w:szCs w:val="21"/>
          <w:lang w:val="lt-LT"/>
        </w:rPr>
      </w:pPr>
      <w:r w:rsidRPr="009565AB">
        <w:rPr>
          <w:i/>
          <w:iCs/>
          <w:sz w:val="21"/>
          <w:szCs w:val="21"/>
          <w:lang w:val="lt-LT"/>
        </w:rPr>
        <w:tab/>
        <w:t>b) atskiro pakeitimo vertė neviršija 50 procentų, o bendra atskirų pakeitimų pagal šį punktą vertė – 100 procentų pradinės pirkimo sutarties ar preliminariosios sutarties vertės. Tokiais pakeitimais negali būti siekiama išvengti šiame įstatyme pirkimui nustatytos tvarkos taikymo“</w:t>
      </w:r>
      <w:r w:rsidRPr="009565AB">
        <w:rPr>
          <w:sz w:val="21"/>
          <w:szCs w:val="21"/>
          <w:lang w:val="lt-LT"/>
        </w:rPr>
        <w:t>.</w:t>
      </w:r>
    </w:p>
    <w:p w14:paraId="15905C2D" w14:textId="77777777" w:rsidR="00335E7D" w:rsidRPr="009565AB" w:rsidRDefault="00161805" w:rsidP="009565AB">
      <w:pPr>
        <w:pStyle w:val="Body2"/>
        <w:rPr>
          <w:sz w:val="21"/>
          <w:szCs w:val="21"/>
          <w:lang w:val="lt-LT"/>
        </w:rPr>
      </w:pPr>
      <w:r w:rsidRPr="009565AB">
        <w:rPr>
          <w:sz w:val="21"/>
          <w:szCs w:val="21"/>
          <w:lang w:val="lt-LT"/>
        </w:rPr>
        <w:tab/>
        <w:t>E. Pakeitimas grindžiamas šiomis aplinkybėmis, atitinkančiomis aukščiau nurodytus VPĮ reikalavimus:</w:t>
      </w:r>
    </w:p>
    <w:p w14:paraId="60F49A52" w14:textId="2FB32C1B" w:rsidR="00624D56" w:rsidRPr="0073196E" w:rsidRDefault="00161805" w:rsidP="009565AB">
      <w:pPr>
        <w:pStyle w:val="Body2"/>
        <w:rPr>
          <w:color w:val="auto"/>
          <w:sz w:val="21"/>
          <w:szCs w:val="21"/>
          <w:lang w:val="lt-LT"/>
        </w:rPr>
      </w:pPr>
      <w:r w:rsidRPr="009565AB">
        <w:rPr>
          <w:sz w:val="21"/>
          <w:szCs w:val="21"/>
          <w:lang w:val="lt-LT"/>
        </w:rPr>
        <w:tab/>
        <w:t xml:space="preserve">1) būtina pirkti iš to </w:t>
      </w:r>
      <w:r w:rsidRPr="0073196E">
        <w:rPr>
          <w:color w:val="auto"/>
          <w:sz w:val="21"/>
          <w:szCs w:val="21"/>
          <w:lang w:val="lt-LT"/>
        </w:rPr>
        <w:t>paties Rangovo papildom</w:t>
      </w:r>
      <w:r w:rsidR="00170E40">
        <w:rPr>
          <w:color w:val="auto"/>
          <w:sz w:val="21"/>
          <w:szCs w:val="21"/>
          <w:lang w:val="lt-LT"/>
        </w:rPr>
        <w:t xml:space="preserve">us bei </w:t>
      </w:r>
      <w:r w:rsidR="00170E40">
        <w:rPr>
          <w:sz w:val="21"/>
          <w:szCs w:val="21"/>
          <w:lang w:val="lt-LT"/>
        </w:rPr>
        <w:t>nenumatytus darbus</w:t>
      </w:r>
      <w:r w:rsidRPr="009565AB">
        <w:rPr>
          <w:sz w:val="21"/>
          <w:szCs w:val="21"/>
          <w:lang w:val="lt-LT"/>
        </w:rPr>
        <w:t xml:space="preserve"> kadangi</w:t>
      </w:r>
      <w:r w:rsidR="00624D56">
        <w:rPr>
          <w:sz w:val="21"/>
          <w:szCs w:val="21"/>
          <w:lang w:val="lt-LT"/>
        </w:rPr>
        <w:t xml:space="preserve"> </w:t>
      </w:r>
      <w:bookmarkStart w:id="1" w:name="_Hlk172644717"/>
      <w:r w:rsidR="00170E40">
        <w:rPr>
          <w:sz w:val="21"/>
          <w:szCs w:val="21"/>
          <w:lang w:val="lt-LT"/>
        </w:rPr>
        <w:t xml:space="preserve">norint </w:t>
      </w:r>
      <w:r w:rsidR="00624D56" w:rsidRPr="00624D56">
        <w:rPr>
          <w:sz w:val="21"/>
          <w:szCs w:val="21"/>
          <w:lang w:val="lt-LT"/>
        </w:rPr>
        <w:t>užtikrinti</w:t>
      </w:r>
      <w:r w:rsidR="00170E40">
        <w:rPr>
          <w:sz w:val="21"/>
          <w:szCs w:val="21"/>
          <w:lang w:val="lt-LT"/>
        </w:rPr>
        <w:t xml:space="preserve"> tolimesnį</w:t>
      </w:r>
      <w:r w:rsidR="00624D56" w:rsidRPr="00624D56">
        <w:rPr>
          <w:sz w:val="21"/>
          <w:szCs w:val="21"/>
          <w:lang w:val="lt-LT"/>
        </w:rPr>
        <w:t xml:space="preserve"> sklandų ir racionalų remonto darbų vykdymą</w:t>
      </w:r>
      <w:bookmarkEnd w:id="1"/>
      <w:r w:rsidR="00624D56" w:rsidRPr="00624D56">
        <w:rPr>
          <w:sz w:val="21"/>
          <w:szCs w:val="21"/>
          <w:lang w:val="lt-LT"/>
        </w:rPr>
        <w:t xml:space="preserve">, dabar būtina papildomai </w:t>
      </w:r>
      <w:r w:rsidR="00624D56">
        <w:rPr>
          <w:sz w:val="21"/>
          <w:szCs w:val="21"/>
          <w:lang w:val="lt-LT"/>
        </w:rPr>
        <w:t xml:space="preserve">iš to paties Rangovo </w:t>
      </w:r>
      <w:r w:rsidR="00624D56" w:rsidRPr="00624D56">
        <w:rPr>
          <w:sz w:val="21"/>
          <w:szCs w:val="21"/>
          <w:lang w:val="lt-LT"/>
        </w:rPr>
        <w:t xml:space="preserve">įsigyti ir atlikti </w:t>
      </w:r>
      <w:r w:rsidR="00170E40">
        <w:rPr>
          <w:sz w:val="21"/>
          <w:szCs w:val="21"/>
          <w:lang w:val="lt-LT"/>
        </w:rPr>
        <w:t xml:space="preserve">papildomus ir nenumatytus darbus aprašytus </w:t>
      </w:r>
      <w:r w:rsidR="00624D56" w:rsidRPr="00624D56">
        <w:rPr>
          <w:sz w:val="21"/>
          <w:szCs w:val="21"/>
          <w:lang w:val="lt-LT"/>
        </w:rPr>
        <w:t xml:space="preserve">defektiniame akte Nr. 1 </w:t>
      </w:r>
      <w:r w:rsidR="00170E40">
        <w:rPr>
          <w:sz w:val="21"/>
          <w:szCs w:val="21"/>
          <w:lang w:val="lt-LT"/>
        </w:rPr>
        <w:t>ir Nr. 2, jiems paruoštas ir pateiktas sąmatas.</w:t>
      </w:r>
    </w:p>
    <w:p w14:paraId="78EAE8F8" w14:textId="5A749D05" w:rsidR="00335E7D" w:rsidRPr="0073196E" w:rsidRDefault="00161805" w:rsidP="009565AB">
      <w:pPr>
        <w:pStyle w:val="Body2"/>
        <w:rPr>
          <w:color w:val="auto"/>
          <w:sz w:val="21"/>
          <w:szCs w:val="21"/>
          <w:lang w:val="lt-LT"/>
        </w:rPr>
      </w:pPr>
      <w:r w:rsidRPr="0073196E">
        <w:rPr>
          <w:color w:val="auto"/>
          <w:sz w:val="21"/>
          <w:szCs w:val="21"/>
          <w:lang w:val="lt-LT"/>
        </w:rPr>
        <w:tab/>
        <w:t xml:space="preserve">2)  Pradinė Sutarties vertė yra </w:t>
      </w:r>
      <w:bookmarkStart w:id="2" w:name="_Hlk187667329"/>
      <w:r w:rsidR="00170E40">
        <w:rPr>
          <w:color w:val="auto"/>
          <w:sz w:val="21"/>
          <w:szCs w:val="21"/>
          <w:lang w:val="lt-LT"/>
        </w:rPr>
        <w:t>959 843,95</w:t>
      </w:r>
      <w:bookmarkEnd w:id="2"/>
      <w:r w:rsidRPr="0073196E">
        <w:rPr>
          <w:color w:val="auto"/>
          <w:sz w:val="21"/>
          <w:szCs w:val="21"/>
          <w:lang w:val="lt-LT"/>
        </w:rPr>
        <w:t xml:space="preserve"> Eur </w:t>
      </w:r>
      <w:r w:rsidR="00170E40">
        <w:rPr>
          <w:color w:val="auto"/>
          <w:sz w:val="21"/>
          <w:szCs w:val="21"/>
          <w:lang w:val="lt-LT"/>
        </w:rPr>
        <w:t>su</w:t>
      </w:r>
      <w:r w:rsidRPr="0073196E">
        <w:rPr>
          <w:color w:val="auto"/>
          <w:sz w:val="21"/>
          <w:szCs w:val="21"/>
          <w:lang w:val="lt-LT"/>
        </w:rPr>
        <w:t xml:space="preserve"> PVM. Šio pakeitimo vertė neviršija 50 % pradinės Sutarties vertės ir bendra atskirų pakeitimų pagal VPĮ 89 straipsnio 1 dalies 2 punktą neviršija 100 % pradinės Sutarties vertės:</w:t>
      </w:r>
    </w:p>
    <w:tbl>
      <w:tblPr>
        <w:tblW w:w="9499" w:type="dxa"/>
        <w:tblBorders>
          <w:top w:val="dotted" w:sz="6" w:space="0" w:color="919191"/>
          <w:left w:val="single" w:sz="2" w:space="0" w:color="919191"/>
          <w:bottom w:val="dotted" w:sz="6" w:space="0" w:color="919191"/>
          <w:right w:val="single" w:sz="2" w:space="0" w:color="919191"/>
          <w:insideH w:val="single" w:sz="2" w:space="0" w:color="919191"/>
          <w:insideV w:val="single" w:sz="2" w:space="0" w:color="919191"/>
        </w:tblBorders>
        <w:tblLayout w:type="fixed"/>
        <w:tblLook w:val="04A0" w:firstRow="1" w:lastRow="0" w:firstColumn="1" w:lastColumn="0" w:noHBand="0" w:noVBand="1"/>
      </w:tblPr>
      <w:tblGrid>
        <w:gridCol w:w="570"/>
        <w:gridCol w:w="2223"/>
        <w:gridCol w:w="1957"/>
        <w:gridCol w:w="1583"/>
        <w:gridCol w:w="1583"/>
        <w:gridCol w:w="1583"/>
      </w:tblGrid>
      <w:tr w:rsidR="0073196E" w:rsidRPr="00157AAD" w14:paraId="2ADEB096" w14:textId="77777777" w:rsidTr="00844837">
        <w:trPr>
          <w:trHeight w:val="958"/>
        </w:trPr>
        <w:tc>
          <w:tcPr>
            <w:tcW w:w="570" w:type="dxa"/>
            <w:tcBorders>
              <w:top w:val="nil"/>
              <w:left w:val="nil"/>
              <w:bottom w:val="dotted" w:sz="6" w:space="0" w:color="919191"/>
              <w:right w:val="single" w:sz="2" w:space="0" w:color="919191"/>
            </w:tcBorders>
            <w:shd w:val="clear" w:color="auto" w:fill="auto"/>
            <w:tcMar>
              <w:top w:w="80" w:type="dxa"/>
              <w:left w:w="80" w:type="dxa"/>
              <w:bottom w:w="80" w:type="dxa"/>
              <w:right w:w="80" w:type="dxa"/>
            </w:tcMar>
          </w:tcPr>
          <w:p w14:paraId="66F871C5" w14:textId="77777777" w:rsidR="00335E7D" w:rsidRPr="0073196E" w:rsidRDefault="00161805" w:rsidP="00844837">
            <w:pPr>
              <w:pStyle w:val="Body2"/>
              <w:ind w:left="-6"/>
              <w:rPr>
                <w:color w:val="auto"/>
                <w:sz w:val="21"/>
                <w:szCs w:val="21"/>
                <w:lang w:val="lt-LT"/>
              </w:rPr>
            </w:pPr>
            <w:r w:rsidRPr="0073196E">
              <w:rPr>
                <w:color w:val="auto"/>
                <w:sz w:val="21"/>
                <w:szCs w:val="21"/>
                <w:lang w:val="lt-LT"/>
              </w:rPr>
              <w:t>Eil. Nr.</w:t>
            </w:r>
          </w:p>
        </w:tc>
        <w:tc>
          <w:tcPr>
            <w:tcW w:w="2223" w:type="dxa"/>
            <w:tcBorders>
              <w:top w:val="nil"/>
              <w:left w:val="single" w:sz="2" w:space="0" w:color="919191"/>
              <w:bottom w:val="dotted" w:sz="6" w:space="0" w:color="919191"/>
              <w:right w:val="single" w:sz="2" w:space="0" w:color="919191"/>
            </w:tcBorders>
            <w:shd w:val="clear" w:color="auto" w:fill="auto"/>
            <w:tcMar>
              <w:top w:w="80" w:type="dxa"/>
              <w:left w:w="80" w:type="dxa"/>
              <w:bottom w:w="80" w:type="dxa"/>
              <w:right w:w="80" w:type="dxa"/>
            </w:tcMar>
          </w:tcPr>
          <w:p w14:paraId="6431802F" w14:textId="77777777" w:rsidR="00335E7D" w:rsidRPr="0073196E" w:rsidRDefault="00161805" w:rsidP="00844837">
            <w:pPr>
              <w:pStyle w:val="Body2"/>
              <w:ind w:left="-6"/>
              <w:rPr>
                <w:color w:val="auto"/>
                <w:sz w:val="21"/>
                <w:szCs w:val="21"/>
                <w:lang w:val="lt-LT"/>
              </w:rPr>
            </w:pPr>
            <w:r w:rsidRPr="0073196E">
              <w:rPr>
                <w:color w:val="auto"/>
                <w:sz w:val="21"/>
                <w:szCs w:val="21"/>
                <w:lang w:val="lt-LT"/>
              </w:rPr>
              <w:t>Sutarties pakeitimas</w:t>
            </w:r>
          </w:p>
        </w:tc>
        <w:tc>
          <w:tcPr>
            <w:tcW w:w="1957" w:type="dxa"/>
            <w:tcBorders>
              <w:top w:val="nil"/>
              <w:left w:val="single" w:sz="2" w:space="0" w:color="919191"/>
              <w:bottom w:val="dotted" w:sz="6" w:space="0" w:color="919191"/>
              <w:right w:val="single" w:sz="2" w:space="0" w:color="919191"/>
            </w:tcBorders>
            <w:shd w:val="clear" w:color="auto" w:fill="auto"/>
            <w:tcMar>
              <w:top w:w="80" w:type="dxa"/>
              <w:left w:w="80" w:type="dxa"/>
              <w:bottom w:w="80" w:type="dxa"/>
              <w:right w:w="80" w:type="dxa"/>
            </w:tcMar>
          </w:tcPr>
          <w:p w14:paraId="5A0F814F" w14:textId="6EF234C4" w:rsidR="00335E7D" w:rsidRPr="0073196E" w:rsidRDefault="00161805" w:rsidP="00844837">
            <w:pPr>
              <w:pStyle w:val="Body2"/>
              <w:ind w:left="-6"/>
              <w:jc w:val="left"/>
              <w:rPr>
                <w:color w:val="auto"/>
                <w:sz w:val="21"/>
                <w:szCs w:val="21"/>
                <w:lang w:val="lt-LT"/>
              </w:rPr>
            </w:pPr>
            <w:r w:rsidRPr="0073196E">
              <w:rPr>
                <w:color w:val="auto"/>
                <w:sz w:val="21"/>
                <w:szCs w:val="21"/>
                <w:lang w:val="lt-LT"/>
              </w:rPr>
              <w:t xml:space="preserve">Atsisakomo sutarties objekto </w:t>
            </w:r>
            <w:r w:rsidR="009565AB" w:rsidRPr="0073196E">
              <w:rPr>
                <w:color w:val="auto"/>
                <w:sz w:val="21"/>
                <w:szCs w:val="21"/>
                <w:lang w:val="lt-LT"/>
              </w:rPr>
              <w:t>vertė</w:t>
            </w:r>
            <w:r w:rsidRPr="0073196E">
              <w:rPr>
                <w:color w:val="auto"/>
                <w:sz w:val="21"/>
                <w:szCs w:val="21"/>
                <w:lang w:val="lt-LT"/>
              </w:rPr>
              <w:t>, Eur be PVM</w:t>
            </w:r>
          </w:p>
        </w:tc>
        <w:tc>
          <w:tcPr>
            <w:tcW w:w="1583" w:type="dxa"/>
            <w:tcBorders>
              <w:top w:val="nil"/>
              <w:left w:val="single" w:sz="2" w:space="0" w:color="919191"/>
              <w:bottom w:val="dotted" w:sz="6" w:space="0" w:color="919191"/>
              <w:right w:val="single" w:sz="2" w:space="0" w:color="919191"/>
            </w:tcBorders>
            <w:shd w:val="clear" w:color="auto" w:fill="auto"/>
            <w:tcMar>
              <w:top w:w="80" w:type="dxa"/>
              <w:left w:w="80" w:type="dxa"/>
              <w:bottom w:w="80" w:type="dxa"/>
              <w:right w:w="80" w:type="dxa"/>
            </w:tcMar>
          </w:tcPr>
          <w:p w14:paraId="1FE0A5AB" w14:textId="61FB784A" w:rsidR="00335E7D" w:rsidRPr="0073196E" w:rsidRDefault="00161805" w:rsidP="00844837">
            <w:pPr>
              <w:pStyle w:val="Body2"/>
              <w:ind w:left="-6"/>
              <w:jc w:val="left"/>
              <w:rPr>
                <w:color w:val="auto"/>
                <w:sz w:val="21"/>
                <w:szCs w:val="21"/>
                <w:lang w:val="lt-LT"/>
              </w:rPr>
            </w:pPr>
            <w:r w:rsidRPr="0073196E">
              <w:rPr>
                <w:color w:val="auto"/>
                <w:sz w:val="21"/>
                <w:szCs w:val="21"/>
                <w:lang w:val="lt-LT"/>
              </w:rPr>
              <w:t>P</w:t>
            </w:r>
            <w:r w:rsidR="009565AB" w:rsidRPr="0073196E">
              <w:rPr>
                <w:color w:val="auto"/>
                <w:sz w:val="21"/>
                <w:szCs w:val="21"/>
                <w:lang w:val="lt-LT"/>
              </w:rPr>
              <w:t xml:space="preserve">apildomo </w:t>
            </w:r>
            <w:r w:rsidRPr="0073196E">
              <w:rPr>
                <w:color w:val="auto"/>
                <w:sz w:val="21"/>
                <w:szCs w:val="21"/>
                <w:lang w:val="lt-LT"/>
              </w:rPr>
              <w:t xml:space="preserve">sutarties objekto </w:t>
            </w:r>
            <w:r w:rsidR="009565AB" w:rsidRPr="0073196E">
              <w:rPr>
                <w:color w:val="auto"/>
                <w:sz w:val="21"/>
                <w:szCs w:val="21"/>
                <w:lang w:val="lt-LT"/>
              </w:rPr>
              <w:t>vertė</w:t>
            </w:r>
            <w:r w:rsidRPr="0073196E">
              <w:rPr>
                <w:color w:val="auto"/>
                <w:sz w:val="21"/>
                <w:szCs w:val="21"/>
                <w:lang w:val="lt-LT"/>
              </w:rPr>
              <w:t xml:space="preserve">, Eur </w:t>
            </w:r>
            <w:r w:rsidR="00170E40">
              <w:rPr>
                <w:color w:val="auto"/>
                <w:sz w:val="21"/>
                <w:szCs w:val="21"/>
                <w:lang w:val="lt-LT"/>
              </w:rPr>
              <w:t xml:space="preserve">su </w:t>
            </w:r>
            <w:r w:rsidRPr="0073196E">
              <w:rPr>
                <w:color w:val="auto"/>
                <w:sz w:val="21"/>
                <w:szCs w:val="21"/>
                <w:lang w:val="lt-LT"/>
              </w:rPr>
              <w:t>PVM</w:t>
            </w:r>
          </w:p>
        </w:tc>
        <w:tc>
          <w:tcPr>
            <w:tcW w:w="1583" w:type="dxa"/>
            <w:tcBorders>
              <w:top w:val="nil"/>
              <w:left w:val="single" w:sz="2" w:space="0" w:color="919191"/>
              <w:bottom w:val="dotted" w:sz="6" w:space="0" w:color="919191"/>
              <w:right w:val="single" w:sz="2" w:space="0" w:color="919191"/>
            </w:tcBorders>
            <w:shd w:val="clear" w:color="auto" w:fill="auto"/>
            <w:tcMar>
              <w:top w:w="80" w:type="dxa"/>
              <w:left w:w="80" w:type="dxa"/>
              <w:bottom w:w="80" w:type="dxa"/>
              <w:right w:w="80" w:type="dxa"/>
            </w:tcMar>
          </w:tcPr>
          <w:p w14:paraId="08404F2A" w14:textId="77777777" w:rsidR="00335E7D" w:rsidRPr="0073196E" w:rsidRDefault="00161805" w:rsidP="00844837">
            <w:pPr>
              <w:pStyle w:val="Body2"/>
              <w:ind w:left="-6"/>
              <w:jc w:val="left"/>
              <w:rPr>
                <w:color w:val="auto"/>
                <w:sz w:val="21"/>
                <w:szCs w:val="21"/>
                <w:lang w:val="lt-LT"/>
              </w:rPr>
            </w:pPr>
            <w:r w:rsidRPr="0073196E">
              <w:rPr>
                <w:color w:val="auto"/>
                <w:sz w:val="21"/>
                <w:szCs w:val="21"/>
                <w:lang w:val="lt-LT"/>
              </w:rPr>
              <w:t>Bendra pakeitimo vertė, Eur be PVM</w:t>
            </w:r>
          </w:p>
        </w:tc>
        <w:tc>
          <w:tcPr>
            <w:tcW w:w="1583" w:type="dxa"/>
            <w:tcBorders>
              <w:top w:val="nil"/>
              <w:left w:val="single" w:sz="2" w:space="0" w:color="919191"/>
              <w:bottom w:val="dotted" w:sz="6" w:space="0" w:color="919191"/>
              <w:right w:val="nil"/>
            </w:tcBorders>
            <w:shd w:val="clear" w:color="auto" w:fill="auto"/>
            <w:tcMar>
              <w:top w:w="80" w:type="dxa"/>
              <w:left w:w="80" w:type="dxa"/>
              <w:bottom w:w="80" w:type="dxa"/>
              <w:right w:w="80" w:type="dxa"/>
            </w:tcMar>
          </w:tcPr>
          <w:p w14:paraId="2629C105" w14:textId="77777777" w:rsidR="00335E7D" w:rsidRPr="0073196E" w:rsidRDefault="00161805" w:rsidP="00844837">
            <w:pPr>
              <w:pStyle w:val="Body2"/>
              <w:ind w:left="-6"/>
              <w:jc w:val="left"/>
              <w:rPr>
                <w:color w:val="auto"/>
                <w:sz w:val="21"/>
                <w:szCs w:val="21"/>
                <w:lang w:val="lt-LT"/>
              </w:rPr>
            </w:pPr>
            <w:r w:rsidRPr="0073196E">
              <w:rPr>
                <w:color w:val="auto"/>
                <w:sz w:val="21"/>
                <w:szCs w:val="21"/>
                <w:lang w:val="lt-LT"/>
              </w:rPr>
              <w:t>Pakeitimo vertė procentais nuo pradinės Sutarties vertės</w:t>
            </w:r>
          </w:p>
        </w:tc>
      </w:tr>
      <w:tr w:rsidR="0073196E" w:rsidRPr="0073196E" w14:paraId="149D4A6B" w14:textId="77777777" w:rsidTr="00844837">
        <w:trPr>
          <w:trHeight w:val="288"/>
        </w:trPr>
        <w:tc>
          <w:tcPr>
            <w:tcW w:w="570" w:type="dxa"/>
            <w:tcBorders>
              <w:top w:val="dotted" w:sz="6" w:space="0" w:color="919191"/>
              <w:left w:val="nil"/>
              <w:bottom w:val="dotted" w:sz="6" w:space="0" w:color="919191"/>
              <w:right w:val="single" w:sz="2" w:space="0" w:color="919191"/>
            </w:tcBorders>
            <w:shd w:val="clear" w:color="auto" w:fill="auto"/>
            <w:tcMar>
              <w:top w:w="80" w:type="dxa"/>
              <w:left w:w="80" w:type="dxa"/>
              <w:bottom w:w="80" w:type="dxa"/>
              <w:right w:w="80" w:type="dxa"/>
            </w:tcMar>
          </w:tcPr>
          <w:p w14:paraId="3C29472E" w14:textId="77777777" w:rsidR="00335E7D" w:rsidRPr="0073196E" w:rsidRDefault="00161805" w:rsidP="00844837">
            <w:pPr>
              <w:pStyle w:val="Body2"/>
              <w:ind w:left="-6"/>
              <w:rPr>
                <w:color w:val="auto"/>
                <w:sz w:val="21"/>
                <w:szCs w:val="21"/>
                <w:lang w:val="lt-LT"/>
              </w:rPr>
            </w:pPr>
            <w:r w:rsidRPr="0073196E">
              <w:rPr>
                <w:color w:val="auto"/>
                <w:sz w:val="21"/>
                <w:szCs w:val="21"/>
                <w:lang w:val="lt-LT"/>
              </w:rPr>
              <w:t>1.</w:t>
            </w:r>
          </w:p>
        </w:tc>
        <w:tc>
          <w:tcPr>
            <w:tcW w:w="2223" w:type="dxa"/>
            <w:tcBorders>
              <w:top w:val="dotted" w:sz="6" w:space="0" w:color="919191"/>
              <w:left w:val="single" w:sz="2" w:space="0" w:color="919191"/>
              <w:bottom w:val="dotted" w:sz="6" w:space="0" w:color="919191"/>
              <w:right w:val="single" w:sz="2" w:space="0" w:color="919191"/>
            </w:tcBorders>
            <w:shd w:val="clear" w:color="auto" w:fill="auto"/>
            <w:tcMar>
              <w:top w:w="80" w:type="dxa"/>
              <w:left w:w="80" w:type="dxa"/>
              <w:bottom w:w="80" w:type="dxa"/>
              <w:right w:w="80" w:type="dxa"/>
            </w:tcMar>
          </w:tcPr>
          <w:p w14:paraId="169C7DA4" w14:textId="77777777" w:rsidR="00335E7D" w:rsidRPr="0073196E" w:rsidRDefault="00161805" w:rsidP="00844837">
            <w:pPr>
              <w:pStyle w:val="Body2"/>
              <w:ind w:left="-6"/>
              <w:rPr>
                <w:color w:val="auto"/>
                <w:sz w:val="21"/>
                <w:szCs w:val="21"/>
                <w:lang w:val="lt-LT"/>
              </w:rPr>
            </w:pPr>
            <w:r w:rsidRPr="0073196E">
              <w:rPr>
                <w:color w:val="auto"/>
                <w:sz w:val="21"/>
                <w:szCs w:val="21"/>
                <w:lang w:val="lt-LT"/>
              </w:rPr>
              <w:t>Šis pakeitimas</w:t>
            </w:r>
          </w:p>
        </w:tc>
        <w:tc>
          <w:tcPr>
            <w:tcW w:w="1957" w:type="dxa"/>
            <w:tcBorders>
              <w:top w:val="dotted" w:sz="6" w:space="0" w:color="919191"/>
              <w:left w:val="single" w:sz="2" w:space="0" w:color="919191"/>
              <w:bottom w:val="dotted" w:sz="6" w:space="0" w:color="919191"/>
              <w:right w:val="single" w:sz="2" w:space="0" w:color="919191"/>
            </w:tcBorders>
            <w:shd w:val="clear" w:color="auto" w:fill="auto"/>
            <w:tcMar>
              <w:top w:w="80" w:type="dxa"/>
              <w:left w:w="80" w:type="dxa"/>
              <w:bottom w:w="80" w:type="dxa"/>
              <w:right w:w="80" w:type="dxa"/>
            </w:tcMar>
            <w:vAlign w:val="center"/>
          </w:tcPr>
          <w:p w14:paraId="0C8CAC76" w14:textId="77777777" w:rsidR="00335E7D" w:rsidRPr="0073196E" w:rsidRDefault="00161805" w:rsidP="00844837">
            <w:pPr>
              <w:pStyle w:val="Body2"/>
              <w:ind w:left="-6"/>
              <w:rPr>
                <w:color w:val="auto"/>
                <w:sz w:val="21"/>
                <w:szCs w:val="21"/>
                <w:lang w:val="lt-LT"/>
              </w:rPr>
            </w:pPr>
            <w:r w:rsidRPr="0073196E">
              <w:rPr>
                <w:color w:val="auto"/>
                <w:sz w:val="21"/>
                <w:szCs w:val="21"/>
                <w:lang w:val="lt-LT"/>
              </w:rPr>
              <w:t>0,00</w:t>
            </w:r>
          </w:p>
        </w:tc>
        <w:tc>
          <w:tcPr>
            <w:tcW w:w="1583" w:type="dxa"/>
            <w:tcBorders>
              <w:top w:val="dotted" w:sz="6" w:space="0" w:color="919191"/>
              <w:left w:val="single" w:sz="2" w:space="0" w:color="919191"/>
              <w:bottom w:val="dotted" w:sz="6" w:space="0" w:color="919191"/>
              <w:right w:val="single" w:sz="2" w:space="0" w:color="919191"/>
            </w:tcBorders>
            <w:shd w:val="clear" w:color="auto" w:fill="auto"/>
            <w:tcMar>
              <w:top w:w="80" w:type="dxa"/>
              <w:left w:w="80" w:type="dxa"/>
              <w:bottom w:w="80" w:type="dxa"/>
              <w:right w:w="80" w:type="dxa"/>
            </w:tcMar>
            <w:vAlign w:val="center"/>
          </w:tcPr>
          <w:p w14:paraId="0BC0E0F8" w14:textId="28446350" w:rsidR="00335E7D" w:rsidRPr="0073196E" w:rsidRDefault="008C4446" w:rsidP="00844837">
            <w:pPr>
              <w:pStyle w:val="Body2"/>
              <w:ind w:left="-6"/>
              <w:rPr>
                <w:color w:val="auto"/>
                <w:sz w:val="21"/>
                <w:szCs w:val="21"/>
                <w:lang w:val="lt-LT"/>
              </w:rPr>
            </w:pPr>
            <w:r>
              <w:rPr>
                <w:color w:val="auto"/>
                <w:sz w:val="21"/>
                <w:szCs w:val="21"/>
                <w:lang w:val="lt-LT"/>
              </w:rPr>
              <w:t>218 248,67</w:t>
            </w:r>
          </w:p>
        </w:tc>
        <w:tc>
          <w:tcPr>
            <w:tcW w:w="1583" w:type="dxa"/>
            <w:tcBorders>
              <w:top w:val="dotted" w:sz="6" w:space="0" w:color="919191"/>
              <w:left w:val="single" w:sz="2" w:space="0" w:color="919191"/>
              <w:bottom w:val="dotted" w:sz="6" w:space="0" w:color="919191"/>
              <w:right w:val="single" w:sz="2" w:space="0" w:color="919191"/>
            </w:tcBorders>
            <w:shd w:val="clear" w:color="auto" w:fill="auto"/>
            <w:tcMar>
              <w:top w:w="80" w:type="dxa"/>
              <w:left w:w="80" w:type="dxa"/>
              <w:bottom w:w="80" w:type="dxa"/>
              <w:right w:w="80" w:type="dxa"/>
            </w:tcMar>
            <w:vAlign w:val="center"/>
          </w:tcPr>
          <w:p w14:paraId="0183431E" w14:textId="2EDDBB3B" w:rsidR="00335E7D" w:rsidRPr="0073196E" w:rsidRDefault="008C4446" w:rsidP="00844837">
            <w:pPr>
              <w:pStyle w:val="Body2"/>
              <w:ind w:left="-6"/>
              <w:rPr>
                <w:color w:val="auto"/>
                <w:sz w:val="21"/>
                <w:szCs w:val="21"/>
                <w:lang w:val="lt-LT"/>
              </w:rPr>
            </w:pPr>
            <w:r>
              <w:rPr>
                <w:color w:val="auto"/>
                <w:sz w:val="21"/>
                <w:szCs w:val="21"/>
                <w:lang w:val="lt-LT"/>
              </w:rPr>
              <w:t>180 370,80</w:t>
            </w:r>
          </w:p>
        </w:tc>
        <w:tc>
          <w:tcPr>
            <w:tcW w:w="1583" w:type="dxa"/>
            <w:tcBorders>
              <w:top w:val="dotted" w:sz="6" w:space="0" w:color="919191"/>
              <w:left w:val="single" w:sz="2" w:space="0" w:color="919191"/>
              <w:bottom w:val="dotted" w:sz="6" w:space="0" w:color="919191"/>
              <w:right w:val="nil"/>
            </w:tcBorders>
            <w:shd w:val="clear" w:color="auto" w:fill="auto"/>
            <w:tcMar>
              <w:top w:w="80" w:type="dxa"/>
              <w:left w:w="80" w:type="dxa"/>
              <w:bottom w:w="80" w:type="dxa"/>
              <w:right w:w="80" w:type="dxa"/>
            </w:tcMar>
            <w:vAlign w:val="center"/>
          </w:tcPr>
          <w:p w14:paraId="23B29225" w14:textId="69F6737B" w:rsidR="00335E7D" w:rsidRPr="0073196E" w:rsidRDefault="008C4446" w:rsidP="00844837">
            <w:pPr>
              <w:pStyle w:val="Body2"/>
              <w:ind w:left="-6"/>
              <w:rPr>
                <w:color w:val="auto"/>
                <w:sz w:val="21"/>
                <w:szCs w:val="21"/>
                <w:lang w:val="lt-LT"/>
              </w:rPr>
            </w:pPr>
            <w:r>
              <w:rPr>
                <w:color w:val="auto"/>
                <w:sz w:val="21"/>
                <w:szCs w:val="21"/>
                <w:lang w:val="lt-LT"/>
              </w:rPr>
              <w:t>22,74</w:t>
            </w:r>
          </w:p>
        </w:tc>
      </w:tr>
      <w:tr w:rsidR="0073196E" w:rsidRPr="0073196E" w14:paraId="6A446B5F" w14:textId="77777777" w:rsidTr="00844837">
        <w:trPr>
          <w:trHeight w:val="288"/>
        </w:trPr>
        <w:tc>
          <w:tcPr>
            <w:tcW w:w="570" w:type="dxa"/>
            <w:tcBorders>
              <w:top w:val="dotted" w:sz="6" w:space="0" w:color="919191"/>
              <w:left w:val="nil"/>
              <w:bottom w:val="nil"/>
              <w:right w:val="single" w:sz="2" w:space="0" w:color="919191"/>
            </w:tcBorders>
            <w:shd w:val="clear" w:color="auto" w:fill="auto"/>
            <w:tcMar>
              <w:top w:w="80" w:type="dxa"/>
              <w:left w:w="80" w:type="dxa"/>
              <w:bottom w:w="80" w:type="dxa"/>
              <w:right w:w="80" w:type="dxa"/>
            </w:tcMar>
          </w:tcPr>
          <w:p w14:paraId="7EF0704D" w14:textId="77777777" w:rsidR="00335E7D" w:rsidRPr="0073196E" w:rsidRDefault="00335E7D" w:rsidP="00844837">
            <w:pPr>
              <w:ind w:left="-6"/>
              <w:rPr>
                <w:sz w:val="21"/>
                <w:szCs w:val="21"/>
                <w:lang w:val="lt-LT"/>
              </w:rPr>
            </w:pPr>
          </w:p>
        </w:tc>
        <w:tc>
          <w:tcPr>
            <w:tcW w:w="2223" w:type="dxa"/>
            <w:tcBorders>
              <w:top w:val="dotted" w:sz="6" w:space="0" w:color="919191"/>
              <w:left w:val="single" w:sz="2" w:space="0" w:color="919191"/>
              <w:bottom w:val="nil"/>
              <w:right w:val="single" w:sz="2" w:space="0" w:color="919191"/>
            </w:tcBorders>
            <w:shd w:val="clear" w:color="auto" w:fill="auto"/>
            <w:tcMar>
              <w:top w:w="80" w:type="dxa"/>
              <w:left w:w="80" w:type="dxa"/>
              <w:bottom w:w="80" w:type="dxa"/>
              <w:right w:w="80" w:type="dxa"/>
            </w:tcMar>
          </w:tcPr>
          <w:p w14:paraId="69113AFF" w14:textId="77777777" w:rsidR="00335E7D" w:rsidRPr="0073196E" w:rsidRDefault="00161805" w:rsidP="00844837">
            <w:pPr>
              <w:pStyle w:val="Body2"/>
              <w:ind w:left="-6"/>
              <w:jc w:val="right"/>
              <w:rPr>
                <w:color w:val="auto"/>
                <w:sz w:val="21"/>
                <w:szCs w:val="21"/>
                <w:lang w:val="lt-LT"/>
              </w:rPr>
            </w:pPr>
            <w:r w:rsidRPr="0073196E">
              <w:rPr>
                <w:color w:val="auto"/>
                <w:sz w:val="21"/>
                <w:szCs w:val="21"/>
                <w:lang w:val="lt-LT"/>
              </w:rPr>
              <w:t>Iš viso:</w:t>
            </w:r>
          </w:p>
        </w:tc>
        <w:tc>
          <w:tcPr>
            <w:tcW w:w="1957" w:type="dxa"/>
            <w:tcBorders>
              <w:top w:val="dotted" w:sz="6" w:space="0" w:color="919191"/>
              <w:left w:val="single" w:sz="2" w:space="0" w:color="919191"/>
              <w:bottom w:val="nil"/>
              <w:right w:val="single" w:sz="2" w:space="0" w:color="919191"/>
            </w:tcBorders>
            <w:shd w:val="clear" w:color="auto" w:fill="auto"/>
            <w:tcMar>
              <w:top w:w="80" w:type="dxa"/>
              <w:left w:w="80" w:type="dxa"/>
              <w:bottom w:w="80" w:type="dxa"/>
              <w:right w:w="80" w:type="dxa"/>
            </w:tcMar>
            <w:vAlign w:val="center"/>
          </w:tcPr>
          <w:p w14:paraId="551140BF" w14:textId="77777777" w:rsidR="00335E7D" w:rsidRPr="0073196E" w:rsidRDefault="00161805" w:rsidP="00844837">
            <w:pPr>
              <w:pStyle w:val="Body2"/>
              <w:ind w:left="-6"/>
              <w:rPr>
                <w:color w:val="auto"/>
                <w:sz w:val="21"/>
                <w:szCs w:val="21"/>
                <w:lang w:val="lt-LT"/>
              </w:rPr>
            </w:pPr>
            <w:r w:rsidRPr="0073196E">
              <w:rPr>
                <w:color w:val="auto"/>
                <w:sz w:val="21"/>
                <w:szCs w:val="21"/>
                <w:lang w:val="lt-LT"/>
              </w:rPr>
              <w:t>…</w:t>
            </w:r>
          </w:p>
        </w:tc>
        <w:tc>
          <w:tcPr>
            <w:tcW w:w="1583" w:type="dxa"/>
            <w:tcBorders>
              <w:top w:val="dotted" w:sz="6" w:space="0" w:color="919191"/>
              <w:left w:val="single" w:sz="2" w:space="0" w:color="919191"/>
              <w:bottom w:val="nil"/>
              <w:right w:val="single" w:sz="2" w:space="0" w:color="919191"/>
            </w:tcBorders>
            <w:shd w:val="clear" w:color="auto" w:fill="auto"/>
            <w:tcMar>
              <w:top w:w="80" w:type="dxa"/>
              <w:left w:w="80" w:type="dxa"/>
              <w:bottom w:w="80" w:type="dxa"/>
              <w:right w:w="80" w:type="dxa"/>
            </w:tcMar>
            <w:vAlign w:val="center"/>
          </w:tcPr>
          <w:p w14:paraId="11EDBFBF" w14:textId="77777777" w:rsidR="00335E7D" w:rsidRPr="0073196E" w:rsidRDefault="00161805" w:rsidP="00844837">
            <w:pPr>
              <w:pStyle w:val="Body2"/>
              <w:ind w:left="-6"/>
              <w:rPr>
                <w:color w:val="auto"/>
                <w:sz w:val="21"/>
                <w:szCs w:val="21"/>
                <w:lang w:val="lt-LT"/>
              </w:rPr>
            </w:pPr>
            <w:r w:rsidRPr="0073196E">
              <w:rPr>
                <w:color w:val="auto"/>
                <w:sz w:val="21"/>
                <w:szCs w:val="21"/>
                <w:lang w:val="lt-LT"/>
              </w:rPr>
              <w:t>…</w:t>
            </w:r>
          </w:p>
        </w:tc>
        <w:tc>
          <w:tcPr>
            <w:tcW w:w="1583" w:type="dxa"/>
            <w:tcBorders>
              <w:top w:val="dotted" w:sz="6" w:space="0" w:color="919191"/>
              <w:left w:val="single" w:sz="2" w:space="0" w:color="919191"/>
              <w:bottom w:val="nil"/>
              <w:right w:val="single" w:sz="2" w:space="0" w:color="919191"/>
            </w:tcBorders>
            <w:shd w:val="clear" w:color="auto" w:fill="auto"/>
            <w:tcMar>
              <w:top w:w="80" w:type="dxa"/>
              <w:left w:w="80" w:type="dxa"/>
              <w:bottom w:w="80" w:type="dxa"/>
              <w:right w:w="80" w:type="dxa"/>
            </w:tcMar>
            <w:vAlign w:val="center"/>
          </w:tcPr>
          <w:p w14:paraId="68E1CC7D" w14:textId="77777777" w:rsidR="00335E7D" w:rsidRPr="0073196E" w:rsidRDefault="00161805" w:rsidP="00844837">
            <w:pPr>
              <w:pStyle w:val="Body2"/>
              <w:ind w:left="-6"/>
              <w:rPr>
                <w:color w:val="auto"/>
                <w:sz w:val="21"/>
                <w:szCs w:val="21"/>
                <w:lang w:val="lt-LT"/>
              </w:rPr>
            </w:pPr>
            <w:r w:rsidRPr="0073196E">
              <w:rPr>
                <w:color w:val="auto"/>
                <w:sz w:val="21"/>
                <w:szCs w:val="21"/>
                <w:lang w:val="lt-LT"/>
              </w:rPr>
              <w:t>…</w:t>
            </w:r>
          </w:p>
        </w:tc>
        <w:tc>
          <w:tcPr>
            <w:tcW w:w="1583" w:type="dxa"/>
            <w:tcBorders>
              <w:top w:val="dotted" w:sz="6" w:space="0" w:color="919191"/>
              <w:left w:val="single" w:sz="2" w:space="0" w:color="919191"/>
              <w:bottom w:val="nil"/>
              <w:right w:val="nil"/>
            </w:tcBorders>
            <w:shd w:val="clear" w:color="auto" w:fill="auto"/>
            <w:tcMar>
              <w:top w:w="80" w:type="dxa"/>
              <w:left w:w="80" w:type="dxa"/>
              <w:bottom w:w="80" w:type="dxa"/>
              <w:right w:w="80" w:type="dxa"/>
            </w:tcMar>
            <w:vAlign w:val="center"/>
          </w:tcPr>
          <w:p w14:paraId="396EC9E7" w14:textId="2E58874E" w:rsidR="00335E7D" w:rsidRPr="0073196E" w:rsidRDefault="00161805" w:rsidP="00844837">
            <w:pPr>
              <w:pStyle w:val="Body2"/>
              <w:ind w:left="-6"/>
              <w:rPr>
                <w:color w:val="auto"/>
                <w:sz w:val="21"/>
                <w:szCs w:val="21"/>
                <w:lang w:val="lt-LT"/>
              </w:rPr>
            </w:pPr>
            <w:r w:rsidRPr="0073196E">
              <w:rPr>
                <w:color w:val="auto"/>
                <w:sz w:val="21"/>
                <w:szCs w:val="21"/>
                <w:lang w:val="lt-LT"/>
              </w:rPr>
              <w:t>…</w:t>
            </w:r>
            <w:r w:rsidR="009565AB" w:rsidRPr="0073196E">
              <w:rPr>
                <w:color w:val="auto"/>
                <w:sz w:val="21"/>
                <w:szCs w:val="21"/>
                <w:lang w:val="lt-LT"/>
              </w:rPr>
              <w:t>]</w:t>
            </w:r>
          </w:p>
        </w:tc>
      </w:tr>
    </w:tbl>
    <w:p w14:paraId="44A3C48F" w14:textId="2EE55060" w:rsidR="00335E7D" w:rsidRPr="0073196E" w:rsidRDefault="00161805" w:rsidP="009565AB">
      <w:pPr>
        <w:pStyle w:val="Body2"/>
        <w:rPr>
          <w:color w:val="auto"/>
          <w:sz w:val="21"/>
          <w:szCs w:val="21"/>
          <w:lang w:val="lt-LT"/>
        </w:rPr>
      </w:pPr>
      <w:r w:rsidRPr="0073196E">
        <w:rPr>
          <w:color w:val="auto"/>
          <w:sz w:val="21"/>
          <w:szCs w:val="21"/>
          <w:lang w:val="lt-LT"/>
        </w:rPr>
        <w:tab/>
      </w:r>
    </w:p>
    <w:p w14:paraId="59B88C59" w14:textId="77777777" w:rsidR="00335E7D" w:rsidRPr="0073196E" w:rsidRDefault="00161805" w:rsidP="009565AB">
      <w:pPr>
        <w:pStyle w:val="Heading"/>
        <w:rPr>
          <w:color w:val="auto"/>
          <w:sz w:val="21"/>
          <w:szCs w:val="21"/>
          <w:lang w:val="lt-LT"/>
        </w:rPr>
      </w:pPr>
      <w:r w:rsidRPr="0073196E">
        <w:rPr>
          <w:color w:val="auto"/>
          <w:sz w:val="21"/>
          <w:szCs w:val="21"/>
          <w:lang w:val="lt-LT"/>
        </w:rPr>
        <w:tab/>
        <w:t>ŠALYS SUSITARIA:</w:t>
      </w:r>
    </w:p>
    <w:p w14:paraId="17ED097A" w14:textId="77777777" w:rsidR="00335E7D" w:rsidRPr="0073196E" w:rsidRDefault="00335E7D" w:rsidP="009565AB">
      <w:pPr>
        <w:pStyle w:val="Body"/>
        <w:spacing w:line="240" w:lineRule="auto"/>
        <w:jc w:val="both"/>
        <w:rPr>
          <w:rFonts w:ascii="Times New Roman" w:eastAsia="Times New Roman" w:hAnsi="Times New Roman" w:cs="Times New Roman"/>
          <w:b/>
          <w:bCs/>
          <w:color w:val="auto"/>
          <w:sz w:val="21"/>
          <w:szCs w:val="21"/>
          <w:lang w:val="lt-LT"/>
        </w:rPr>
      </w:pPr>
    </w:p>
    <w:p w14:paraId="7B914A4F" w14:textId="77777777" w:rsidR="00335E7D" w:rsidRPr="0073196E" w:rsidRDefault="00161805" w:rsidP="009565AB">
      <w:pPr>
        <w:pStyle w:val="Heading"/>
        <w:rPr>
          <w:color w:val="auto"/>
          <w:sz w:val="21"/>
          <w:szCs w:val="21"/>
          <w:lang w:val="lt-LT"/>
        </w:rPr>
      </w:pPr>
      <w:r w:rsidRPr="0073196E">
        <w:rPr>
          <w:color w:val="auto"/>
          <w:sz w:val="21"/>
          <w:szCs w:val="21"/>
          <w:lang w:val="lt-LT"/>
        </w:rPr>
        <w:tab/>
        <w:t>1. SUTARTIES SĄLYGŲ PAKEITIMAS</w:t>
      </w:r>
    </w:p>
    <w:p w14:paraId="20D9913D" w14:textId="614525C1" w:rsidR="00335E7D" w:rsidRPr="0073196E" w:rsidRDefault="00161805" w:rsidP="009565AB">
      <w:pPr>
        <w:pStyle w:val="Body2"/>
        <w:rPr>
          <w:color w:val="auto"/>
          <w:sz w:val="21"/>
          <w:szCs w:val="21"/>
          <w:lang w:val="lt-LT"/>
        </w:rPr>
      </w:pPr>
      <w:r w:rsidRPr="0073196E">
        <w:rPr>
          <w:color w:val="auto"/>
          <w:sz w:val="21"/>
          <w:szCs w:val="21"/>
          <w:lang w:val="lt-LT"/>
        </w:rPr>
        <w:tab/>
      </w:r>
    </w:p>
    <w:p w14:paraId="4B42A0F8" w14:textId="7C68E45C" w:rsidR="002F210F" w:rsidRPr="0073196E" w:rsidRDefault="00161805" w:rsidP="002F210F">
      <w:pPr>
        <w:pStyle w:val="Body2"/>
        <w:numPr>
          <w:ilvl w:val="1"/>
          <w:numId w:val="1"/>
        </w:numPr>
        <w:rPr>
          <w:color w:val="auto"/>
          <w:sz w:val="21"/>
          <w:szCs w:val="21"/>
          <w:lang w:val="lt-LT"/>
        </w:rPr>
      </w:pPr>
      <w:r w:rsidRPr="0073196E">
        <w:rPr>
          <w:color w:val="auto"/>
          <w:sz w:val="21"/>
          <w:szCs w:val="21"/>
          <w:lang w:val="lt-LT"/>
        </w:rPr>
        <w:lastRenderedPageBreak/>
        <w:t>Sutarties</w:t>
      </w:r>
      <w:r w:rsidR="002F210F" w:rsidRPr="0073196E">
        <w:rPr>
          <w:color w:val="auto"/>
          <w:sz w:val="21"/>
          <w:szCs w:val="21"/>
          <w:lang w:val="lt-LT"/>
        </w:rPr>
        <w:t xml:space="preserve"> priedo Nr. 2 </w:t>
      </w:r>
      <w:r w:rsidRPr="0073196E">
        <w:rPr>
          <w:color w:val="auto"/>
          <w:sz w:val="21"/>
          <w:szCs w:val="21"/>
          <w:lang w:val="lt-LT"/>
        </w:rPr>
        <w:t>punktą: „</w:t>
      </w:r>
      <w:bookmarkStart w:id="3" w:name="_Hlk172645062"/>
      <w:r w:rsidR="002F210F" w:rsidRPr="0073196E">
        <w:rPr>
          <w:color w:val="auto"/>
          <w:sz w:val="21"/>
          <w:szCs w:val="21"/>
          <w:lang w:val="lt-LT"/>
        </w:rPr>
        <w:t xml:space="preserve">TIEKĖJO pasiūlymo kaina (EUR </w:t>
      </w:r>
      <w:r w:rsidR="00170E40">
        <w:rPr>
          <w:color w:val="auto"/>
          <w:sz w:val="21"/>
          <w:szCs w:val="21"/>
          <w:lang w:val="lt-LT"/>
        </w:rPr>
        <w:t>su</w:t>
      </w:r>
      <w:r w:rsidR="002F210F" w:rsidRPr="0073196E">
        <w:rPr>
          <w:color w:val="auto"/>
          <w:sz w:val="21"/>
          <w:szCs w:val="21"/>
          <w:lang w:val="lt-LT"/>
        </w:rPr>
        <w:t xml:space="preserve"> PVM) </w:t>
      </w:r>
      <w:bookmarkEnd w:id="3"/>
      <w:r w:rsidR="00170E40" w:rsidRPr="00170E40">
        <w:rPr>
          <w:color w:val="auto"/>
          <w:sz w:val="21"/>
          <w:szCs w:val="21"/>
          <w:lang w:val="lt-LT"/>
        </w:rPr>
        <w:t>959 843,95</w:t>
      </w:r>
      <w:r w:rsidRPr="0073196E">
        <w:rPr>
          <w:color w:val="auto"/>
          <w:sz w:val="21"/>
          <w:szCs w:val="21"/>
          <w:lang w:val="lt-LT"/>
        </w:rPr>
        <w:t>“, pakeisti taip: „</w:t>
      </w:r>
      <w:r w:rsidR="002F210F" w:rsidRPr="0073196E">
        <w:rPr>
          <w:color w:val="auto"/>
          <w:sz w:val="21"/>
          <w:szCs w:val="21"/>
          <w:lang w:val="lt-LT"/>
        </w:rPr>
        <w:t xml:space="preserve">TIEKĖJO pasiūlymo kaina (EUR </w:t>
      </w:r>
      <w:r w:rsidR="00170E40">
        <w:rPr>
          <w:color w:val="auto"/>
          <w:sz w:val="21"/>
          <w:szCs w:val="21"/>
          <w:lang w:val="lt-LT"/>
        </w:rPr>
        <w:t>su</w:t>
      </w:r>
      <w:r w:rsidR="002F210F" w:rsidRPr="0073196E">
        <w:rPr>
          <w:color w:val="auto"/>
          <w:sz w:val="21"/>
          <w:szCs w:val="21"/>
          <w:lang w:val="lt-LT"/>
        </w:rPr>
        <w:t xml:space="preserve"> PVM) </w:t>
      </w:r>
      <w:r w:rsidR="00157AAD">
        <w:rPr>
          <w:color w:val="auto"/>
          <w:sz w:val="21"/>
          <w:szCs w:val="21"/>
          <w:lang w:val="lt-LT"/>
        </w:rPr>
        <w:t>1 178 092,62</w:t>
      </w:r>
      <w:r w:rsidR="002F210F" w:rsidRPr="0073196E">
        <w:rPr>
          <w:color w:val="auto"/>
          <w:sz w:val="21"/>
          <w:szCs w:val="21"/>
          <w:lang w:val="lt-LT"/>
        </w:rPr>
        <w:t>.</w:t>
      </w:r>
    </w:p>
    <w:p w14:paraId="25623596" w14:textId="31A36A7B" w:rsidR="00335E7D" w:rsidRPr="009565AB" w:rsidRDefault="00161805" w:rsidP="009565AB">
      <w:pPr>
        <w:pStyle w:val="Body2"/>
        <w:rPr>
          <w:sz w:val="21"/>
          <w:szCs w:val="21"/>
          <w:lang w:val="lt-LT"/>
        </w:rPr>
      </w:pPr>
      <w:r w:rsidRPr="009565AB">
        <w:rPr>
          <w:sz w:val="21"/>
          <w:szCs w:val="21"/>
          <w:lang w:val="lt-LT"/>
        </w:rPr>
        <w:tab/>
        <w:t>1.</w:t>
      </w:r>
      <w:r w:rsidR="00170E40">
        <w:rPr>
          <w:sz w:val="21"/>
          <w:szCs w:val="21"/>
          <w:lang w:val="lt-LT"/>
        </w:rPr>
        <w:t>2</w:t>
      </w:r>
      <w:r w:rsidRPr="009565AB">
        <w:rPr>
          <w:sz w:val="21"/>
          <w:szCs w:val="21"/>
          <w:lang w:val="lt-LT"/>
        </w:rPr>
        <w:t>. Kitos Sutarties nuostatos, nenurodytos šio susitarimo dėl Sutarties pakeitimo 1.1 punkte lieka nepakeistos.</w:t>
      </w:r>
      <w:r w:rsidRPr="009565AB">
        <w:rPr>
          <w:sz w:val="21"/>
          <w:szCs w:val="21"/>
          <w:lang w:val="lt-LT"/>
        </w:rPr>
        <w:tab/>
      </w:r>
    </w:p>
    <w:p w14:paraId="43AE903C" w14:textId="77777777" w:rsidR="00335E7D" w:rsidRPr="009565AB" w:rsidRDefault="00161805" w:rsidP="009565AB">
      <w:pPr>
        <w:pStyle w:val="Heading"/>
        <w:rPr>
          <w:sz w:val="21"/>
          <w:szCs w:val="21"/>
          <w:lang w:val="lt-LT"/>
        </w:rPr>
      </w:pPr>
      <w:r w:rsidRPr="009565AB">
        <w:rPr>
          <w:sz w:val="21"/>
          <w:szCs w:val="21"/>
          <w:lang w:val="lt-LT"/>
        </w:rPr>
        <w:tab/>
      </w:r>
    </w:p>
    <w:p w14:paraId="1AE03859" w14:textId="77777777" w:rsidR="00335E7D" w:rsidRPr="009565AB" w:rsidRDefault="00161805" w:rsidP="009565AB">
      <w:pPr>
        <w:pStyle w:val="Heading"/>
        <w:rPr>
          <w:sz w:val="21"/>
          <w:szCs w:val="21"/>
          <w:lang w:val="lt-LT"/>
        </w:rPr>
      </w:pPr>
      <w:r w:rsidRPr="009565AB">
        <w:rPr>
          <w:sz w:val="21"/>
          <w:szCs w:val="21"/>
          <w:lang w:val="lt-LT"/>
        </w:rPr>
        <w:tab/>
        <w:t>2. KITOS NUOSTATOS</w:t>
      </w:r>
    </w:p>
    <w:p w14:paraId="26DE6D0D" w14:textId="77777777" w:rsidR="00335E7D" w:rsidRPr="009565AB" w:rsidRDefault="00335E7D" w:rsidP="009565AB">
      <w:pPr>
        <w:pStyle w:val="Body2"/>
        <w:rPr>
          <w:sz w:val="21"/>
          <w:szCs w:val="21"/>
          <w:lang w:val="lt-LT"/>
        </w:rPr>
      </w:pPr>
    </w:p>
    <w:p w14:paraId="3E0A4079" w14:textId="77777777" w:rsidR="00335E7D" w:rsidRPr="009565AB" w:rsidRDefault="00161805" w:rsidP="009565AB">
      <w:pPr>
        <w:pStyle w:val="Body2"/>
        <w:rPr>
          <w:sz w:val="21"/>
          <w:szCs w:val="21"/>
          <w:lang w:val="lt-LT"/>
        </w:rPr>
      </w:pPr>
      <w:r w:rsidRPr="009565AB">
        <w:rPr>
          <w:sz w:val="21"/>
          <w:szCs w:val="21"/>
          <w:lang w:val="lt-LT"/>
        </w:rPr>
        <w:tab/>
        <w:t>2.1. Susitarimas įsigalioja, kai jį pasirašo abi Sutarties Šalys.</w:t>
      </w:r>
    </w:p>
    <w:p w14:paraId="2A583701" w14:textId="77777777" w:rsidR="00335E7D" w:rsidRPr="009565AB" w:rsidRDefault="00161805" w:rsidP="009565AB">
      <w:pPr>
        <w:pStyle w:val="Body2"/>
        <w:rPr>
          <w:sz w:val="21"/>
          <w:szCs w:val="21"/>
          <w:lang w:val="lt-LT"/>
        </w:rPr>
      </w:pPr>
      <w:r w:rsidRPr="009565AB">
        <w:rPr>
          <w:sz w:val="21"/>
          <w:szCs w:val="21"/>
          <w:lang w:val="lt-LT"/>
        </w:rPr>
        <w:tab/>
        <w:t>2.2. Susitarimas laikomas neatskiriama Sutarties dalimi.</w:t>
      </w:r>
    </w:p>
    <w:p w14:paraId="1542DB10" w14:textId="77777777" w:rsidR="00335E7D" w:rsidRPr="009565AB" w:rsidRDefault="00161805" w:rsidP="009565AB">
      <w:pPr>
        <w:pStyle w:val="Body2"/>
        <w:rPr>
          <w:sz w:val="21"/>
          <w:szCs w:val="21"/>
          <w:lang w:val="lt-LT"/>
        </w:rPr>
      </w:pPr>
      <w:r w:rsidRPr="009565AB">
        <w:rPr>
          <w:sz w:val="21"/>
          <w:szCs w:val="21"/>
          <w:lang w:val="lt-LT"/>
        </w:rPr>
        <w:tab/>
        <w:t>2.3. Susitarime naudojamų sąvokų reikšmės atitinka Sutartyje pateiktus sąvokų apibrėžimus.</w:t>
      </w:r>
    </w:p>
    <w:p w14:paraId="40DAA30B" w14:textId="77777777" w:rsidR="00335E7D" w:rsidRPr="009565AB" w:rsidRDefault="00161805" w:rsidP="009565AB">
      <w:pPr>
        <w:pStyle w:val="Body2"/>
        <w:rPr>
          <w:sz w:val="21"/>
          <w:szCs w:val="21"/>
          <w:lang w:val="lt-LT"/>
        </w:rPr>
      </w:pPr>
      <w:r w:rsidRPr="009565AB">
        <w:rPr>
          <w:sz w:val="21"/>
          <w:szCs w:val="21"/>
          <w:lang w:val="lt-LT"/>
        </w:rPr>
        <w:tab/>
        <w:t xml:space="preserve">2.4. Susitarimas sudaromas dviem egzemplioriais, po vieną kiekvienai Šaliai. </w:t>
      </w:r>
    </w:p>
    <w:p w14:paraId="1EADB99C" w14:textId="77777777" w:rsidR="00335E7D" w:rsidRPr="009565AB" w:rsidRDefault="00335E7D" w:rsidP="009565AB">
      <w:pPr>
        <w:pStyle w:val="Body2"/>
        <w:rPr>
          <w:sz w:val="21"/>
          <w:szCs w:val="21"/>
          <w:lang w:val="lt-LT"/>
        </w:rPr>
      </w:pPr>
    </w:p>
    <w:p w14:paraId="09B65CA2" w14:textId="77777777" w:rsidR="00335E7D" w:rsidRPr="0073196E" w:rsidRDefault="00161805" w:rsidP="009565AB">
      <w:pPr>
        <w:pStyle w:val="Heading"/>
        <w:rPr>
          <w:color w:val="auto"/>
          <w:sz w:val="21"/>
          <w:szCs w:val="21"/>
          <w:lang w:val="lt-LT"/>
        </w:rPr>
      </w:pPr>
      <w:r w:rsidRPr="009565AB">
        <w:rPr>
          <w:sz w:val="21"/>
          <w:szCs w:val="21"/>
          <w:lang w:val="lt-LT"/>
        </w:rPr>
        <w:tab/>
      </w:r>
      <w:r w:rsidRPr="0073196E">
        <w:rPr>
          <w:color w:val="auto"/>
          <w:sz w:val="21"/>
          <w:szCs w:val="21"/>
          <w:lang w:val="lt-LT"/>
        </w:rPr>
        <w:t>3. SUSITARIMO PRIEDAS</w:t>
      </w:r>
    </w:p>
    <w:p w14:paraId="340C66DA" w14:textId="77777777" w:rsidR="00335E7D" w:rsidRPr="0073196E" w:rsidRDefault="00335E7D" w:rsidP="009565AB">
      <w:pPr>
        <w:pStyle w:val="Body2"/>
        <w:rPr>
          <w:color w:val="auto"/>
          <w:sz w:val="21"/>
          <w:szCs w:val="21"/>
          <w:lang w:val="lt-LT"/>
        </w:rPr>
      </w:pPr>
    </w:p>
    <w:p w14:paraId="5AD29548" w14:textId="5258C613" w:rsidR="00335E7D" w:rsidRDefault="00161805" w:rsidP="009565AB">
      <w:pPr>
        <w:pStyle w:val="Body2"/>
        <w:rPr>
          <w:color w:val="auto"/>
          <w:sz w:val="21"/>
          <w:szCs w:val="21"/>
          <w:lang w:val="lt-LT"/>
        </w:rPr>
      </w:pPr>
      <w:r w:rsidRPr="0073196E">
        <w:rPr>
          <w:color w:val="auto"/>
          <w:sz w:val="21"/>
          <w:szCs w:val="21"/>
          <w:lang w:val="lt-LT"/>
        </w:rPr>
        <w:tab/>
        <w:t xml:space="preserve">3.1. </w:t>
      </w:r>
      <w:bookmarkStart w:id="4" w:name="_Hlk187667450"/>
      <w:r w:rsidR="00170E40" w:rsidRPr="00170E40">
        <w:rPr>
          <w:color w:val="auto"/>
          <w:sz w:val="21"/>
          <w:szCs w:val="21"/>
          <w:lang w:val="lt-LT"/>
        </w:rPr>
        <w:t xml:space="preserve">Visagino mokslo paskirties pastato, </w:t>
      </w:r>
      <w:r w:rsidR="00170E40">
        <w:rPr>
          <w:color w:val="auto"/>
          <w:sz w:val="21"/>
          <w:szCs w:val="21"/>
          <w:lang w:val="lt-LT"/>
        </w:rPr>
        <w:t>P</w:t>
      </w:r>
      <w:r w:rsidR="00170E40" w:rsidRPr="00170E40">
        <w:rPr>
          <w:color w:val="auto"/>
          <w:sz w:val="21"/>
          <w:szCs w:val="21"/>
          <w:lang w:val="lt-LT"/>
        </w:rPr>
        <w:t xml:space="preserve">artizanų g. 2, </w:t>
      </w:r>
      <w:r w:rsidR="00170E40">
        <w:rPr>
          <w:color w:val="auto"/>
          <w:sz w:val="21"/>
          <w:szCs w:val="21"/>
          <w:lang w:val="lt-LT"/>
        </w:rPr>
        <w:t>V</w:t>
      </w:r>
      <w:r w:rsidR="00170E40" w:rsidRPr="00170E40">
        <w:rPr>
          <w:color w:val="auto"/>
          <w:sz w:val="21"/>
          <w:szCs w:val="21"/>
          <w:lang w:val="lt-LT"/>
        </w:rPr>
        <w:t xml:space="preserve">isagine, paprastojo remonto darbų pagal patalpų sutvarkymo paprastojo remonto darbų aprašą </w:t>
      </w:r>
      <w:r w:rsidR="00170E40">
        <w:rPr>
          <w:color w:val="auto"/>
          <w:sz w:val="21"/>
          <w:szCs w:val="21"/>
          <w:lang w:val="lt-LT"/>
        </w:rPr>
        <w:t>N</w:t>
      </w:r>
      <w:r w:rsidR="00170E40" w:rsidRPr="00170E40">
        <w:rPr>
          <w:color w:val="auto"/>
          <w:sz w:val="21"/>
          <w:szCs w:val="21"/>
          <w:lang w:val="lt-LT"/>
        </w:rPr>
        <w:t>r. A</w:t>
      </w:r>
      <w:r w:rsidR="00170E40">
        <w:rPr>
          <w:color w:val="auto"/>
          <w:sz w:val="21"/>
          <w:szCs w:val="21"/>
          <w:lang w:val="lt-LT"/>
        </w:rPr>
        <w:t>ZP</w:t>
      </w:r>
      <w:r w:rsidR="00170E40" w:rsidRPr="00170E40">
        <w:rPr>
          <w:color w:val="auto"/>
          <w:sz w:val="21"/>
          <w:szCs w:val="21"/>
          <w:lang w:val="lt-LT"/>
        </w:rPr>
        <w:t xml:space="preserve">-023-273 defektinis aktas </w:t>
      </w:r>
      <w:r w:rsidR="00170E40">
        <w:rPr>
          <w:color w:val="auto"/>
          <w:sz w:val="21"/>
          <w:szCs w:val="21"/>
          <w:lang w:val="lt-LT"/>
        </w:rPr>
        <w:t>N</w:t>
      </w:r>
      <w:r w:rsidR="00170E40" w:rsidRPr="00170E40">
        <w:rPr>
          <w:color w:val="auto"/>
          <w:sz w:val="21"/>
          <w:szCs w:val="21"/>
          <w:lang w:val="lt-LT"/>
        </w:rPr>
        <w:t>r. 1</w:t>
      </w:r>
      <w:r w:rsidR="0073196E" w:rsidRPr="0073196E">
        <w:rPr>
          <w:color w:val="auto"/>
          <w:sz w:val="21"/>
          <w:szCs w:val="21"/>
          <w:lang w:val="lt-LT"/>
        </w:rPr>
        <w:t xml:space="preserve">, </w:t>
      </w:r>
      <w:r w:rsidR="00170E40">
        <w:rPr>
          <w:color w:val="auto"/>
          <w:sz w:val="21"/>
          <w:szCs w:val="21"/>
          <w:lang w:val="lt-LT"/>
        </w:rPr>
        <w:t>3</w:t>
      </w:r>
      <w:r w:rsidR="0073196E" w:rsidRPr="0073196E">
        <w:rPr>
          <w:color w:val="auto"/>
          <w:sz w:val="21"/>
          <w:szCs w:val="21"/>
          <w:lang w:val="lt-LT"/>
        </w:rPr>
        <w:t xml:space="preserve"> lapai.</w:t>
      </w:r>
      <w:bookmarkEnd w:id="4"/>
    </w:p>
    <w:p w14:paraId="5C6C3C69" w14:textId="349A5D92" w:rsidR="00170E40" w:rsidRPr="0073196E" w:rsidRDefault="00170E40" w:rsidP="009565AB">
      <w:pPr>
        <w:pStyle w:val="Body2"/>
        <w:rPr>
          <w:color w:val="auto"/>
          <w:sz w:val="21"/>
          <w:szCs w:val="21"/>
          <w:lang w:val="lt-LT"/>
        </w:rPr>
      </w:pPr>
      <w:r>
        <w:rPr>
          <w:color w:val="auto"/>
          <w:sz w:val="21"/>
          <w:szCs w:val="21"/>
          <w:lang w:val="lt-LT"/>
        </w:rPr>
        <w:tab/>
        <w:t xml:space="preserve">3.2 </w:t>
      </w:r>
      <w:r w:rsidRPr="00170E40">
        <w:rPr>
          <w:color w:val="auto"/>
          <w:sz w:val="21"/>
          <w:szCs w:val="21"/>
          <w:lang w:val="lt-LT"/>
        </w:rPr>
        <w:t xml:space="preserve">Visagino mokslo paskirties pastato, Partizanų g. 2, Visagine, paprastojo remonto darbų pagal patalpų sutvarkymo paprastojo remonto darbų aprašą Nr. AZP-023-273 defektinis aktas Nr. </w:t>
      </w:r>
      <w:r>
        <w:rPr>
          <w:color w:val="auto"/>
          <w:sz w:val="21"/>
          <w:szCs w:val="21"/>
          <w:lang w:val="lt-LT"/>
        </w:rPr>
        <w:t>2</w:t>
      </w:r>
      <w:r w:rsidRPr="00170E40">
        <w:rPr>
          <w:color w:val="auto"/>
          <w:sz w:val="21"/>
          <w:szCs w:val="21"/>
          <w:lang w:val="lt-LT"/>
        </w:rPr>
        <w:t>, 3 lapai.</w:t>
      </w:r>
    </w:p>
    <w:p w14:paraId="6D0D5C2B" w14:textId="6B40D5B7" w:rsidR="0073196E" w:rsidRPr="0073196E" w:rsidRDefault="0073196E" w:rsidP="009565AB">
      <w:pPr>
        <w:pStyle w:val="Body2"/>
        <w:rPr>
          <w:color w:val="auto"/>
          <w:sz w:val="21"/>
          <w:szCs w:val="21"/>
          <w:lang w:val="lt-LT"/>
        </w:rPr>
      </w:pPr>
      <w:r w:rsidRPr="0073196E">
        <w:rPr>
          <w:color w:val="auto"/>
          <w:sz w:val="21"/>
          <w:szCs w:val="21"/>
          <w:lang w:val="lt-LT"/>
        </w:rPr>
        <w:tab/>
        <w:t xml:space="preserve">3.2. Papildomų/nenumatytų darbų lokalinės sąmatos, </w:t>
      </w:r>
      <w:r w:rsidR="000C206E">
        <w:rPr>
          <w:color w:val="auto"/>
          <w:sz w:val="21"/>
          <w:szCs w:val="21"/>
          <w:lang w:val="lt-LT"/>
        </w:rPr>
        <w:t>10</w:t>
      </w:r>
      <w:r w:rsidRPr="0073196E">
        <w:rPr>
          <w:color w:val="auto"/>
          <w:sz w:val="21"/>
          <w:szCs w:val="21"/>
          <w:lang w:val="lt-LT"/>
        </w:rPr>
        <w:t xml:space="preserve"> lap</w:t>
      </w:r>
      <w:r w:rsidR="000C206E">
        <w:rPr>
          <w:color w:val="auto"/>
          <w:sz w:val="21"/>
          <w:szCs w:val="21"/>
          <w:lang w:val="lt-LT"/>
        </w:rPr>
        <w:t>ų</w:t>
      </w:r>
      <w:r w:rsidRPr="0073196E">
        <w:rPr>
          <w:color w:val="auto"/>
          <w:sz w:val="21"/>
          <w:szCs w:val="21"/>
          <w:lang w:val="lt-LT"/>
        </w:rPr>
        <w:t>.</w:t>
      </w:r>
    </w:p>
    <w:p w14:paraId="7B833E3B" w14:textId="0A97DB39" w:rsidR="0073196E" w:rsidRPr="0073196E" w:rsidRDefault="0073196E" w:rsidP="009565AB">
      <w:pPr>
        <w:pStyle w:val="Body2"/>
        <w:rPr>
          <w:color w:val="auto"/>
          <w:sz w:val="21"/>
          <w:szCs w:val="21"/>
          <w:lang w:val="lt-LT"/>
        </w:rPr>
      </w:pPr>
      <w:r w:rsidRPr="0073196E">
        <w:rPr>
          <w:color w:val="auto"/>
          <w:sz w:val="21"/>
          <w:szCs w:val="21"/>
          <w:lang w:val="lt-LT"/>
        </w:rPr>
        <w:tab/>
        <w:t>3.3. Patikslint</w:t>
      </w:r>
      <w:r w:rsidR="003D1A98">
        <w:rPr>
          <w:color w:val="auto"/>
          <w:sz w:val="21"/>
          <w:szCs w:val="21"/>
          <w:lang w:val="lt-LT"/>
        </w:rPr>
        <w:t>os</w:t>
      </w:r>
      <w:r w:rsidRPr="0073196E">
        <w:rPr>
          <w:color w:val="auto"/>
          <w:sz w:val="21"/>
          <w:szCs w:val="21"/>
          <w:lang w:val="lt-LT"/>
        </w:rPr>
        <w:t xml:space="preserve"> apmokėjimo grafiko form</w:t>
      </w:r>
      <w:r w:rsidR="003D1A98">
        <w:rPr>
          <w:color w:val="auto"/>
          <w:sz w:val="21"/>
          <w:szCs w:val="21"/>
          <w:lang w:val="lt-LT"/>
        </w:rPr>
        <w:t>os</w:t>
      </w:r>
      <w:r w:rsidRPr="0073196E">
        <w:rPr>
          <w:color w:val="auto"/>
          <w:sz w:val="21"/>
          <w:szCs w:val="21"/>
          <w:lang w:val="lt-LT"/>
        </w:rPr>
        <w:t xml:space="preserve">, </w:t>
      </w:r>
      <w:r w:rsidR="003D1A98">
        <w:rPr>
          <w:color w:val="auto"/>
          <w:sz w:val="21"/>
          <w:szCs w:val="21"/>
          <w:lang w:val="lt-LT"/>
        </w:rPr>
        <w:t>2</w:t>
      </w:r>
      <w:r w:rsidRPr="0073196E">
        <w:rPr>
          <w:color w:val="auto"/>
          <w:sz w:val="21"/>
          <w:szCs w:val="21"/>
          <w:lang w:val="lt-LT"/>
        </w:rPr>
        <w:t xml:space="preserve"> lap</w:t>
      </w:r>
      <w:r w:rsidR="003D1A98">
        <w:rPr>
          <w:color w:val="auto"/>
          <w:sz w:val="21"/>
          <w:szCs w:val="21"/>
          <w:lang w:val="lt-LT"/>
        </w:rPr>
        <w:t>ai</w:t>
      </w:r>
      <w:r w:rsidRPr="0073196E">
        <w:rPr>
          <w:color w:val="auto"/>
          <w:sz w:val="21"/>
          <w:szCs w:val="21"/>
          <w:lang w:val="lt-LT"/>
        </w:rPr>
        <w:t>.</w:t>
      </w:r>
    </w:p>
    <w:p w14:paraId="3A5D1E4D" w14:textId="75856BAA" w:rsidR="0073196E" w:rsidRPr="0073196E" w:rsidRDefault="0073196E" w:rsidP="009565AB">
      <w:pPr>
        <w:pStyle w:val="Body2"/>
        <w:rPr>
          <w:color w:val="auto"/>
          <w:sz w:val="21"/>
          <w:szCs w:val="21"/>
          <w:lang w:val="lt-LT"/>
        </w:rPr>
      </w:pPr>
      <w:r w:rsidRPr="0073196E">
        <w:rPr>
          <w:color w:val="auto"/>
          <w:sz w:val="21"/>
          <w:szCs w:val="21"/>
          <w:lang w:val="lt-LT"/>
        </w:rPr>
        <w:tab/>
        <w:t>3.4. Patikslint</w:t>
      </w:r>
      <w:r w:rsidR="000C206E">
        <w:rPr>
          <w:color w:val="auto"/>
          <w:sz w:val="21"/>
          <w:szCs w:val="21"/>
          <w:lang w:val="lt-LT"/>
        </w:rPr>
        <w:t>i</w:t>
      </w:r>
      <w:r w:rsidRPr="0073196E">
        <w:rPr>
          <w:color w:val="auto"/>
          <w:sz w:val="21"/>
          <w:szCs w:val="21"/>
          <w:lang w:val="lt-LT"/>
        </w:rPr>
        <w:t xml:space="preserve"> veiklų grafika</w:t>
      </w:r>
      <w:r w:rsidR="003D1A98">
        <w:rPr>
          <w:color w:val="auto"/>
          <w:sz w:val="21"/>
          <w:szCs w:val="21"/>
          <w:lang w:val="lt-LT"/>
        </w:rPr>
        <w:t>i</w:t>
      </w:r>
      <w:r w:rsidRPr="0073196E">
        <w:rPr>
          <w:color w:val="auto"/>
          <w:sz w:val="21"/>
          <w:szCs w:val="21"/>
          <w:lang w:val="lt-LT"/>
        </w:rPr>
        <w:t xml:space="preserve">, </w:t>
      </w:r>
      <w:r w:rsidR="003D1A98">
        <w:rPr>
          <w:color w:val="auto"/>
          <w:sz w:val="21"/>
          <w:szCs w:val="21"/>
          <w:lang w:val="lt-LT"/>
        </w:rPr>
        <w:t>2</w:t>
      </w:r>
      <w:r w:rsidRPr="0073196E">
        <w:rPr>
          <w:color w:val="auto"/>
          <w:sz w:val="21"/>
          <w:szCs w:val="21"/>
          <w:lang w:val="lt-LT"/>
        </w:rPr>
        <w:t xml:space="preserve"> lap</w:t>
      </w:r>
      <w:r w:rsidR="003D1A98">
        <w:rPr>
          <w:color w:val="auto"/>
          <w:sz w:val="21"/>
          <w:szCs w:val="21"/>
          <w:lang w:val="lt-LT"/>
        </w:rPr>
        <w:t>ai</w:t>
      </w:r>
      <w:r w:rsidRPr="0073196E">
        <w:rPr>
          <w:color w:val="auto"/>
          <w:sz w:val="21"/>
          <w:szCs w:val="21"/>
          <w:lang w:val="lt-LT"/>
        </w:rPr>
        <w:t>.</w:t>
      </w:r>
    </w:p>
    <w:p w14:paraId="5BB5CE0F" w14:textId="77777777" w:rsidR="00335E7D" w:rsidRPr="009565AB" w:rsidRDefault="00161805" w:rsidP="009565AB">
      <w:pPr>
        <w:pStyle w:val="Body"/>
        <w:spacing w:line="240" w:lineRule="auto"/>
        <w:jc w:val="both"/>
        <w:rPr>
          <w:rFonts w:ascii="Times New Roman" w:eastAsia="Times New Roman" w:hAnsi="Times New Roman" w:cs="Times New Roman"/>
          <w:sz w:val="21"/>
          <w:szCs w:val="21"/>
          <w:lang w:val="lt-LT"/>
        </w:rPr>
      </w:pPr>
      <w:r w:rsidRPr="009565AB">
        <w:rPr>
          <w:rFonts w:ascii="Times New Roman" w:eastAsia="Times New Roman" w:hAnsi="Times New Roman" w:cs="Times New Roman"/>
          <w:sz w:val="21"/>
          <w:szCs w:val="21"/>
          <w:lang w:val="lt-LT"/>
        </w:rPr>
        <w:tab/>
      </w:r>
    </w:p>
    <w:p w14:paraId="68AF0CA8" w14:textId="5FEC42D9" w:rsidR="00335E7D" w:rsidRPr="009565AB" w:rsidRDefault="00161805" w:rsidP="009565AB">
      <w:pPr>
        <w:pStyle w:val="Heading"/>
        <w:rPr>
          <w:sz w:val="21"/>
          <w:szCs w:val="21"/>
          <w:lang w:val="lt-LT"/>
        </w:rPr>
      </w:pPr>
      <w:r w:rsidRPr="009565AB">
        <w:rPr>
          <w:sz w:val="21"/>
          <w:szCs w:val="21"/>
          <w:lang w:val="lt-LT"/>
        </w:rPr>
        <w:tab/>
        <w:t>ŠALIŲ JURIDINIAI ADRESAI, REKVIZITAI IR PARAŠAI</w:t>
      </w:r>
      <w:r w:rsidR="00844837">
        <w:rPr>
          <w:sz w:val="21"/>
          <w:szCs w:val="21"/>
          <w:lang w:val="lt-LT"/>
        </w:rPr>
        <w:t>:</w:t>
      </w:r>
    </w:p>
    <w:p w14:paraId="03E0351F" w14:textId="7A350ACD" w:rsidR="00335E7D" w:rsidRPr="00F367AC" w:rsidRDefault="00161805" w:rsidP="00844837">
      <w:pPr>
        <w:pStyle w:val="Body2"/>
        <w:rPr>
          <w:b/>
          <w:bCs/>
          <w:color w:val="auto"/>
          <w:sz w:val="21"/>
          <w:szCs w:val="21"/>
          <w:lang w:val="lt-LT"/>
        </w:rPr>
      </w:pPr>
      <w:r w:rsidRPr="009565AB">
        <w:rPr>
          <w:b/>
          <w:bCs/>
          <w:color w:val="424242"/>
          <w:sz w:val="21"/>
          <w:szCs w:val="21"/>
          <w:lang w:val="lt-LT"/>
        </w:rPr>
        <w:tab/>
      </w:r>
      <w:r w:rsidRPr="009565AB">
        <w:rPr>
          <w:b/>
          <w:bCs/>
          <w:color w:val="424242"/>
          <w:sz w:val="21"/>
          <w:szCs w:val="21"/>
          <w:lang w:val="lt-LT"/>
        </w:rPr>
        <w:tab/>
      </w:r>
      <w:r w:rsidRPr="009565AB">
        <w:rPr>
          <w:b/>
          <w:bCs/>
          <w:color w:val="424242"/>
          <w:sz w:val="21"/>
          <w:szCs w:val="21"/>
          <w:lang w:val="lt-LT"/>
        </w:rPr>
        <w:tab/>
      </w:r>
      <w:r w:rsidRPr="009565AB">
        <w:rPr>
          <w:b/>
          <w:bCs/>
          <w:color w:val="424242"/>
          <w:sz w:val="21"/>
          <w:szCs w:val="21"/>
          <w:lang w:val="lt-LT"/>
        </w:rPr>
        <w:tab/>
      </w:r>
      <w:r w:rsidRPr="009565AB">
        <w:rPr>
          <w:b/>
          <w:bCs/>
          <w:color w:val="424242"/>
          <w:sz w:val="21"/>
          <w:szCs w:val="21"/>
          <w:lang w:val="lt-LT"/>
        </w:rPr>
        <w:tab/>
      </w:r>
      <w:r w:rsidRPr="009565AB">
        <w:rPr>
          <w:b/>
          <w:bCs/>
          <w:color w:val="424242"/>
          <w:sz w:val="21"/>
          <w:szCs w:val="21"/>
          <w:lang w:val="lt-LT"/>
        </w:rPr>
        <w:tab/>
      </w:r>
      <w:r w:rsidRPr="009565AB">
        <w:rPr>
          <w:b/>
          <w:bCs/>
          <w:color w:val="424242"/>
          <w:sz w:val="21"/>
          <w:szCs w:val="21"/>
          <w:lang w:val="lt-LT"/>
        </w:rPr>
        <w:tab/>
      </w:r>
      <w:r w:rsidRPr="009565AB">
        <w:rPr>
          <w:b/>
          <w:bCs/>
          <w:color w:val="424242"/>
          <w:sz w:val="21"/>
          <w:szCs w:val="21"/>
          <w:lang w:val="lt-LT"/>
        </w:rPr>
        <w:tab/>
      </w:r>
      <w:r w:rsidRPr="009565AB">
        <w:rPr>
          <w:b/>
          <w:bCs/>
          <w:color w:val="424242"/>
          <w:sz w:val="21"/>
          <w:szCs w:val="21"/>
          <w:lang w:val="lt-LT"/>
        </w:rPr>
        <w:tab/>
      </w:r>
      <w:r w:rsidRPr="009565AB">
        <w:rPr>
          <w:b/>
          <w:bCs/>
          <w:color w:val="424242"/>
          <w:sz w:val="21"/>
          <w:szCs w:val="21"/>
          <w:lang w:val="lt-LT"/>
        </w:rPr>
        <w:tab/>
      </w:r>
      <w:r w:rsidRPr="009565AB">
        <w:rPr>
          <w:b/>
          <w:bCs/>
          <w:color w:val="424242"/>
          <w:sz w:val="21"/>
          <w:szCs w:val="21"/>
          <w:lang w:val="lt-LT"/>
        </w:rPr>
        <w:tab/>
      </w:r>
      <w:r w:rsidRPr="009565AB">
        <w:rPr>
          <w:b/>
          <w:bCs/>
          <w:color w:val="367DA2"/>
          <w:sz w:val="21"/>
          <w:szCs w:val="21"/>
          <w:lang w:val="lt-LT"/>
        </w:rPr>
        <w:tab/>
      </w:r>
      <w:r w:rsidRPr="009565AB">
        <w:rPr>
          <w:b/>
          <w:bCs/>
          <w:color w:val="367DA2"/>
          <w:sz w:val="21"/>
          <w:szCs w:val="21"/>
          <w:lang w:val="lt-LT"/>
        </w:rPr>
        <w:tab/>
      </w:r>
      <w:r w:rsidRPr="009565AB">
        <w:rPr>
          <w:b/>
          <w:bCs/>
          <w:color w:val="367DA2"/>
          <w:sz w:val="21"/>
          <w:szCs w:val="21"/>
          <w:lang w:val="lt-LT"/>
        </w:rPr>
        <w:tab/>
      </w:r>
      <w:r w:rsidRPr="00F367AC">
        <w:rPr>
          <w:b/>
          <w:bCs/>
          <w:color w:val="auto"/>
          <w:sz w:val="21"/>
          <w:szCs w:val="21"/>
          <w:lang w:val="lt-LT"/>
        </w:rPr>
        <w:tab/>
      </w:r>
    </w:p>
    <w:p w14:paraId="4B628788" w14:textId="0456D82F" w:rsidR="00335E7D" w:rsidRPr="00F367AC" w:rsidRDefault="00161805" w:rsidP="009565AB">
      <w:pPr>
        <w:pStyle w:val="Heading"/>
        <w:rPr>
          <w:color w:val="auto"/>
          <w:sz w:val="21"/>
          <w:szCs w:val="21"/>
          <w:lang w:val="lt-LT"/>
        </w:rPr>
      </w:pPr>
      <w:r w:rsidRPr="00F367AC">
        <w:rPr>
          <w:color w:val="auto"/>
          <w:sz w:val="21"/>
          <w:szCs w:val="21"/>
          <w:lang w:val="lt-LT"/>
        </w:rPr>
        <w:tab/>
        <w:t>RANGOVAS</w:t>
      </w:r>
      <w:r w:rsidRPr="00F367AC">
        <w:rPr>
          <w:color w:val="auto"/>
          <w:sz w:val="21"/>
          <w:szCs w:val="21"/>
          <w:lang w:val="lt-LT"/>
        </w:rPr>
        <w:tab/>
      </w:r>
      <w:r w:rsidRPr="00F367AC">
        <w:rPr>
          <w:color w:val="auto"/>
          <w:sz w:val="21"/>
          <w:szCs w:val="21"/>
          <w:lang w:val="lt-LT"/>
        </w:rPr>
        <w:tab/>
      </w:r>
      <w:r w:rsidRPr="00F367AC">
        <w:rPr>
          <w:color w:val="auto"/>
          <w:sz w:val="21"/>
          <w:szCs w:val="21"/>
          <w:lang w:val="lt-LT"/>
        </w:rPr>
        <w:tab/>
      </w:r>
      <w:r w:rsidRPr="00F367AC">
        <w:rPr>
          <w:color w:val="auto"/>
          <w:sz w:val="21"/>
          <w:szCs w:val="21"/>
          <w:lang w:val="lt-LT"/>
        </w:rPr>
        <w:tab/>
      </w:r>
      <w:r w:rsidRPr="00F367AC">
        <w:rPr>
          <w:color w:val="auto"/>
          <w:sz w:val="21"/>
          <w:szCs w:val="21"/>
          <w:lang w:val="lt-LT"/>
        </w:rPr>
        <w:tab/>
      </w:r>
      <w:r w:rsidRPr="00F367AC">
        <w:rPr>
          <w:color w:val="auto"/>
          <w:sz w:val="21"/>
          <w:szCs w:val="21"/>
          <w:lang w:val="lt-LT"/>
        </w:rPr>
        <w:tab/>
        <w:t>UŽSAKOVAS</w:t>
      </w:r>
    </w:p>
    <w:p w14:paraId="1DF638C3" w14:textId="21E14EA2" w:rsidR="00335E7D" w:rsidRPr="00F367AC" w:rsidRDefault="00161805" w:rsidP="009565AB">
      <w:pPr>
        <w:pStyle w:val="Body2"/>
        <w:rPr>
          <w:color w:val="auto"/>
          <w:sz w:val="21"/>
          <w:szCs w:val="21"/>
          <w:lang w:val="lt-LT"/>
        </w:rPr>
      </w:pPr>
      <w:r w:rsidRPr="00F367AC">
        <w:rPr>
          <w:color w:val="auto"/>
          <w:sz w:val="21"/>
          <w:szCs w:val="21"/>
          <w:lang w:val="lt-LT"/>
        </w:rPr>
        <w:tab/>
      </w:r>
      <w:r w:rsidR="002F210F" w:rsidRPr="00F367AC">
        <w:rPr>
          <w:color w:val="auto"/>
          <w:sz w:val="21"/>
          <w:szCs w:val="21"/>
          <w:lang w:val="lt-LT"/>
        </w:rPr>
        <w:t>UAB „</w:t>
      </w:r>
      <w:r w:rsidR="003D1A98">
        <w:rPr>
          <w:color w:val="auto"/>
          <w:sz w:val="21"/>
          <w:szCs w:val="21"/>
          <w:lang w:val="lt-LT"/>
        </w:rPr>
        <w:t>Dauniškis ir ko</w:t>
      </w:r>
      <w:r w:rsidR="002F210F" w:rsidRPr="00F367AC">
        <w:rPr>
          <w:color w:val="auto"/>
          <w:sz w:val="21"/>
          <w:szCs w:val="21"/>
          <w:lang w:val="lt-LT"/>
        </w:rPr>
        <w:t>“</w:t>
      </w:r>
      <w:r w:rsidRPr="00F367AC">
        <w:rPr>
          <w:color w:val="auto"/>
          <w:sz w:val="21"/>
          <w:szCs w:val="21"/>
          <w:lang w:val="lt-LT"/>
        </w:rPr>
        <w:tab/>
      </w:r>
      <w:r w:rsidRPr="00F367AC">
        <w:rPr>
          <w:color w:val="auto"/>
          <w:sz w:val="21"/>
          <w:szCs w:val="21"/>
          <w:lang w:val="lt-LT"/>
        </w:rPr>
        <w:tab/>
      </w:r>
      <w:r w:rsidRPr="00F367AC">
        <w:rPr>
          <w:color w:val="auto"/>
          <w:sz w:val="21"/>
          <w:szCs w:val="21"/>
          <w:lang w:val="lt-LT"/>
        </w:rPr>
        <w:tab/>
      </w:r>
      <w:r w:rsidRPr="00F367AC">
        <w:rPr>
          <w:color w:val="auto"/>
          <w:sz w:val="21"/>
          <w:szCs w:val="21"/>
          <w:lang w:val="lt-LT"/>
        </w:rPr>
        <w:tab/>
      </w:r>
      <w:r w:rsidRPr="00F367AC">
        <w:rPr>
          <w:color w:val="auto"/>
          <w:sz w:val="21"/>
          <w:szCs w:val="21"/>
          <w:lang w:val="lt-LT"/>
        </w:rPr>
        <w:tab/>
      </w:r>
      <w:r w:rsidR="00F367AC" w:rsidRPr="00F367AC">
        <w:rPr>
          <w:color w:val="auto"/>
          <w:sz w:val="21"/>
          <w:szCs w:val="21"/>
          <w:lang w:val="lt-LT"/>
        </w:rPr>
        <w:t xml:space="preserve">Visagino </w:t>
      </w:r>
      <w:r w:rsidR="003D1A98">
        <w:rPr>
          <w:color w:val="auto"/>
          <w:sz w:val="21"/>
          <w:szCs w:val="21"/>
          <w:lang w:val="lt-LT"/>
        </w:rPr>
        <w:t>Gerosios vilties progimnazija</w:t>
      </w:r>
    </w:p>
    <w:p w14:paraId="09EC47D7" w14:textId="1D82FF96" w:rsidR="00335E7D" w:rsidRPr="00F367AC" w:rsidRDefault="00161805" w:rsidP="009565AB">
      <w:pPr>
        <w:pStyle w:val="Body2"/>
        <w:rPr>
          <w:color w:val="auto"/>
          <w:sz w:val="21"/>
          <w:szCs w:val="21"/>
          <w:lang w:val="lt-LT"/>
        </w:rPr>
      </w:pPr>
      <w:r w:rsidRPr="00F367AC">
        <w:rPr>
          <w:color w:val="auto"/>
          <w:sz w:val="21"/>
          <w:szCs w:val="21"/>
          <w:lang w:val="lt-LT"/>
        </w:rPr>
        <w:tab/>
      </w:r>
      <w:r w:rsidR="003D1A98" w:rsidRPr="003D1A98">
        <w:rPr>
          <w:color w:val="auto"/>
          <w:sz w:val="21"/>
          <w:szCs w:val="21"/>
          <w:lang w:val="lt-LT"/>
        </w:rPr>
        <w:t>Metalo g. 9B, 28217 Utena</w:t>
      </w:r>
      <w:r w:rsidRPr="00F367AC">
        <w:rPr>
          <w:color w:val="auto"/>
          <w:sz w:val="21"/>
          <w:szCs w:val="21"/>
          <w:lang w:val="lt-LT"/>
        </w:rPr>
        <w:tab/>
      </w:r>
      <w:r w:rsidRPr="00F367AC">
        <w:rPr>
          <w:color w:val="auto"/>
          <w:sz w:val="21"/>
          <w:szCs w:val="21"/>
          <w:lang w:val="lt-LT"/>
        </w:rPr>
        <w:tab/>
      </w:r>
      <w:r w:rsidRPr="00F367AC">
        <w:rPr>
          <w:color w:val="auto"/>
          <w:sz w:val="21"/>
          <w:szCs w:val="21"/>
          <w:lang w:val="lt-LT"/>
        </w:rPr>
        <w:tab/>
      </w:r>
      <w:r w:rsidR="003D1A98">
        <w:rPr>
          <w:color w:val="auto"/>
          <w:sz w:val="21"/>
          <w:szCs w:val="21"/>
          <w:lang w:val="lt-LT"/>
        </w:rPr>
        <w:tab/>
      </w:r>
      <w:r w:rsidR="003D1A98" w:rsidRPr="003D1A98">
        <w:rPr>
          <w:color w:val="auto"/>
          <w:sz w:val="21"/>
          <w:szCs w:val="21"/>
          <w:lang w:val="lt-LT"/>
        </w:rPr>
        <w:t>Partizanų g. 2, 31105 Visaginas</w:t>
      </w:r>
    </w:p>
    <w:p w14:paraId="488CC305" w14:textId="44B17717" w:rsidR="00335E7D" w:rsidRPr="00F367AC" w:rsidRDefault="00161805" w:rsidP="009565AB">
      <w:pPr>
        <w:pStyle w:val="Body2"/>
        <w:rPr>
          <w:color w:val="auto"/>
          <w:sz w:val="21"/>
          <w:szCs w:val="21"/>
          <w:lang w:val="lt-LT"/>
        </w:rPr>
      </w:pPr>
      <w:r w:rsidRPr="00F367AC">
        <w:rPr>
          <w:color w:val="auto"/>
          <w:sz w:val="21"/>
          <w:szCs w:val="21"/>
          <w:lang w:val="lt-LT"/>
        </w:rPr>
        <w:tab/>
        <w:t>Juridinio asmens kodas</w:t>
      </w:r>
      <w:r w:rsidR="00F367AC" w:rsidRPr="00F367AC">
        <w:rPr>
          <w:color w:val="auto"/>
          <w:sz w:val="21"/>
          <w:szCs w:val="21"/>
          <w:lang w:val="lt-LT"/>
        </w:rPr>
        <w:t xml:space="preserve"> </w:t>
      </w:r>
      <w:r w:rsidR="003D1A98" w:rsidRPr="003D1A98">
        <w:rPr>
          <w:color w:val="auto"/>
          <w:sz w:val="21"/>
          <w:szCs w:val="21"/>
          <w:lang w:val="lt-LT"/>
        </w:rPr>
        <w:t>184263588</w:t>
      </w:r>
      <w:r w:rsidRPr="00F367AC">
        <w:rPr>
          <w:color w:val="auto"/>
          <w:sz w:val="21"/>
          <w:szCs w:val="21"/>
          <w:lang w:val="lt-LT"/>
        </w:rPr>
        <w:tab/>
      </w:r>
      <w:r w:rsidRPr="00F367AC">
        <w:rPr>
          <w:color w:val="auto"/>
          <w:sz w:val="21"/>
          <w:szCs w:val="21"/>
          <w:lang w:val="lt-LT"/>
        </w:rPr>
        <w:tab/>
      </w:r>
      <w:r w:rsidRPr="00F367AC">
        <w:rPr>
          <w:color w:val="auto"/>
          <w:sz w:val="21"/>
          <w:szCs w:val="21"/>
          <w:lang w:val="lt-LT"/>
        </w:rPr>
        <w:tab/>
        <w:t>Juridinio asmens kodas</w:t>
      </w:r>
      <w:r w:rsidR="00F367AC" w:rsidRPr="00F367AC">
        <w:rPr>
          <w:color w:val="auto"/>
          <w:sz w:val="21"/>
          <w:szCs w:val="21"/>
          <w:lang w:val="lt-LT"/>
        </w:rPr>
        <w:t xml:space="preserve"> </w:t>
      </w:r>
      <w:r w:rsidR="003D1A98" w:rsidRPr="003D1A98">
        <w:rPr>
          <w:color w:val="auto"/>
          <w:sz w:val="21"/>
          <w:szCs w:val="21"/>
          <w:lang w:val="lt-LT"/>
        </w:rPr>
        <w:t>190243095</w:t>
      </w:r>
    </w:p>
    <w:p w14:paraId="5B226E55" w14:textId="6EFC3147" w:rsidR="00335E7D" w:rsidRPr="00F367AC" w:rsidRDefault="00161805" w:rsidP="009565AB">
      <w:pPr>
        <w:pStyle w:val="Body2"/>
        <w:rPr>
          <w:color w:val="auto"/>
          <w:sz w:val="21"/>
          <w:szCs w:val="21"/>
          <w:lang w:val="lt-LT"/>
        </w:rPr>
      </w:pPr>
      <w:r w:rsidRPr="00F367AC">
        <w:rPr>
          <w:color w:val="auto"/>
          <w:sz w:val="21"/>
          <w:szCs w:val="21"/>
          <w:lang w:val="lt-LT"/>
        </w:rPr>
        <w:tab/>
        <w:t>PVM mokėtojo kodas</w:t>
      </w:r>
      <w:r w:rsidR="00F367AC" w:rsidRPr="00F367AC">
        <w:rPr>
          <w:color w:val="auto"/>
          <w:sz w:val="21"/>
          <w:szCs w:val="21"/>
          <w:lang w:val="lt-LT"/>
        </w:rPr>
        <w:t xml:space="preserve"> </w:t>
      </w:r>
      <w:r w:rsidR="003D1A98" w:rsidRPr="003D1A98">
        <w:rPr>
          <w:color w:val="auto"/>
          <w:sz w:val="21"/>
          <w:szCs w:val="21"/>
          <w:lang w:val="lt-LT"/>
        </w:rPr>
        <w:t>LT842635811</w:t>
      </w:r>
      <w:r w:rsidRPr="00F367AC">
        <w:rPr>
          <w:color w:val="auto"/>
          <w:sz w:val="21"/>
          <w:szCs w:val="21"/>
          <w:lang w:val="lt-LT"/>
        </w:rPr>
        <w:tab/>
      </w:r>
      <w:r w:rsidRPr="00F367AC">
        <w:rPr>
          <w:color w:val="auto"/>
          <w:sz w:val="21"/>
          <w:szCs w:val="21"/>
          <w:lang w:val="lt-LT"/>
        </w:rPr>
        <w:tab/>
      </w:r>
      <w:r w:rsidRPr="00F367AC">
        <w:rPr>
          <w:color w:val="auto"/>
          <w:sz w:val="21"/>
          <w:szCs w:val="21"/>
          <w:lang w:val="lt-LT"/>
        </w:rPr>
        <w:tab/>
        <w:t>PVM mokėtojo kodas</w:t>
      </w:r>
      <w:r w:rsidR="00F367AC" w:rsidRPr="00F367AC">
        <w:rPr>
          <w:color w:val="auto"/>
          <w:sz w:val="21"/>
          <w:szCs w:val="21"/>
          <w:lang w:val="lt-LT"/>
        </w:rPr>
        <w:t xml:space="preserve"> – </w:t>
      </w:r>
    </w:p>
    <w:p w14:paraId="52EF92B6" w14:textId="67371342" w:rsidR="00335E7D" w:rsidRPr="00F367AC" w:rsidRDefault="00161805" w:rsidP="009565AB">
      <w:pPr>
        <w:pStyle w:val="Body2"/>
        <w:rPr>
          <w:color w:val="auto"/>
          <w:sz w:val="21"/>
          <w:szCs w:val="21"/>
          <w:lang w:val="lt-LT"/>
        </w:rPr>
      </w:pPr>
      <w:r w:rsidRPr="00F367AC">
        <w:rPr>
          <w:color w:val="auto"/>
          <w:sz w:val="21"/>
          <w:szCs w:val="21"/>
          <w:lang w:val="lt-LT"/>
        </w:rPr>
        <w:tab/>
        <w:t>Tel.</w:t>
      </w:r>
      <w:r w:rsidR="00F367AC" w:rsidRPr="00F367AC">
        <w:rPr>
          <w:color w:val="auto"/>
          <w:sz w:val="21"/>
          <w:szCs w:val="21"/>
          <w:lang w:val="lt-LT"/>
        </w:rPr>
        <w:t xml:space="preserve"> +370 </w:t>
      </w:r>
      <w:r w:rsidR="003D1A98">
        <w:rPr>
          <w:color w:val="auto"/>
          <w:sz w:val="21"/>
          <w:szCs w:val="21"/>
          <w:lang w:val="lt-LT"/>
        </w:rPr>
        <w:t>389</w:t>
      </w:r>
      <w:r w:rsidR="00F367AC" w:rsidRPr="00F367AC">
        <w:rPr>
          <w:color w:val="auto"/>
          <w:sz w:val="21"/>
          <w:szCs w:val="21"/>
          <w:lang w:val="lt-LT"/>
        </w:rPr>
        <w:t xml:space="preserve"> </w:t>
      </w:r>
      <w:r w:rsidR="003D1A98">
        <w:rPr>
          <w:color w:val="auto"/>
          <w:sz w:val="21"/>
          <w:szCs w:val="21"/>
          <w:lang w:val="lt-LT"/>
        </w:rPr>
        <w:t>69715</w:t>
      </w:r>
      <w:r w:rsidRPr="00F367AC">
        <w:rPr>
          <w:color w:val="auto"/>
          <w:sz w:val="21"/>
          <w:szCs w:val="21"/>
          <w:lang w:val="lt-LT"/>
        </w:rPr>
        <w:tab/>
      </w:r>
      <w:r w:rsidRPr="00F367AC">
        <w:rPr>
          <w:color w:val="auto"/>
          <w:sz w:val="21"/>
          <w:szCs w:val="21"/>
          <w:lang w:val="lt-LT"/>
        </w:rPr>
        <w:tab/>
      </w:r>
      <w:r w:rsidRPr="00F367AC">
        <w:rPr>
          <w:color w:val="auto"/>
          <w:sz w:val="21"/>
          <w:szCs w:val="21"/>
          <w:lang w:val="lt-LT"/>
        </w:rPr>
        <w:tab/>
      </w:r>
      <w:r w:rsidRPr="00F367AC">
        <w:rPr>
          <w:color w:val="auto"/>
          <w:sz w:val="21"/>
          <w:szCs w:val="21"/>
          <w:lang w:val="lt-LT"/>
        </w:rPr>
        <w:tab/>
      </w:r>
      <w:r w:rsidRPr="00F367AC">
        <w:rPr>
          <w:color w:val="auto"/>
          <w:sz w:val="21"/>
          <w:szCs w:val="21"/>
          <w:lang w:val="lt-LT"/>
        </w:rPr>
        <w:tab/>
        <w:t>Tel.</w:t>
      </w:r>
      <w:r w:rsidR="00F367AC" w:rsidRPr="00F367AC">
        <w:rPr>
          <w:color w:val="auto"/>
          <w:sz w:val="21"/>
          <w:szCs w:val="21"/>
          <w:lang w:val="lt-LT"/>
        </w:rPr>
        <w:t xml:space="preserve"> +370 386 </w:t>
      </w:r>
      <w:r w:rsidR="003D1A98">
        <w:rPr>
          <w:color w:val="auto"/>
          <w:sz w:val="21"/>
          <w:szCs w:val="21"/>
          <w:lang w:val="lt-LT"/>
        </w:rPr>
        <w:t>31689</w:t>
      </w:r>
    </w:p>
    <w:p w14:paraId="4BDC362B" w14:textId="727BA13A" w:rsidR="00335E7D" w:rsidRPr="00F367AC" w:rsidRDefault="00161805" w:rsidP="009565AB">
      <w:pPr>
        <w:pStyle w:val="Body2"/>
        <w:rPr>
          <w:color w:val="auto"/>
          <w:sz w:val="21"/>
          <w:szCs w:val="21"/>
          <w:lang w:val="lt-LT"/>
        </w:rPr>
      </w:pPr>
      <w:r w:rsidRPr="00F367AC">
        <w:rPr>
          <w:color w:val="auto"/>
          <w:sz w:val="21"/>
          <w:szCs w:val="21"/>
          <w:lang w:val="lt-LT"/>
        </w:rPr>
        <w:tab/>
        <w:t>El. p.</w:t>
      </w:r>
      <w:r w:rsidR="00F367AC" w:rsidRPr="00F367AC">
        <w:rPr>
          <w:color w:val="auto"/>
          <w:sz w:val="21"/>
          <w:szCs w:val="21"/>
          <w:lang w:val="lt-LT"/>
        </w:rPr>
        <w:t xml:space="preserve"> </w:t>
      </w:r>
      <w:hyperlink r:id="rId7" w:history="1">
        <w:r w:rsidR="003D1A98" w:rsidRPr="000C206E">
          <w:rPr>
            <w:rStyle w:val="Hipersaitas"/>
            <w:lang w:val="nl-NL"/>
          </w:rPr>
          <w:t>administracija@dauniskis.lt</w:t>
        </w:r>
      </w:hyperlink>
      <w:r w:rsidR="003D1A98" w:rsidRPr="000C206E">
        <w:rPr>
          <w:lang w:val="nl-NL"/>
        </w:rPr>
        <w:t xml:space="preserve"> </w:t>
      </w:r>
      <w:r w:rsidRPr="00F367AC">
        <w:rPr>
          <w:color w:val="auto"/>
          <w:sz w:val="21"/>
          <w:szCs w:val="21"/>
          <w:lang w:val="lt-LT"/>
        </w:rPr>
        <w:tab/>
      </w:r>
      <w:r w:rsidRPr="00F367AC">
        <w:rPr>
          <w:color w:val="auto"/>
          <w:sz w:val="21"/>
          <w:szCs w:val="21"/>
          <w:lang w:val="lt-LT"/>
        </w:rPr>
        <w:tab/>
      </w:r>
      <w:r w:rsidRPr="00F367AC">
        <w:rPr>
          <w:color w:val="auto"/>
          <w:sz w:val="21"/>
          <w:szCs w:val="21"/>
          <w:lang w:val="lt-LT"/>
        </w:rPr>
        <w:tab/>
        <w:t>El. p.</w:t>
      </w:r>
      <w:r w:rsidR="00F367AC" w:rsidRPr="000C206E">
        <w:rPr>
          <w:color w:val="auto"/>
          <w:lang w:val="nl-NL"/>
        </w:rPr>
        <w:t xml:space="preserve"> </w:t>
      </w:r>
      <w:hyperlink r:id="rId8" w:history="1">
        <w:r w:rsidR="003D1A98" w:rsidRPr="00157AAD">
          <w:rPr>
            <w:rStyle w:val="Hipersaitas"/>
            <w:lang w:val="nl-NL"/>
          </w:rPr>
          <w:t>geroji.viltis@vgvp.lt</w:t>
        </w:r>
      </w:hyperlink>
      <w:r w:rsidR="008C4446" w:rsidRPr="00157AAD">
        <w:rPr>
          <w:lang w:val="nl-NL"/>
        </w:rPr>
        <w:t xml:space="preserve"> </w:t>
      </w:r>
      <w:r w:rsidR="00F367AC" w:rsidRPr="00F367AC">
        <w:rPr>
          <w:color w:val="auto"/>
          <w:sz w:val="21"/>
          <w:szCs w:val="21"/>
          <w:lang w:val="lt-LT"/>
        </w:rPr>
        <w:t xml:space="preserve"> </w:t>
      </w:r>
    </w:p>
    <w:p w14:paraId="5A16F898" w14:textId="77777777" w:rsidR="00335E7D" w:rsidRPr="00F367AC" w:rsidRDefault="00335E7D" w:rsidP="009565AB">
      <w:pPr>
        <w:pStyle w:val="Body2"/>
        <w:rPr>
          <w:color w:val="auto"/>
          <w:sz w:val="21"/>
          <w:szCs w:val="21"/>
          <w:lang w:val="lt-LT"/>
        </w:rPr>
      </w:pPr>
    </w:p>
    <w:p w14:paraId="3E4BCB6A" w14:textId="562DB2B6" w:rsidR="00335E7D" w:rsidRPr="00F367AC" w:rsidRDefault="00161805" w:rsidP="009565AB">
      <w:pPr>
        <w:pStyle w:val="Body2"/>
        <w:rPr>
          <w:color w:val="auto"/>
          <w:sz w:val="21"/>
          <w:szCs w:val="21"/>
          <w:lang w:val="lt-LT"/>
        </w:rPr>
      </w:pPr>
      <w:r w:rsidRPr="00F367AC">
        <w:rPr>
          <w:color w:val="auto"/>
          <w:sz w:val="21"/>
          <w:szCs w:val="21"/>
          <w:lang w:val="lt-LT"/>
        </w:rPr>
        <w:tab/>
      </w:r>
      <w:r w:rsidR="00F367AC" w:rsidRPr="00F367AC">
        <w:rPr>
          <w:color w:val="auto"/>
          <w:sz w:val="21"/>
          <w:szCs w:val="21"/>
          <w:lang w:val="lt-LT"/>
        </w:rPr>
        <w:t>Direktorius</w:t>
      </w:r>
      <w:r w:rsidRPr="00F367AC">
        <w:rPr>
          <w:color w:val="auto"/>
          <w:sz w:val="21"/>
          <w:szCs w:val="21"/>
          <w:lang w:val="lt-LT"/>
        </w:rPr>
        <w:tab/>
      </w:r>
      <w:r w:rsidRPr="00F367AC">
        <w:rPr>
          <w:color w:val="auto"/>
          <w:sz w:val="21"/>
          <w:szCs w:val="21"/>
          <w:lang w:val="lt-LT"/>
        </w:rPr>
        <w:tab/>
      </w:r>
      <w:r w:rsidRPr="00F367AC">
        <w:rPr>
          <w:color w:val="auto"/>
          <w:sz w:val="21"/>
          <w:szCs w:val="21"/>
          <w:lang w:val="lt-LT"/>
        </w:rPr>
        <w:tab/>
      </w:r>
      <w:r w:rsidRPr="00F367AC">
        <w:rPr>
          <w:color w:val="auto"/>
          <w:sz w:val="21"/>
          <w:szCs w:val="21"/>
          <w:lang w:val="lt-LT"/>
        </w:rPr>
        <w:tab/>
      </w:r>
      <w:r w:rsidRPr="00F367AC">
        <w:rPr>
          <w:color w:val="auto"/>
          <w:sz w:val="21"/>
          <w:szCs w:val="21"/>
          <w:lang w:val="lt-LT"/>
        </w:rPr>
        <w:tab/>
      </w:r>
      <w:r w:rsidR="0000350D" w:rsidRPr="00F367AC">
        <w:rPr>
          <w:color w:val="auto"/>
          <w:sz w:val="21"/>
          <w:szCs w:val="21"/>
          <w:lang w:val="lt-LT"/>
        </w:rPr>
        <w:tab/>
      </w:r>
      <w:r w:rsidR="00F367AC" w:rsidRPr="00F367AC">
        <w:rPr>
          <w:color w:val="auto"/>
          <w:sz w:val="21"/>
          <w:szCs w:val="21"/>
          <w:lang w:val="lt-LT"/>
        </w:rPr>
        <w:t>Direktorė</w:t>
      </w:r>
    </w:p>
    <w:p w14:paraId="0D7D43DE" w14:textId="1164C94C" w:rsidR="00335E7D" w:rsidRPr="009565AB" w:rsidRDefault="00161805" w:rsidP="009565AB">
      <w:pPr>
        <w:pStyle w:val="Body2"/>
        <w:rPr>
          <w:sz w:val="21"/>
          <w:szCs w:val="21"/>
          <w:lang w:val="lt-LT"/>
        </w:rPr>
      </w:pPr>
      <w:r w:rsidRPr="00F367AC">
        <w:rPr>
          <w:color w:val="auto"/>
          <w:sz w:val="21"/>
          <w:szCs w:val="21"/>
          <w:lang w:val="lt-LT"/>
        </w:rPr>
        <w:tab/>
      </w:r>
      <w:r w:rsidR="003D1A98">
        <w:rPr>
          <w:color w:val="auto"/>
          <w:sz w:val="21"/>
          <w:szCs w:val="21"/>
          <w:lang w:val="lt-LT"/>
        </w:rPr>
        <w:t>Alvydas Rudokas</w:t>
      </w:r>
      <w:r w:rsidRPr="00F367AC">
        <w:rPr>
          <w:color w:val="auto"/>
          <w:sz w:val="21"/>
          <w:szCs w:val="21"/>
          <w:lang w:val="lt-LT"/>
        </w:rPr>
        <w:tab/>
      </w:r>
      <w:r w:rsidRPr="00F367AC">
        <w:rPr>
          <w:color w:val="auto"/>
          <w:sz w:val="21"/>
          <w:szCs w:val="21"/>
          <w:lang w:val="lt-LT"/>
        </w:rPr>
        <w:tab/>
      </w:r>
      <w:r w:rsidRPr="00F367AC">
        <w:rPr>
          <w:color w:val="auto"/>
          <w:sz w:val="21"/>
          <w:szCs w:val="21"/>
          <w:lang w:val="lt-LT"/>
        </w:rPr>
        <w:tab/>
      </w:r>
      <w:r w:rsidRPr="00F367AC">
        <w:rPr>
          <w:color w:val="auto"/>
          <w:sz w:val="21"/>
          <w:szCs w:val="21"/>
          <w:lang w:val="lt-LT"/>
        </w:rPr>
        <w:tab/>
      </w:r>
      <w:r w:rsidRPr="00F367AC">
        <w:rPr>
          <w:color w:val="auto"/>
          <w:sz w:val="21"/>
          <w:szCs w:val="21"/>
          <w:lang w:val="lt-LT"/>
        </w:rPr>
        <w:tab/>
      </w:r>
      <w:r w:rsidR="003D1A98" w:rsidRPr="003D1A98">
        <w:rPr>
          <w:color w:val="auto"/>
          <w:sz w:val="21"/>
          <w:szCs w:val="21"/>
          <w:lang w:val="lt-LT"/>
        </w:rPr>
        <w:t>Jolanta Bartkūnienė</w:t>
      </w:r>
    </w:p>
    <w:p w14:paraId="19A152B9" w14:textId="77777777" w:rsidR="00335E7D" w:rsidRPr="009565AB" w:rsidRDefault="00161805" w:rsidP="009565AB">
      <w:pPr>
        <w:pStyle w:val="Body2"/>
        <w:rPr>
          <w:sz w:val="21"/>
          <w:szCs w:val="21"/>
          <w:lang w:val="lt-LT"/>
        </w:rPr>
      </w:pPr>
      <w:r w:rsidRPr="009565AB">
        <w:rPr>
          <w:sz w:val="21"/>
          <w:szCs w:val="21"/>
          <w:lang w:val="lt-LT"/>
        </w:rPr>
        <w:tab/>
        <w:t>______________</w:t>
      </w:r>
      <w:r w:rsidRPr="009565AB">
        <w:rPr>
          <w:sz w:val="21"/>
          <w:szCs w:val="21"/>
          <w:lang w:val="lt-LT"/>
        </w:rPr>
        <w:tab/>
      </w:r>
      <w:r w:rsidRPr="009565AB">
        <w:rPr>
          <w:sz w:val="21"/>
          <w:szCs w:val="21"/>
          <w:lang w:val="lt-LT"/>
        </w:rPr>
        <w:tab/>
      </w:r>
      <w:r w:rsidRPr="009565AB">
        <w:rPr>
          <w:sz w:val="21"/>
          <w:szCs w:val="21"/>
          <w:lang w:val="lt-LT"/>
        </w:rPr>
        <w:tab/>
      </w:r>
      <w:r w:rsidRPr="009565AB">
        <w:rPr>
          <w:sz w:val="21"/>
          <w:szCs w:val="21"/>
          <w:lang w:val="lt-LT"/>
        </w:rPr>
        <w:tab/>
      </w:r>
      <w:r w:rsidRPr="009565AB">
        <w:rPr>
          <w:sz w:val="21"/>
          <w:szCs w:val="21"/>
          <w:lang w:val="lt-LT"/>
        </w:rPr>
        <w:tab/>
        <w:t>______________</w:t>
      </w:r>
    </w:p>
    <w:p w14:paraId="345798DC" w14:textId="3CB43EC3" w:rsidR="00DC3D41" w:rsidRDefault="00161805" w:rsidP="009565AB">
      <w:pPr>
        <w:pStyle w:val="Body2"/>
        <w:rPr>
          <w:i/>
          <w:iCs/>
          <w:sz w:val="21"/>
          <w:szCs w:val="21"/>
          <w:lang w:val="lt-LT"/>
        </w:rPr>
      </w:pPr>
      <w:r w:rsidRPr="009565AB">
        <w:rPr>
          <w:sz w:val="21"/>
          <w:szCs w:val="21"/>
          <w:lang w:val="lt-LT"/>
        </w:rPr>
        <w:tab/>
      </w:r>
      <w:r w:rsidRPr="009565AB">
        <w:rPr>
          <w:i/>
          <w:iCs/>
          <w:sz w:val="21"/>
          <w:szCs w:val="21"/>
          <w:lang w:val="lt-LT"/>
        </w:rPr>
        <w:t>(parašas)</w:t>
      </w:r>
      <w:r w:rsidR="00DC3D41">
        <w:rPr>
          <w:i/>
          <w:iCs/>
          <w:sz w:val="21"/>
          <w:szCs w:val="21"/>
          <w:lang w:val="lt-LT"/>
        </w:rPr>
        <w:tab/>
      </w:r>
      <w:r w:rsidR="00DC3D41">
        <w:rPr>
          <w:i/>
          <w:iCs/>
          <w:sz w:val="21"/>
          <w:szCs w:val="21"/>
          <w:lang w:val="lt-LT"/>
        </w:rPr>
        <w:tab/>
      </w:r>
      <w:r w:rsidR="00DC3D41">
        <w:rPr>
          <w:i/>
          <w:iCs/>
          <w:sz w:val="21"/>
          <w:szCs w:val="21"/>
          <w:lang w:val="lt-LT"/>
        </w:rPr>
        <w:tab/>
      </w:r>
      <w:r w:rsidR="00DC3D41">
        <w:rPr>
          <w:i/>
          <w:iCs/>
          <w:sz w:val="21"/>
          <w:szCs w:val="21"/>
          <w:lang w:val="lt-LT"/>
        </w:rPr>
        <w:tab/>
      </w:r>
      <w:r w:rsidR="00DC3D41">
        <w:rPr>
          <w:i/>
          <w:iCs/>
          <w:sz w:val="21"/>
          <w:szCs w:val="21"/>
          <w:lang w:val="lt-LT"/>
        </w:rPr>
        <w:tab/>
      </w:r>
      <w:r w:rsidR="00DC3D41">
        <w:rPr>
          <w:i/>
          <w:iCs/>
          <w:sz w:val="21"/>
          <w:szCs w:val="21"/>
          <w:lang w:val="lt-LT"/>
        </w:rPr>
        <w:tab/>
      </w:r>
      <w:r w:rsidR="00DC3D41" w:rsidRPr="009565AB">
        <w:rPr>
          <w:i/>
          <w:iCs/>
          <w:sz w:val="21"/>
          <w:szCs w:val="21"/>
          <w:lang w:val="lt-LT"/>
        </w:rPr>
        <w:t>(parašas)</w:t>
      </w:r>
    </w:p>
    <w:p w14:paraId="5CEF4A16" w14:textId="21472A7F" w:rsidR="00335E7D" w:rsidRPr="009565AB" w:rsidRDefault="00DC3D41" w:rsidP="00DC3D41">
      <w:pPr>
        <w:pStyle w:val="Body2"/>
        <w:ind w:firstLine="720"/>
        <w:rPr>
          <w:sz w:val="21"/>
          <w:szCs w:val="21"/>
          <w:lang w:val="lt-LT"/>
        </w:rPr>
      </w:pPr>
      <w:r>
        <w:rPr>
          <w:i/>
          <w:iCs/>
          <w:sz w:val="21"/>
          <w:szCs w:val="21"/>
          <w:lang w:val="lt-LT"/>
        </w:rPr>
        <w:t>A.V.</w:t>
      </w:r>
      <w:r>
        <w:rPr>
          <w:i/>
          <w:iCs/>
          <w:sz w:val="21"/>
          <w:szCs w:val="21"/>
          <w:lang w:val="lt-LT"/>
        </w:rPr>
        <w:tab/>
      </w:r>
      <w:r w:rsidR="00161805" w:rsidRPr="009565AB">
        <w:rPr>
          <w:sz w:val="21"/>
          <w:szCs w:val="21"/>
          <w:lang w:val="lt-LT"/>
        </w:rPr>
        <w:tab/>
      </w:r>
      <w:r w:rsidR="00161805" w:rsidRPr="009565AB">
        <w:rPr>
          <w:sz w:val="21"/>
          <w:szCs w:val="21"/>
          <w:lang w:val="lt-LT"/>
        </w:rPr>
        <w:tab/>
      </w:r>
      <w:r w:rsidR="00161805" w:rsidRPr="009565AB">
        <w:rPr>
          <w:sz w:val="21"/>
          <w:szCs w:val="21"/>
          <w:lang w:val="lt-LT"/>
        </w:rPr>
        <w:tab/>
      </w:r>
      <w:r w:rsidR="00161805" w:rsidRPr="009565AB">
        <w:rPr>
          <w:sz w:val="21"/>
          <w:szCs w:val="21"/>
          <w:lang w:val="lt-LT"/>
        </w:rPr>
        <w:tab/>
      </w:r>
      <w:r w:rsidR="00161805" w:rsidRPr="009565AB">
        <w:rPr>
          <w:sz w:val="21"/>
          <w:szCs w:val="21"/>
          <w:lang w:val="lt-LT"/>
        </w:rPr>
        <w:tab/>
      </w:r>
      <w:r w:rsidR="00161805" w:rsidRPr="009565AB">
        <w:rPr>
          <w:sz w:val="21"/>
          <w:szCs w:val="21"/>
          <w:lang w:val="lt-LT"/>
        </w:rPr>
        <w:tab/>
      </w:r>
      <w:r>
        <w:rPr>
          <w:i/>
          <w:iCs/>
          <w:sz w:val="21"/>
          <w:szCs w:val="21"/>
          <w:lang w:val="lt-LT"/>
        </w:rPr>
        <w:t>A.V.</w:t>
      </w:r>
    </w:p>
    <w:sectPr w:rsidR="00335E7D" w:rsidRPr="009565AB">
      <w:footerReference w:type="default" r:id="rId9"/>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7196C" w14:textId="77777777" w:rsidR="006A7D9A" w:rsidRDefault="006A7D9A">
      <w:r>
        <w:separator/>
      </w:r>
    </w:p>
  </w:endnote>
  <w:endnote w:type="continuationSeparator" w:id="0">
    <w:p w14:paraId="3C7B5081" w14:textId="77777777" w:rsidR="006A7D9A" w:rsidRDefault="006A7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00000003" w:usb1="00000000" w:usb2="00000002" w:usb3="00000000" w:csb0="0000009B" w:csb1="00000000"/>
  </w:font>
  <w:font w:name="Helvetica Neue Light">
    <w:charset w:val="00"/>
    <w:family w:val="roman"/>
    <w:pitch w:val="default"/>
  </w:font>
  <w:font w:name="Helvetica Neue UltraLight">
    <w:altName w:val="Franklin Gothic Medium Cond"/>
    <w:charset w:val="00"/>
    <w:family w:val="auto"/>
    <w:pitch w:val="variable"/>
    <w:sig w:usb0="00000003" w:usb1="00000000"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D1798" w14:textId="77777777" w:rsidR="00DC3D41" w:rsidRDefault="00DC3D41">
    <w:pPr>
      <w:pStyle w:val="HeaderFooter"/>
      <w:tabs>
        <w:tab w:val="clear" w:pos="9020"/>
        <w:tab w:val="center" w:pos="4750"/>
        <w:tab w:val="right" w:pos="9500"/>
      </w:tabs>
      <w:rPr>
        <w:rFonts w:ascii="Times New Roman" w:hAnsi="Times New Roman"/>
        <w:sz w:val="18"/>
        <w:szCs w:val="18"/>
      </w:rPr>
    </w:pPr>
  </w:p>
  <w:p w14:paraId="72D61D04" w14:textId="53B0E279" w:rsidR="00335E7D" w:rsidRDefault="00161805">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13FE6" w14:textId="77777777" w:rsidR="006A7D9A" w:rsidRDefault="006A7D9A">
      <w:r>
        <w:separator/>
      </w:r>
    </w:p>
  </w:footnote>
  <w:footnote w:type="continuationSeparator" w:id="0">
    <w:p w14:paraId="50C639D7" w14:textId="77777777" w:rsidR="006A7D9A" w:rsidRDefault="006A7D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52E39"/>
    <w:multiLevelType w:val="multilevel"/>
    <w:tmpl w:val="EC1CA702"/>
    <w:lvl w:ilvl="0">
      <w:start w:val="1"/>
      <w:numFmt w:val="decimal"/>
      <w:lvlText w:val="%1."/>
      <w:lvlJc w:val="left"/>
      <w:pPr>
        <w:ind w:left="372" w:hanging="372"/>
      </w:pPr>
      <w:rPr>
        <w:rFonts w:hint="default"/>
        <w:color w:val="000000"/>
      </w:rPr>
    </w:lvl>
    <w:lvl w:ilvl="1">
      <w:start w:val="1"/>
      <w:numFmt w:val="decimal"/>
      <w:lvlText w:val="%1.%2."/>
      <w:lvlJc w:val="left"/>
      <w:pPr>
        <w:ind w:left="1092" w:hanging="372"/>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200" w:hanging="1440"/>
      </w:pPr>
      <w:rPr>
        <w:rFonts w:hint="default"/>
        <w:color w:val="000000"/>
      </w:rPr>
    </w:lvl>
  </w:abstractNum>
  <w:num w:numId="1" w16cid:durableId="1443919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E7D"/>
    <w:rsid w:val="0000350D"/>
    <w:rsid w:val="00034983"/>
    <w:rsid w:val="000C206E"/>
    <w:rsid w:val="00157AAD"/>
    <w:rsid w:val="00161805"/>
    <w:rsid w:val="00170E40"/>
    <w:rsid w:val="002F210F"/>
    <w:rsid w:val="00335E7D"/>
    <w:rsid w:val="0034434D"/>
    <w:rsid w:val="003D1A98"/>
    <w:rsid w:val="00500A16"/>
    <w:rsid w:val="005934F8"/>
    <w:rsid w:val="00614772"/>
    <w:rsid w:val="00624D56"/>
    <w:rsid w:val="006A7D9A"/>
    <w:rsid w:val="00713F36"/>
    <w:rsid w:val="0073196E"/>
    <w:rsid w:val="00750E7B"/>
    <w:rsid w:val="007547C4"/>
    <w:rsid w:val="00783FE4"/>
    <w:rsid w:val="0078645A"/>
    <w:rsid w:val="00807B43"/>
    <w:rsid w:val="00844837"/>
    <w:rsid w:val="008859AF"/>
    <w:rsid w:val="008947D2"/>
    <w:rsid w:val="008C4446"/>
    <w:rsid w:val="009565AB"/>
    <w:rsid w:val="009851AE"/>
    <w:rsid w:val="00A0542E"/>
    <w:rsid w:val="00A832F3"/>
    <w:rsid w:val="00AC20B2"/>
    <w:rsid w:val="00B57D2E"/>
    <w:rsid w:val="00B87451"/>
    <w:rsid w:val="00C91DC8"/>
    <w:rsid w:val="00D5631E"/>
    <w:rsid w:val="00DC3D41"/>
    <w:rsid w:val="00DD722A"/>
    <w:rsid w:val="00E2708C"/>
    <w:rsid w:val="00E52F6B"/>
    <w:rsid w:val="00F367AC"/>
    <w:rsid w:val="00F77DB0"/>
    <w:rsid w:val="00FF3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F67C7"/>
  <w15:docId w15:val="{DEFAC0D8-E905-5440-94F9-7B6823821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styleId="Antrats">
    <w:name w:val="header"/>
    <w:basedOn w:val="prastasis"/>
    <w:link w:val="AntratsDiagrama"/>
    <w:uiPriority w:val="99"/>
    <w:unhideWhenUsed/>
    <w:rsid w:val="00B87451"/>
    <w:pPr>
      <w:tabs>
        <w:tab w:val="center" w:pos="4819"/>
        <w:tab w:val="right" w:pos="9638"/>
      </w:tabs>
    </w:pPr>
  </w:style>
  <w:style w:type="character" w:customStyle="1" w:styleId="AntratsDiagrama">
    <w:name w:val="Antraštės Diagrama"/>
    <w:basedOn w:val="Numatytasispastraiposriftas"/>
    <w:link w:val="Antrats"/>
    <w:uiPriority w:val="99"/>
    <w:rsid w:val="00B87451"/>
    <w:rPr>
      <w:sz w:val="24"/>
      <w:szCs w:val="24"/>
    </w:rPr>
  </w:style>
  <w:style w:type="paragraph" w:styleId="Porat">
    <w:name w:val="footer"/>
    <w:basedOn w:val="prastasis"/>
    <w:link w:val="PoratDiagrama"/>
    <w:uiPriority w:val="99"/>
    <w:unhideWhenUsed/>
    <w:rsid w:val="00B87451"/>
    <w:pPr>
      <w:tabs>
        <w:tab w:val="center" w:pos="4819"/>
        <w:tab w:val="right" w:pos="9638"/>
      </w:tabs>
    </w:pPr>
  </w:style>
  <w:style w:type="character" w:customStyle="1" w:styleId="PoratDiagrama">
    <w:name w:val="Poraštė Diagrama"/>
    <w:basedOn w:val="Numatytasispastraiposriftas"/>
    <w:link w:val="Porat"/>
    <w:uiPriority w:val="99"/>
    <w:rsid w:val="00B87451"/>
    <w:rPr>
      <w:sz w:val="24"/>
      <w:szCs w:val="24"/>
    </w:rPr>
  </w:style>
  <w:style w:type="character" w:styleId="Neapdorotaspaminjimas">
    <w:name w:val="Unresolved Mention"/>
    <w:basedOn w:val="Numatytasispastraiposriftas"/>
    <w:uiPriority w:val="99"/>
    <w:semiHidden/>
    <w:unhideWhenUsed/>
    <w:rsid w:val="00F36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roji.viltis@vgvp.lt" TargetMode="External"/><Relationship Id="rId3" Type="http://schemas.openxmlformats.org/officeDocument/2006/relationships/settings" Target="settings.xml"/><Relationship Id="rId7" Type="http://schemas.openxmlformats.org/officeDocument/2006/relationships/hyperlink" Target="mailto:administracija@dauniski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3389</Words>
  <Characters>1932</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Bendras6</cp:lastModifiedBy>
  <cp:revision>8</cp:revision>
  <cp:lastPrinted>2025-01-21T11:37:00Z</cp:lastPrinted>
  <dcterms:created xsi:type="dcterms:W3CDTF">2025-01-20T09:04:00Z</dcterms:created>
  <dcterms:modified xsi:type="dcterms:W3CDTF">2025-01-29T13:41:00Z</dcterms:modified>
</cp:coreProperties>
</file>