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8F57" w14:textId="77777777" w:rsidR="00D125AA" w:rsidRDefault="00295B1B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2023-02-23 MIŠKININKYSTĖS RANGOS PASLAUGŲ PAGRINDINĖS SUTARTIES NR. 61-VP-660 PASLAUGŲ BAZINIŲ ĮKAINIŲ PERSKAIČIAVIMO</w:t>
      </w:r>
    </w:p>
    <w:p w14:paraId="45B78F58" w14:textId="77777777" w:rsidR="00D125AA" w:rsidRDefault="00D125AA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B78F59" w14:textId="2F9D4FA6" w:rsidR="00D125AA" w:rsidRDefault="00323265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2025</w:t>
      </w:r>
      <w:r w:rsidR="00295B1B">
        <w:rPr>
          <w:rFonts w:ascii="Arial" w:hAnsi="Arial" w:cs="Arial"/>
          <w:b w:val="0"/>
          <w:bCs w:val="0"/>
          <w:shd w:val="clear" w:color="auto" w:fill="FFFFFF"/>
        </w:rPr>
        <w:t xml:space="preserve"> _</w:t>
      </w:r>
      <w:r>
        <w:rPr>
          <w:rFonts w:ascii="Arial" w:hAnsi="Arial" w:cs="Arial"/>
          <w:b w:val="0"/>
          <w:bCs w:val="0"/>
          <w:shd w:val="clear" w:color="auto" w:fill="FFFFFF"/>
        </w:rPr>
        <w:t>01</w:t>
      </w:r>
      <w:r w:rsidR="00295B1B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45B78F5A" w14:textId="77777777" w:rsidR="00D125AA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295B1B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295B1B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45B78F5B" w14:textId="77777777" w:rsidR="00D125AA" w:rsidRDefault="00D125AA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5B78F5C" w14:textId="066280E9" w:rsidR="00D125AA" w:rsidRDefault="00295B1B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D275CA" w:rsidRPr="00D275CA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</w:t>
      </w:r>
      <w:r w:rsidR="00704458" w:rsidRPr="00704458">
        <w:rPr>
          <w:rFonts w:ascii="Arial" w:hAnsi="Arial" w:cs="Arial"/>
          <w:sz w:val="22"/>
          <w:szCs w:val="22"/>
          <w:shd w:val="clear" w:color="auto" w:fill="FFFFFF"/>
        </w:rPr>
        <w:t>2024 m. gruodžio 20 d. suteiktą įgaliojimą Nr. 77-ĮG-446-2024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dirbanti pagal nuolatinio Lietuvos gyventojo individualios veiklos  Nr., toliau vadinama Paslaugų teikėju, bendrai vadinamos Šalimis, o atskirai Šalimi, sudarėme šį susitarimą (toliau – Susitarimas) dėl miškin</w:t>
      </w:r>
      <w:r w:rsidR="00840A93">
        <w:rPr>
          <w:rFonts w:ascii="Arial" w:hAnsi="Arial" w:cs="Arial"/>
          <w:sz w:val="22"/>
          <w:szCs w:val="22"/>
          <w:shd w:val="clear" w:color="auto" w:fill="FFFFFF"/>
        </w:rPr>
        <w:t>inkystės rangos paslaugų sutart</w:t>
      </w:r>
      <w:r>
        <w:rPr>
          <w:rFonts w:ascii="Arial" w:hAnsi="Arial" w:cs="Arial"/>
          <w:sz w:val="22"/>
          <w:szCs w:val="22"/>
          <w:shd w:val="clear" w:color="auto" w:fill="FFFFFF"/>
        </w:rPr>
        <w:t>ies (toliau – Sutartis) bazinių įkainių perskaičiavimo.</w:t>
      </w:r>
    </w:p>
    <w:p w14:paraId="45B78F5D" w14:textId="77777777" w:rsidR="00D125AA" w:rsidRDefault="00295B1B">
      <w:pPr>
        <w:pStyle w:val="Tekstas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2023 m. vasario 23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>
            <w:rPr>
              <w:rFonts w:ascii="Arial" w:hAnsi="Arial" w:cs="Arial"/>
              <w:sz w:val="22"/>
              <w:szCs w:val="22"/>
              <w:shd w:val="clear" w:color="auto" w:fill="FFFFFF"/>
            </w:rPr>
            <w:t>61-VP-660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sąlygos:</w:t>
      </w:r>
    </w:p>
    <w:p w14:paraId="45B78F5E" w14:textId="77777777" w:rsidR="00D125AA" w:rsidRDefault="00295B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45B78F5F" w14:textId="77777777" w:rsidR="00D125AA" w:rsidRDefault="00295B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45B78F60" w14:textId="77777777" w:rsidR="00D125AA" w:rsidRDefault="00295B1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45B78F61" w14:textId="77777777" w:rsidR="00D125AA" w:rsidRDefault="00D125AA">
      <w:pPr>
        <w:ind w:right="-46"/>
        <w:jc w:val="both"/>
        <w:rPr>
          <w:rFonts w:ascii="Arial" w:eastAsia="Calibri" w:hAnsi="Arial" w:cs="Arial"/>
        </w:rPr>
      </w:pPr>
    </w:p>
    <w:p w14:paraId="45B78F62" w14:textId="77777777" w:rsidR="00D125AA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45B78F63" w14:textId="77777777" w:rsidR="00D125AA" w:rsidRDefault="00D125AA">
      <w:pPr>
        <w:pStyle w:val="ATekstas"/>
        <w:rPr>
          <w:rFonts w:ascii="Arial" w:hAnsi="Arial" w:cs="Arial"/>
          <w:sz w:val="22"/>
          <w:szCs w:val="22"/>
        </w:rPr>
      </w:pPr>
    </w:p>
    <w:p w14:paraId="45B78F64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45B78F65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45B78F66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45B78F67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45B78F68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45B78F69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45B78F6A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45B78F6B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45B78F6C" w14:textId="77777777" w:rsidR="00D125AA" w:rsidRDefault="00295B1B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45B78F6D" w14:textId="77777777" w:rsidR="00D125AA" w:rsidRDefault="00D125AA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45B78F6E" w14:textId="77777777" w:rsidR="00D125AA" w:rsidRDefault="00295B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3565"/>
        <w:gridCol w:w="1523"/>
        <w:gridCol w:w="2002"/>
        <w:gridCol w:w="1984"/>
      </w:tblGrid>
      <w:tr w:rsidR="00D125AA" w14:paraId="45B78F74" w14:textId="77777777">
        <w:tc>
          <w:tcPr>
            <w:tcW w:w="565" w:type="dxa"/>
            <w:vAlign w:val="center"/>
          </w:tcPr>
          <w:p w14:paraId="45B78F6F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5" w:type="dxa"/>
            <w:vAlign w:val="center"/>
          </w:tcPr>
          <w:p w14:paraId="45B78F70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45B78F71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45B78F72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45B78F73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D125AA" w14:paraId="45B78F7A" w14:textId="77777777">
        <w:tc>
          <w:tcPr>
            <w:tcW w:w="565" w:type="dxa"/>
            <w:vAlign w:val="center"/>
          </w:tcPr>
          <w:p w14:paraId="45B78F75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5" w:type="dxa"/>
            <w:vAlign w:val="center"/>
          </w:tcPr>
          <w:p w14:paraId="45B78F76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45B78F77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5B78F78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79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80" w14:textId="77777777">
        <w:tc>
          <w:tcPr>
            <w:tcW w:w="565" w:type="dxa"/>
            <w:vAlign w:val="center"/>
          </w:tcPr>
          <w:p w14:paraId="45B78F7B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5" w:type="dxa"/>
            <w:vAlign w:val="center"/>
          </w:tcPr>
          <w:p w14:paraId="45B78F7C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45B78F7D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5B78F7E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7F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87" w14:textId="77777777">
        <w:tc>
          <w:tcPr>
            <w:tcW w:w="565" w:type="dxa"/>
            <w:vAlign w:val="center"/>
          </w:tcPr>
          <w:p w14:paraId="45B78F81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5" w:type="dxa"/>
            <w:vAlign w:val="center"/>
          </w:tcPr>
          <w:p w14:paraId="45B78F82" w14:textId="77777777" w:rsidR="00D125AA" w:rsidRDefault="00295B1B">
            <w:pPr>
              <w:widowControl w:val="0"/>
              <w:ind w:firstLine="0"/>
              <w:jc w:val="both"/>
            </w:pPr>
            <w:r>
              <w:rPr>
                <w:rFonts w:ascii="Arial" w:hAnsi="Arial" w:cs="Arial"/>
              </w:rPr>
              <w:t xml:space="preserve">Jaunuolynų </w:t>
            </w:r>
            <w:proofErr w:type="spellStart"/>
            <w:r>
              <w:rPr>
                <w:rFonts w:ascii="Arial" w:hAnsi="Arial" w:cs="Arial"/>
              </w:rPr>
              <w:t>ugdymasJaunuolyn</w:t>
            </w:r>
            <w:r>
              <w:rPr>
                <w:rFonts w:ascii="Arial" w:hAnsi="Arial"/>
              </w:rPr>
              <w:t>ų</w:t>
            </w:r>
            <w:proofErr w:type="spellEnd"/>
            <w:r>
              <w:rPr>
                <w:rFonts w:ascii="Arial" w:hAnsi="Arial"/>
              </w:rPr>
              <w:t xml:space="preserve"> ugdymas ir/ar retinimo kirtimai, negaminant likvidinės medienos</w:t>
            </w:r>
          </w:p>
          <w:p w14:paraId="45B78F83" w14:textId="77777777" w:rsidR="00D125AA" w:rsidRDefault="00D125AA">
            <w:pPr>
              <w:widowControl w:val="0"/>
              <w:ind w:firstLine="0"/>
              <w:jc w:val="both"/>
            </w:pPr>
          </w:p>
        </w:tc>
        <w:tc>
          <w:tcPr>
            <w:tcW w:w="1523" w:type="dxa"/>
            <w:vAlign w:val="center"/>
          </w:tcPr>
          <w:p w14:paraId="45B78F84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5B78F85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86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8D" w14:textId="77777777">
        <w:tc>
          <w:tcPr>
            <w:tcW w:w="565" w:type="dxa"/>
            <w:vAlign w:val="center"/>
          </w:tcPr>
          <w:p w14:paraId="45B78F88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5" w:type="dxa"/>
          </w:tcPr>
          <w:p w14:paraId="45B78F89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45B78F8A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5B78F8B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8C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93" w14:textId="77777777">
        <w:tc>
          <w:tcPr>
            <w:tcW w:w="565" w:type="dxa"/>
            <w:vAlign w:val="center"/>
          </w:tcPr>
          <w:p w14:paraId="45B78F8E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3565" w:type="dxa"/>
          </w:tcPr>
          <w:p w14:paraId="45B78F8F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45B78F90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5B78F91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92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99" w14:textId="77777777">
        <w:tc>
          <w:tcPr>
            <w:tcW w:w="565" w:type="dxa"/>
            <w:vAlign w:val="center"/>
          </w:tcPr>
          <w:p w14:paraId="45B78F94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5" w:type="dxa"/>
          </w:tcPr>
          <w:p w14:paraId="45B78F95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45B78F96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5B78F97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98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9F" w14:textId="77777777">
        <w:tc>
          <w:tcPr>
            <w:tcW w:w="565" w:type="dxa"/>
            <w:vAlign w:val="center"/>
          </w:tcPr>
          <w:p w14:paraId="45B78F9A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5" w:type="dxa"/>
          </w:tcPr>
          <w:p w14:paraId="45B78F9B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45B78F9C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45B78F9D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9E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275CA" w14:paraId="45B78FA5" w14:textId="77777777">
        <w:tc>
          <w:tcPr>
            <w:tcW w:w="565" w:type="dxa"/>
            <w:vAlign w:val="center"/>
          </w:tcPr>
          <w:p w14:paraId="45B78FA0" w14:textId="33F201DD" w:rsidR="00D275CA" w:rsidRDefault="00D275CA" w:rsidP="00D275CA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5" w:type="dxa"/>
          </w:tcPr>
          <w:p w14:paraId="45B78FA1" w14:textId="77777777" w:rsidR="00D275CA" w:rsidRDefault="00D275CA" w:rsidP="00D275C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45B78FA2" w14:textId="77777777" w:rsidR="00D275CA" w:rsidRDefault="00D275CA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5B78FA3" w14:textId="6531E782" w:rsidR="00D275CA" w:rsidRPr="00D275CA" w:rsidRDefault="00323265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175,7</w:t>
            </w:r>
          </w:p>
        </w:tc>
        <w:tc>
          <w:tcPr>
            <w:tcW w:w="1984" w:type="dxa"/>
            <w:vAlign w:val="center"/>
          </w:tcPr>
          <w:p w14:paraId="7F42E02B" w14:textId="77777777" w:rsidR="00D275CA" w:rsidRDefault="00D275CA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B78FA4" w14:textId="279F728E" w:rsidR="00323265" w:rsidRPr="00D275CA" w:rsidRDefault="00323265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212,59</w:t>
            </w:r>
          </w:p>
        </w:tc>
      </w:tr>
      <w:tr w:rsidR="00D275CA" w14:paraId="45B78FAB" w14:textId="77777777">
        <w:tc>
          <w:tcPr>
            <w:tcW w:w="565" w:type="dxa"/>
            <w:vAlign w:val="center"/>
          </w:tcPr>
          <w:p w14:paraId="45B78FA6" w14:textId="2485A8E7" w:rsidR="00D275CA" w:rsidRDefault="00D275CA" w:rsidP="00D275CA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5" w:type="dxa"/>
            <w:vAlign w:val="center"/>
          </w:tcPr>
          <w:p w14:paraId="45B78FA7" w14:textId="77777777" w:rsidR="00D275CA" w:rsidRDefault="00D275CA" w:rsidP="00D275C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</w:t>
            </w:r>
          </w:p>
        </w:tc>
        <w:tc>
          <w:tcPr>
            <w:tcW w:w="1523" w:type="dxa"/>
            <w:vAlign w:val="center"/>
          </w:tcPr>
          <w:p w14:paraId="45B78FA8" w14:textId="77777777" w:rsidR="00D275CA" w:rsidRDefault="00D275CA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5B78FA9" w14:textId="65CA7230" w:rsidR="00D275CA" w:rsidRPr="00D275CA" w:rsidRDefault="00323265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22,24</w:t>
            </w:r>
          </w:p>
        </w:tc>
        <w:tc>
          <w:tcPr>
            <w:tcW w:w="1984" w:type="dxa"/>
            <w:vAlign w:val="center"/>
          </w:tcPr>
          <w:p w14:paraId="45B78FAA" w14:textId="0B392A35" w:rsidR="00D275CA" w:rsidRPr="00D275CA" w:rsidRDefault="00323265" w:rsidP="00D275CA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26,91</w:t>
            </w:r>
          </w:p>
        </w:tc>
      </w:tr>
      <w:tr w:rsidR="00D125AA" w14:paraId="45B78FB1" w14:textId="77777777">
        <w:tc>
          <w:tcPr>
            <w:tcW w:w="565" w:type="dxa"/>
            <w:vAlign w:val="center"/>
          </w:tcPr>
          <w:p w14:paraId="45B78FAC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5" w:type="dxa"/>
          </w:tcPr>
          <w:p w14:paraId="45B78FAD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45B78FAE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45B78FAF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B0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B7" w14:textId="77777777">
        <w:tc>
          <w:tcPr>
            <w:tcW w:w="565" w:type="dxa"/>
            <w:vAlign w:val="center"/>
          </w:tcPr>
          <w:p w14:paraId="45B78FB2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5" w:type="dxa"/>
          </w:tcPr>
          <w:p w14:paraId="45B78FB3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45B78FB4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45B78FB5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B6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125AA" w14:paraId="45B78FBD" w14:textId="77777777">
        <w:tc>
          <w:tcPr>
            <w:tcW w:w="565" w:type="dxa"/>
            <w:vAlign w:val="center"/>
          </w:tcPr>
          <w:p w14:paraId="45B78FB8" w14:textId="77777777" w:rsidR="00D125AA" w:rsidRDefault="00295B1B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5" w:type="dxa"/>
          </w:tcPr>
          <w:p w14:paraId="45B78FB9" w14:textId="77777777" w:rsidR="00D125AA" w:rsidRDefault="00295B1B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45B78FBA" w14:textId="77777777" w:rsidR="00D125AA" w:rsidRDefault="00295B1B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45B78FBB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5B78FBC" w14:textId="77777777" w:rsidR="00D125AA" w:rsidRDefault="00D125AA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5B78FBE" w14:textId="77777777" w:rsidR="00D125AA" w:rsidRDefault="00D125AA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45B78FBF" w14:textId="77777777" w:rsidR="00D125AA" w:rsidRDefault="00295B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45B78FC0" w14:textId="77777777" w:rsidR="00D125AA" w:rsidRDefault="00295B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45B78FC1" w14:textId="77777777" w:rsidR="00D125AA" w:rsidRDefault="00295B1B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45B78FC2" w14:textId="77777777" w:rsidR="00D125AA" w:rsidRDefault="00295B1B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D125AA" w14:paraId="45B78FC6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5B78FC3" w14:textId="77777777" w:rsidR="00D125AA" w:rsidRDefault="00295B1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"/>
            <w:bookmarkEnd w:id="2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45B78FC4" w14:textId="77777777" w:rsidR="00D125AA" w:rsidRDefault="00D125A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45B78FC5" w14:textId="77777777" w:rsidR="00D125AA" w:rsidRDefault="00295B1B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D125AA" w14:paraId="45B78FCA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5B78FC7" w14:textId="77777777" w:rsidR="00D125AA" w:rsidRDefault="00D125A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45B78FC8" w14:textId="77777777" w:rsidR="00D125AA" w:rsidRDefault="00D125A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45B78FC9" w14:textId="77777777" w:rsidR="00D125AA" w:rsidRDefault="00D125A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3" w:name="_Hlk524350057_Copy_1"/>
            <w:bookmarkEnd w:id="3"/>
          </w:p>
        </w:tc>
      </w:tr>
      <w:bookmarkStart w:id="4" w:name="_Hlk24373229"/>
      <w:tr w:rsidR="00D125AA" w14:paraId="45B78FCE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45B78FCB" w14:textId="77777777" w:rsidR="00D125AA" w:rsidRDefault="00000000" w:rsidP="00D275C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shd w:val="clear" w:color="auto" w:fill="FFFFFF"/>
              </w:rPr>
            </w:pPr>
            <w:sdt>
              <w:sdtPr>
                <w:id w:val="-2057533640"/>
              </w:sdtPr>
              <w:sdtContent>
                <w:r w:rsidR="00295B1B">
                  <w:rPr>
                    <w:rFonts w:ascii="Arial" w:hAnsi="Arial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45B78FCC" w14:textId="77777777" w:rsidR="00D125AA" w:rsidRDefault="00D125A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45B78FCD" w14:textId="0BF8265E" w:rsidR="00D125AA" w:rsidRDefault="00D275CA" w:rsidP="00D275CA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0"/>
              <w:textAlignment w:val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295B1B">
              <w:rPr>
                <w:rFonts w:ascii="Arial" w:eastAsia="Calibri" w:hAnsi="Arial" w:cs="Arial"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45B78FCF" w14:textId="49E48EB5" w:rsidR="00D125AA" w:rsidRDefault="00295B1B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Buveinės adresas: Vilniaus g. 22, LT-13116 </w:t>
      </w:r>
      <w:r>
        <w:rPr>
          <w:rFonts w:ascii="Arial" w:eastAsia="Calibri" w:hAnsi="Arial" w:cs="Arial"/>
          <w:sz w:val="24"/>
          <w:szCs w:val="24"/>
        </w:rPr>
        <w:tab/>
      </w:r>
    </w:p>
    <w:p w14:paraId="45B78FD0" w14:textId="6043962F" w:rsidR="00D125AA" w:rsidRDefault="00295B1B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Mickūnai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122A11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Individualios veiklos pažyma</w:t>
      </w:r>
      <w:r>
        <w:rPr>
          <w:rFonts w:ascii="Arial" w:eastAsia="Calibri" w:hAnsi="Arial" w:cs="Arial"/>
          <w:sz w:val="24"/>
          <w:szCs w:val="24"/>
        </w:rPr>
        <w:tab/>
      </w:r>
    </w:p>
    <w:p w14:paraId="45B78FD1" w14:textId="1BE58083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>. LT06 7044 0600 0819 3483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Nr. </w:t>
      </w:r>
    </w:p>
    <w:p w14:paraId="45B78FD2" w14:textId="4E7FE998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 SEB bankas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proofErr w:type="spellStart"/>
      <w:r>
        <w:rPr>
          <w:rFonts w:ascii="Arial" w:eastAsia="Calibri" w:hAnsi="Arial" w:cs="Arial"/>
          <w:sz w:val="24"/>
          <w:szCs w:val="24"/>
        </w:rPr>
        <w:t>A.s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45B78FD3" w14:textId="1C315B6A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Įmonės kodas </w:t>
      </w:r>
      <w:r w:rsidR="00D275CA">
        <w:rPr>
          <w:rFonts w:ascii="Arial" w:eastAsia="Calibri" w:hAnsi="Arial" w:cs="Arial"/>
          <w:sz w:val="24"/>
          <w:szCs w:val="24"/>
        </w:rPr>
        <w:t>132340880</w:t>
      </w:r>
      <w:r w:rsidR="00D275CA">
        <w:rPr>
          <w:rFonts w:ascii="Arial" w:eastAsia="Calibri" w:hAnsi="Arial" w:cs="Arial"/>
          <w:sz w:val="24"/>
          <w:szCs w:val="24"/>
        </w:rPr>
        <w:tab/>
        <w:t xml:space="preserve">                    </w:t>
      </w:r>
      <w:r>
        <w:rPr>
          <w:rFonts w:ascii="Arial" w:eastAsia="Calibri" w:hAnsi="Arial" w:cs="Arial"/>
          <w:sz w:val="24"/>
          <w:szCs w:val="24"/>
        </w:rPr>
        <w:t xml:space="preserve">AB </w:t>
      </w:r>
    </w:p>
    <w:p w14:paraId="45B78FD4" w14:textId="2C8CBA44" w:rsidR="00D125AA" w:rsidRDefault="00295B1B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PVM mokėtojo kodas LT323408811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Tel. +  </w:t>
      </w:r>
      <w:r>
        <w:rPr>
          <w:rFonts w:ascii="Arial" w:eastAsia="Calibri" w:hAnsi="Arial" w:cs="Arial"/>
          <w:sz w:val="24"/>
          <w:szCs w:val="24"/>
        </w:rPr>
        <w:tab/>
      </w:r>
    </w:p>
    <w:p w14:paraId="45B78FD5" w14:textId="77777777" w:rsidR="00D125AA" w:rsidRDefault="00295B1B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Tel. +370 68633406</w:t>
      </w:r>
    </w:p>
    <w:p w14:paraId="45B78FD6" w14:textId="2DD2847E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</w:rPr>
      </w:pPr>
      <w:r>
        <w:rPr>
          <w:rFonts w:ascii="Arial" w:eastAsia="Calibri" w:hAnsi="Arial" w:cs="Arial"/>
          <w:sz w:val="24"/>
          <w:szCs w:val="24"/>
        </w:rPr>
        <w:t xml:space="preserve">El. paštas: </w:t>
      </w:r>
      <w:hyperlink r:id="rId6">
        <w:r>
          <w:rPr>
            <w:rStyle w:val="Hipersaitas"/>
            <w:rFonts w:ascii="Arial" w:eastAsia="Calibri" w:hAnsi="Arial" w:cs="Arial"/>
            <w:sz w:val="24"/>
            <w:szCs w:val="24"/>
          </w:rPr>
          <w:t>nemencine@vmu.lt</w:t>
        </w:r>
      </w:hyperlink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                    El. paštas:</w:t>
      </w:r>
      <w:r w:rsidR="00D275CA">
        <w:rPr>
          <w:rFonts w:ascii="Arial" w:eastAsia="Calibri" w:hAnsi="Arial" w:cs="Arial"/>
          <w:sz w:val="24"/>
          <w:szCs w:val="24"/>
        </w:rPr>
        <w:t xml:space="preserve"> </w:t>
      </w:r>
    </w:p>
    <w:p w14:paraId="63525806" w14:textId="77777777" w:rsidR="00D275CA" w:rsidRPr="00D275CA" w:rsidRDefault="00D275CA" w:rsidP="00D275CA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D275CA">
        <w:rPr>
          <w:rFonts w:ascii="Arial" w:eastAsia="Calibri" w:hAnsi="Arial" w:cs="Arial"/>
          <w:sz w:val="24"/>
          <w:szCs w:val="24"/>
        </w:rPr>
        <w:t xml:space="preserve">Nemenčinės RP vadovas, vykdantis </w:t>
      </w:r>
    </w:p>
    <w:p w14:paraId="45B78FD9" w14:textId="4BD2AAB8" w:rsidR="00D125AA" w:rsidRDefault="00D275CA" w:rsidP="00D275CA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 w:rsidRPr="00D275CA">
        <w:rPr>
          <w:rFonts w:ascii="Arial" w:eastAsia="Calibri" w:hAnsi="Arial" w:cs="Arial"/>
          <w:sz w:val="24"/>
          <w:szCs w:val="24"/>
        </w:rPr>
        <w:t>Švenčionėlių RP vadovo funkcijas</w:t>
      </w:r>
    </w:p>
    <w:p w14:paraId="6BEC453C" w14:textId="77777777" w:rsidR="00D275CA" w:rsidRDefault="00D275CA" w:rsidP="00D275CA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45B78FDA" w14:textId="77777777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----------------------------------------                           -----------------------------------------</w:t>
      </w:r>
    </w:p>
    <w:p w14:paraId="45B78FDB" w14:textId="00319BB0" w:rsidR="00D125AA" w:rsidRDefault="00295B1B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Giedrius Grincevičius</w:t>
      </w:r>
      <w:r>
        <w:rPr>
          <w:rFonts w:ascii="Arial" w:eastAsia="Calibri" w:hAnsi="Arial" w:cs="Arial"/>
          <w:color w:val="C9211E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45B78FDC" w14:textId="77777777" w:rsidR="00D125AA" w:rsidRDefault="00D125AA">
      <w:pPr>
        <w:spacing w:after="280"/>
        <w:jc w:val="both"/>
        <w:rPr>
          <w:rFonts w:ascii="Arial" w:hAnsi="Arial" w:cs="Arial"/>
          <w:lang w:eastAsia="lt-LT"/>
        </w:rPr>
      </w:pPr>
    </w:p>
    <w:p w14:paraId="45B78FDD" w14:textId="77777777" w:rsidR="00D125AA" w:rsidRDefault="00D125AA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D125AA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23FAC"/>
    <w:multiLevelType w:val="multilevel"/>
    <w:tmpl w:val="D13A230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0292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AA"/>
    <w:rsid w:val="00122A11"/>
    <w:rsid w:val="00295B1B"/>
    <w:rsid w:val="00323265"/>
    <w:rsid w:val="00472F59"/>
    <w:rsid w:val="00500BAD"/>
    <w:rsid w:val="00704458"/>
    <w:rsid w:val="00840A93"/>
    <w:rsid w:val="00D125AA"/>
    <w:rsid w:val="00D275CA"/>
    <w:rsid w:val="00DB696E"/>
    <w:rsid w:val="00E9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8F57"/>
  <w15:docId w15:val="{BDD69062-D637-49C7-9E40-98018EE3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301BBB"/>
    <w:rsid w:val="00472F59"/>
    <w:rsid w:val="004A0A27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60DCF"/>
    <w:rsid w:val="00C945EA"/>
    <w:rsid w:val="00C94D12"/>
    <w:rsid w:val="00D534D8"/>
    <w:rsid w:val="00E24634"/>
    <w:rsid w:val="00E4103E"/>
    <w:rsid w:val="00E46CC7"/>
    <w:rsid w:val="00E90D71"/>
    <w:rsid w:val="00EC3643"/>
    <w:rsid w:val="00EC5473"/>
    <w:rsid w:val="00F7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DF0B6-1B4D-458D-92A7-DB9DE777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2881</Words>
  <Characters>1643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2025-02-05T09:01:00Z</dcterms:created>
  <dcterms:modified xsi:type="dcterms:W3CDTF">2025-02-05T09:02:00Z</dcterms:modified>
  <dc:language>lt-LT</dc:language>
</cp:coreProperties>
</file>