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A006" w14:textId="403EDB2D" w:rsidR="00EF28D2" w:rsidRDefault="00CE0FA1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2024-02-20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="00CA19AE">
        <w:rPr>
          <w:rFonts w:ascii="Arial" w:hAnsi="Arial" w:cs="Arial"/>
          <w:b/>
          <w:bCs/>
          <w:sz w:val="22"/>
          <w:szCs w:val="22"/>
        </w:rPr>
        <w:t>INDINĖS SUTARTIES NR. 61-VP-2046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PASLAUGŲ BAZINIŲ ĮKAINIŲ PERSKAIČIAVIMO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14790AEA" w:rsidR="00EF28D2" w:rsidRDefault="00453704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2025 _01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0B" w14:textId="10F9D8D5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B93499" w:rsidRPr="00B93499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 „“, įmonės kodas , atstovaujama </w:t>
      </w:r>
      <w:r w:rsidR="00B9349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>, toliau vadinama Paslaugų teikėju, bendrai vadinamos Šalimis, o atskirai Šalimi, sudarėme šį susitarimą (toliau – Susitarimas) dėl miški</w:t>
      </w:r>
      <w:r w:rsidR="00B374AB">
        <w:rPr>
          <w:rFonts w:ascii="Arial" w:hAnsi="Arial" w:cs="Arial"/>
          <w:sz w:val="22"/>
          <w:szCs w:val="22"/>
          <w:shd w:val="clear" w:color="auto" w:fill="FFFFFF"/>
        </w:rPr>
        <w:t>ninkystės rangos paslaugų sutar</w:t>
      </w:r>
      <w:r>
        <w:rPr>
          <w:rFonts w:ascii="Arial" w:hAnsi="Arial" w:cs="Arial"/>
          <w:sz w:val="22"/>
          <w:szCs w:val="22"/>
          <w:shd w:val="clear" w:color="auto" w:fill="FFFFFF"/>
        </w:rPr>
        <w:t>ties (toliau – Sutartis) bazinių įkainių perskaičiavimo.</w:t>
      </w:r>
    </w:p>
    <w:p w14:paraId="5CC4A00C" w14:textId="3FBF6912" w:rsidR="00EF28D2" w:rsidRDefault="00FA3089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CE0FA1">
            <w:rPr>
              <w:rFonts w:ascii="Arial" w:hAnsi="Arial" w:cs="Arial"/>
              <w:sz w:val="22"/>
              <w:szCs w:val="22"/>
              <w:shd w:val="clear" w:color="auto" w:fill="FFFFFF"/>
            </w:rPr>
            <w:t>2024 m. vasario 20</w:t>
          </w:r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CA19AE">
            <w:rPr>
              <w:rFonts w:ascii="Arial" w:hAnsi="Arial" w:cs="Arial"/>
              <w:sz w:val="22"/>
              <w:szCs w:val="22"/>
              <w:shd w:val="clear" w:color="auto" w:fill="FFFFFF"/>
            </w:rPr>
            <w:t>61-VP-2046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5CC4A00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5CC4A00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5CC4A00F" w14:textId="77777777" w:rsidR="00EF28D2" w:rsidRDefault="00FA30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5CC4A010" w14:textId="77777777" w:rsidR="00EF28D2" w:rsidRDefault="00EF28D2">
      <w:pPr>
        <w:ind w:right="-46"/>
        <w:jc w:val="both"/>
        <w:rPr>
          <w:rFonts w:ascii="Arial" w:eastAsia="Calibri" w:hAnsi="Arial" w:cs="Arial"/>
        </w:rPr>
      </w:pPr>
    </w:p>
    <w:p w14:paraId="5CC4A011" w14:textId="77777777" w:rsidR="00EF28D2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CC4A012" w14:textId="77777777" w:rsidR="00EF28D2" w:rsidRDefault="00EF28D2">
      <w:pPr>
        <w:pStyle w:val="ATekstas"/>
        <w:rPr>
          <w:rFonts w:ascii="Arial" w:hAnsi="Arial" w:cs="Arial"/>
          <w:sz w:val="22"/>
          <w:szCs w:val="22"/>
        </w:rPr>
      </w:pPr>
    </w:p>
    <w:p w14:paraId="5CC4A013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5CC4A014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5CC4A015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5CC4A016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5CC4A017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5CC4A018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5CC4A019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5CC4A01A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5CC4A01B" w14:textId="77777777" w:rsidR="00EF28D2" w:rsidRDefault="00FA3089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5CC4A01C" w14:textId="77777777" w:rsidR="00EF28D2" w:rsidRDefault="00EF28D2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5CC4A01D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EF28D2" w14:paraId="5CC4A023" w14:textId="77777777">
        <w:tc>
          <w:tcPr>
            <w:tcW w:w="566" w:type="dxa"/>
            <w:vAlign w:val="center"/>
          </w:tcPr>
          <w:p w14:paraId="5CC4A01E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5CC4A01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5CC4A020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5CC4A02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5CC4A022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F28D2" w14:paraId="5CC4A029" w14:textId="77777777">
        <w:tc>
          <w:tcPr>
            <w:tcW w:w="566" w:type="dxa"/>
            <w:vAlign w:val="center"/>
          </w:tcPr>
          <w:p w14:paraId="5CC4A024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5CC4A025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5CC4A026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27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28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2F" w14:textId="77777777">
        <w:tc>
          <w:tcPr>
            <w:tcW w:w="566" w:type="dxa"/>
            <w:vAlign w:val="center"/>
          </w:tcPr>
          <w:p w14:paraId="5CC4A02A" w14:textId="6EEDA729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5CC4A02B" w14:textId="77777777" w:rsidR="00FA3089" w:rsidRDefault="00FA3089" w:rsidP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5CC4A02C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C27672E" w14:textId="45620D86" w:rsidR="00CA19AE" w:rsidRPr="00CA19AE" w:rsidRDefault="00453704" w:rsidP="00CA19AE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247,38</w:t>
            </w:r>
          </w:p>
          <w:p w14:paraId="5CC4A02D" w14:textId="0CAF56F4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1C369C0" w14:textId="70EC4A86" w:rsidR="00CA19AE" w:rsidRPr="00CA19AE" w:rsidRDefault="00453704" w:rsidP="00CA19AE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299,33</w:t>
            </w:r>
          </w:p>
          <w:p w14:paraId="5CC4A02E" w14:textId="29571437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A3089" w14:paraId="5CC4A036" w14:textId="77777777">
        <w:tc>
          <w:tcPr>
            <w:tcW w:w="566" w:type="dxa"/>
            <w:vAlign w:val="center"/>
          </w:tcPr>
          <w:p w14:paraId="5CC4A030" w14:textId="13E252A6" w:rsidR="00FA3089" w:rsidRDefault="00FA3089" w:rsidP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5CC4A031" w14:textId="77777777" w:rsidR="00FA3089" w:rsidRDefault="00FA3089" w:rsidP="00FA3089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>Jaunuolyn</w:t>
            </w:r>
            <w:r>
              <w:rPr>
                <w:rFonts w:ascii="Arial" w:hAnsi="Arial"/>
              </w:rPr>
              <w:t>ų ugdymas ir/ar retinimo kirtimai, negaminant likvidinės medienos</w:t>
            </w:r>
          </w:p>
          <w:p w14:paraId="5CC4A032" w14:textId="77777777" w:rsidR="00FA3089" w:rsidRDefault="00FA3089" w:rsidP="00FA3089">
            <w:pPr>
              <w:widowControl w:val="0"/>
              <w:ind w:firstLine="0"/>
              <w:rPr>
                <w:rFonts w:ascii="Arial" w:hAnsi="Arial" w:cs="Arial"/>
              </w:rPr>
            </w:pPr>
          </w:p>
        </w:tc>
        <w:tc>
          <w:tcPr>
            <w:tcW w:w="1523" w:type="dxa"/>
            <w:vAlign w:val="center"/>
          </w:tcPr>
          <w:p w14:paraId="5CC4A033" w14:textId="77777777" w:rsidR="00FA3089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A7BA460" w14:textId="57858085" w:rsidR="00CA19AE" w:rsidRPr="00CA19AE" w:rsidRDefault="00453704" w:rsidP="00CA19AE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297,28</w:t>
            </w:r>
          </w:p>
          <w:p w14:paraId="5CC4A034" w14:textId="5E1ACBDD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0A4A262" w14:textId="2345BB86" w:rsidR="00CA19AE" w:rsidRPr="00CA19AE" w:rsidRDefault="00453704" w:rsidP="00CA19AE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359,71</w:t>
            </w:r>
          </w:p>
          <w:p w14:paraId="5CC4A035" w14:textId="3DA7815E" w:rsidR="00FA3089" w:rsidRPr="00CA19AE" w:rsidRDefault="00FA3089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3C" w14:textId="77777777">
        <w:tc>
          <w:tcPr>
            <w:tcW w:w="566" w:type="dxa"/>
            <w:vAlign w:val="center"/>
          </w:tcPr>
          <w:p w14:paraId="5CC4A03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5CC4A03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5CC4A03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3A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3B" w14:textId="77777777" w:rsidR="00EF28D2" w:rsidRPr="00FA3089" w:rsidRDefault="00EF28D2" w:rsidP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2" w14:textId="77777777" w:rsidTr="00FA3089">
        <w:tc>
          <w:tcPr>
            <w:tcW w:w="566" w:type="dxa"/>
            <w:vAlign w:val="center"/>
          </w:tcPr>
          <w:p w14:paraId="5CC4A03D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4" w:type="dxa"/>
            <w:vAlign w:val="center"/>
          </w:tcPr>
          <w:p w14:paraId="5CC4A03E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5CC4A03F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40" w14:textId="6DD91428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Align w:val="center"/>
          </w:tcPr>
          <w:p w14:paraId="5CC4A041" w14:textId="450BB986" w:rsidR="00EF28D2" w:rsidRPr="00FA3089" w:rsidRDefault="00EF28D2" w:rsidP="00FA3089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EF28D2" w14:paraId="5CC4A048" w14:textId="77777777">
        <w:tc>
          <w:tcPr>
            <w:tcW w:w="566" w:type="dxa"/>
            <w:vAlign w:val="center"/>
          </w:tcPr>
          <w:p w14:paraId="5CC4A043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5CC4A044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5CC4A045" w14:textId="7D081670" w:rsidR="00EF28D2" w:rsidRDefault="00FA3089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2B49E644" w14:textId="4AEF54B1" w:rsidR="00CA19AE" w:rsidRPr="00CA19AE" w:rsidRDefault="00453704" w:rsidP="00CA19AE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122,1</w:t>
            </w:r>
          </w:p>
          <w:p w14:paraId="5CC4A046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8845C6" w14:textId="2A752279" w:rsidR="00CA19AE" w:rsidRPr="00CA19AE" w:rsidRDefault="00453704" w:rsidP="00CA19AE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147,74</w:t>
            </w:r>
          </w:p>
          <w:p w14:paraId="5CC4A047" w14:textId="77777777" w:rsidR="00EF28D2" w:rsidRPr="00CA19AE" w:rsidRDefault="00EF28D2" w:rsidP="00CA19A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4E" w14:textId="77777777">
        <w:tc>
          <w:tcPr>
            <w:tcW w:w="566" w:type="dxa"/>
            <w:vAlign w:val="center"/>
          </w:tcPr>
          <w:p w14:paraId="5CC4A049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5CC4A04A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5CC4A04B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5CC4A04C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4D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4" w14:textId="77777777">
        <w:tc>
          <w:tcPr>
            <w:tcW w:w="566" w:type="dxa"/>
            <w:vAlign w:val="center"/>
          </w:tcPr>
          <w:p w14:paraId="5CC4A04F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5CC4A050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5CC4A051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2" w14:textId="74B66F22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3" w14:textId="2D2EBA86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5A" w14:textId="77777777">
        <w:tc>
          <w:tcPr>
            <w:tcW w:w="566" w:type="dxa"/>
            <w:vAlign w:val="center"/>
          </w:tcPr>
          <w:p w14:paraId="5CC4A055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5CC4A056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5CC4A057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8" w14:textId="426CAFD1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9" w14:textId="15D25DFF" w:rsidR="00EF28D2" w:rsidRDefault="00EF28D2" w:rsidP="00AB2903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0" w14:textId="77777777">
        <w:tc>
          <w:tcPr>
            <w:tcW w:w="566" w:type="dxa"/>
            <w:vAlign w:val="center"/>
          </w:tcPr>
          <w:p w14:paraId="5CC4A05B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5CC4A05C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5CC4A05D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5CC4A05E" w14:textId="3874DB44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5F" w14:textId="14EF3945" w:rsidR="00EF28D2" w:rsidRDefault="00EF28D2" w:rsidP="00E3053E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6" w14:textId="77777777">
        <w:tc>
          <w:tcPr>
            <w:tcW w:w="566" w:type="dxa"/>
            <w:vAlign w:val="center"/>
          </w:tcPr>
          <w:p w14:paraId="5CC4A061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5CC4A062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5CC4A063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5CC4A064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5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F28D2" w14:paraId="5CC4A06C" w14:textId="77777777">
        <w:tc>
          <w:tcPr>
            <w:tcW w:w="566" w:type="dxa"/>
            <w:vAlign w:val="center"/>
          </w:tcPr>
          <w:p w14:paraId="5CC4A067" w14:textId="77777777" w:rsidR="00EF28D2" w:rsidRDefault="00FA3089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5CC4A068" w14:textId="77777777" w:rsidR="00EF28D2" w:rsidRDefault="00FA3089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5CC4A069" w14:textId="77777777" w:rsidR="00EF28D2" w:rsidRDefault="00FA3089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5CC4A06A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CC4A06B" w14:textId="77777777" w:rsidR="00EF28D2" w:rsidRDefault="00EF28D2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CC4A06D" w14:textId="77777777" w:rsidR="00EF28D2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6E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5CC4A06F" w14:textId="77777777" w:rsidR="00EF28D2" w:rsidRDefault="00FA30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5CC4A070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5CC4A071" w14:textId="77777777" w:rsidR="00EF28D2" w:rsidRDefault="00FA3089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F28D2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408142902"/>
              </w:sdtPr>
              <w:sdtContent>
                <w:r w:rsidR="00FA3089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2969F37E" w:rsidR="00EF28D2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CE0FA1">
              <w:rPr>
                <w:rFonts w:ascii="Arial" w:eastAsia="Calibri" w:hAnsi="Arial" w:cs="Arial"/>
                <w:sz w:val="24"/>
                <w:szCs w:val="24"/>
              </w:rPr>
              <w:t>MB „“</w:t>
            </w:r>
          </w:p>
        </w:tc>
      </w:tr>
    </w:tbl>
    <w:p w14:paraId="5CC4A07E" w14:textId="4BD55708" w:rsidR="00EF28D2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7F" w14:textId="7C322040" w:rsidR="00EF28D2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84581B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>Įmonės kodas: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0" w14:textId="2A0C3355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E0FA1">
        <w:rPr>
          <w:rFonts w:ascii="Arial" w:eastAsia="Calibri" w:hAnsi="Arial" w:cs="Arial"/>
          <w:sz w:val="24"/>
          <w:szCs w:val="24"/>
        </w:rPr>
        <w:t xml:space="preserve">PVM mokėtojo kodas: </w:t>
      </w:r>
    </w:p>
    <w:p w14:paraId="6C847849" w14:textId="311A15ED" w:rsidR="00CE0FA1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5CC4A082" w14:textId="50C7FAF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</w:t>
      </w:r>
      <w:r w:rsidR="00CE0FA1">
        <w:rPr>
          <w:rFonts w:ascii="Arial" w:eastAsia="Calibri" w:hAnsi="Arial" w:cs="Arial"/>
          <w:sz w:val="24"/>
          <w:szCs w:val="24"/>
        </w:rPr>
        <w:t xml:space="preserve">                 AB </w:t>
      </w:r>
    </w:p>
    <w:p w14:paraId="5CC4A083" w14:textId="22F3B5B7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Tel. + </w:t>
      </w:r>
      <w:r>
        <w:rPr>
          <w:rFonts w:ascii="Arial" w:eastAsia="Calibri" w:hAnsi="Arial" w:cs="Arial"/>
          <w:sz w:val="24"/>
          <w:szCs w:val="24"/>
        </w:rPr>
        <w:tab/>
      </w:r>
    </w:p>
    <w:p w14:paraId="5CC4A084" w14:textId="77777777" w:rsidR="00EF28D2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5CC4A085" w14:textId="7A8EFB1A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8A51E1">
        <w:rPr>
          <w:rFonts w:ascii="Arial" w:eastAsia="Calibri" w:hAnsi="Arial" w:cs="Arial"/>
          <w:sz w:val="24"/>
          <w:szCs w:val="24"/>
        </w:rPr>
        <w:t xml:space="preserve"> </w:t>
      </w:r>
    </w:p>
    <w:p w14:paraId="677683D5" w14:textId="77777777" w:rsidR="008A51E1" w:rsidRPr="008A51E1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5CC4A088" w14:textId="3A9B9915" w:rsidR="00EF28D2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8A51E1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7E4C96DD" w14:textId="77777777" w:rsidR="00CE0FA1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5CC4A089" w14:textId="77777777" w:rsidR="00EF28D2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5CC4A08A" w14:textId="5A441B8A" w:rsidR="00EF28D2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>Giedrius Grincevičius</w:t>
      </w:r>
      <w:r>
        <w:rPr>
          <w:rFonts w:ascii="Arial" w:eastAsia="Calibri" w:hAnsi="Arial" w:cs="Arial"/>
          <w:bCs/>
          <w:color w:val="C9211E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  <w:r>
        <w:rPr>
          <w:rFonts w:ascii="Arial" w:eastAsia="Calibri" w:hAnsi="Arial" w:cs="Arial"/>
          <w:bCs/>
          <w:color w:val="000000"/>
          <w:sz w:val="24"/>
          <w:szCs w:val="24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2497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331C95"/>
    <w:rsid w:val="00453704"/>
    <w:rsid w:val="00773897"/>
    <w:rsid w:val="00793BB4"/>
    <w:rsid w:val="0084581B"/>
    <w:rsid w:val="008A51E1"/>
    <w:rsid w:val="00AB2903"/>
    <w:rsid w:val="00AD3521"/>
    <w:rsid w:val="00B374AB"/>
    <w:rsid w:val="00B93499"/>
    <w:rsid w:val="00CA19AE"/>
    <w:rsid w:val="00CE0FA1"/>
    <w:rsid w:val="00D27304"/>
    <w:rsid w:val="00E3053E"/>
    <w:rsid w:val="00EF28D2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4A0A27"/>
    <w:rsid w:val="004F64A4"/>
    <w:rsid w:val="0065514A"/>
    <w:rsid w:val="006A028A"/>
    <w:rsid w:val="00735130"/>
    <w:rsid w:val="00773897"/>
    <w:rsid w:val="007865A6"/>
    <w:rsid w:val="00793BB4"/>
    <w:rsid w:val="00866872"/>
    <w:rsid w:val="00980FC6"/>
    <w:rsid w:val="00A352CC"/>
    <w:rsid w:val="00AB3B17"/>
    <w:rsid w:val="00B60DCF"/>
    <w:rsid w:val="00C945EA"/>
    <w:rsid w:val="00C94D12"/>
    <w:rsid w:val="00CA1620"/>
    <w:rsid w:val="00D534D8"/>
    <w:rsid w:val="00E24634"/>
    <w:rsid w:val="00E4103E"/>
    <w:rsid w:val="00E46CC7"/>
    <w:rsid w:val="00EB34B2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0C29-EE39-4A25-AE4B-678E157B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2893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2025-02-06T05:38:00Z</dcterms:created>
  <dcterms:modified xsi:type="dcterms:W3CDTF">2025-02-06T05:39:00Z</dcterms:modified>
  <dc:language>lt-LT</dc:language>
</cp:coreProperties>
</file>