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85E55" w:rsidRDefault="00B85E55">
      <w:pPr>
        <w:rPr>
          <w:rFonts w:ascii="Times New Roman" w:eastAsia="Times New Roman" w:hAnsi="Times New Roman" w:cs="Times New Roman"/>
          <w:sz w:val="20"/>
          <w:szCs w:val="20"/>
        </w:rPr>
      </w:pPr>
      <w:bookmarkStart w:id="0" w:name="_GoBack"/>
      <w:bookmarkEnd w:id="0"/>
    </w:p>
    <w:p w:rsidR="00B85E55" w:rsidRDefault="00B85E55">
      <w:pPr>
        <w:spacing w:before="7"/>
        <w:rPr>
          <w:rFonts w:ascii="Times New Roman" w:eastAsia="Times New Roman" w:hAnsi="Times New Roman" w:cs="Times New Roman"/>
          <w:sz w:val="26"/>
          <w:szCs w:val="26"/>
        </w:rPr>
      </w:pPr>
    </w:p>
    <w:p w:rsidR="00B85E55" w:rsidRDefault="006D27DC" w:rsidP="00960AC3">
      <w:pPr>
        <w:pStyle w:val="Heading1"/>
        <w:spacing w:before="51"/>
        <w:ind w:left="0"/>
        <w:jc w:val="center"/>
        <w:rPr>
          <w:b w:val="0"/>
          <w:bCs w:val="0"/>
        </w:rPr>
      </w:pPr>
      <w:r>
        <w:rPr>
          <w:u w:val="single" w:color="000000"/>
        </w:rPr>
        <w:t>Naudojimo instrukcija</w:t>
      </w:r>
    </w:p>
    <w:p w:rsidR="00B85E55" w:rsidRDefault="00B85E55">
      <w:pPr>
        <w:rPr>
          <w:rFonts w:ascii="Calibri" w:eastAsia="Calibri" w:hAnsi="Calibri" w:cs="Calibri"/>
          <w:b/>
          <w:bCs/>
          <w:sz w:val="20"/>
          <w:szCs w:val="20"/>
        </w:rPr>
      </w:pPr>
    </w:p>
    <w:p w:rsidR="00B85E55" w:rsidRDefault="00B85E55">
      <w:pPr>
        <w:spacing w:before="9"/>
        <w:rPr>
          <w:rFonts w:ascii="Calibri" w:eastAsia="Calibri" w:hAnsi="Calibri" w:cs="Calibri"/>
          <w:b/>
          <w:bCs/>
          <w:sz w:val="23"/>
          <w:szCs w:val="23"/>
        </w:rPr>
      </w:pPr>
    </w:p>
    <w:p w:rsidR="00B85E55" w:rsidRDefault="006D27DC">
      <w:pPr>
        <w:spacing w:before="51"/>
        <w:ind w:left="100" w:right="732"/>
        <w:rPr>
          <w:rFonts w:ascii="Calibri" w:eastAsia="Calibri" w:hAnsi="Calibri" w:cs="Calibri"/>
          <w:sz w:val="24"/>
          <w:szCs w:val="24"/>
        </w:rPr>
      </w:pPr>
      <w:r>
        <w:rPr>
          <w:rFonts w:ascii="Calibri"/>
          <w:b/>
          <w:sz w:val="24"/>
          <w:u w:val="single" w:color="000000"/>
        </w:rPr>
        <w:t>TIKSLAS</w:t>
      </w:r>
    </w:p>
    <w:p w:rsidR="00B85E55" w:rsidRDefault="00B85E55">
      <w:pPr>
        <w:spacing w:before="9"/>
        <w:rPr>
          <w:rFonts w:ascii="Calibri" w:eastAsia="Calibri" w:hAnsi="Calibri" w:cs="Calibri"/>
          <w:b/>
          <w:bCs/>
          <w:sz w:val="19"/>
          <w:szCs w:val="19"/>
        </w:rPr>
      </w:pPr>
    </w:p>
    <w:p w:rsidR="00B85E55" w:rsidRDefault="006D27DC">
      <w:pPr>
        <w:pStyle w:val="BodyText"/>
        <w:spacing w:before="51"/>
        <w:ind w:left="560" w:right="1000"/>
        <w:jc w:val="both"/>
        <w:rPr>
          <w:rFonts w:cs="Calibri"/>
        </w:rPr>
      </w:pPr>
      <w:r>
        <w:t xml:space="preserve">Šioje naudojimo instrukcijoje aprašyta kaip elgtis su standartiniais dideliais, 120 l, 140 l, 240 l, 660 l, 770 l, 1 100 l atliekų konteineriais, turinčiais plokščią arba apvalų dangtį, pagamintais „MNG </w:t>
      </w:r>
      <w:proofErr w:type="spellStart"/>
      <w:r>
        <w:t>Plastik</w:t>
      </w:r>
      <w:proofErr w:type="spellEnd"/>
      <w:r>
        <w:t xml:space="preserve">- </w:t>
      </w:r>
      <w:proofErr w:type="spellStart"/>
      <w:r>
        <w:t>Gogić</w:t>
      </w:r>
      <w:proofErr w:type="spellEnd"/>
      <w:r>
        <w:t>“.</w:t>
      </w:r>
    </w:p>
    <w:p w:rsidR="00B85E55" w:rsidRDefault="00B85E55">
      <w:pPr>
        <w:spacing w:before="12"/>
        <w:rPr>
          <w:rFonts w:ascii="Calibri" w:eastAsia="Calibri" w:hAnsi="Calibri" w:cs="Calibri"/>
          <w:sz w:val="23"/>
          <w:szCs w:val="23"/>
        </w:rPr>
      </w:pPr>
    </w:p>
    <w:p w:rsidR="00B85E55" w:rsidRDefault="006D27DC">
      <w:pPr>
        <w:pStyle w:val="Heading1"/>
        <w:ind w:right="732"/>
        <w:rPr>
          <w:b w:val="0"/>
          <w:bCs w:val="0"/>
        </w:rPr>
      </w:pPr>
      <w:r>
        <w:rPr>
          <w:u w:val="single" w:color="000000"/>
        </w:rPr>
        <w:t>TINKAMAS NAUDOJIMAS</w:t>
      </w:r>
    </w:p>
    <w:p w:rsidR="00B85E55" w:rsidRDefault="00B85E55">
      <w:pPr>
        <w:spacing w:before="9"/>
        <w:rPr>
          <w:rFonts w:ascii="Calibri" w:eastAsia="Calibri" w:hAnsi="Calibri" w:cs="Calibri"/>
          <w:b/>
          <w:bCs/>
          <w:sz w:val="19"/>
          <w:szCs w:val="19"/>
        </w:rPr>
      </w:pPr>
    </w:p>
    <w:p w:rsidR="00B85E55" w:rsidRDefault="006D27DC">
      <w:pPr>
        <w:pStyle w:val="BodyText"/>
        <w:spacing w:before="51"/>
        <w:ind w:left="560" w:right="732"/>
      </w:pPr>
      <w:r>
        <w:t>Atliekų konteineriai yra skirti perdirbamų medžiagų ir atliekų surinkimui. Į juos negalima mesti karštų pelenų, mirusių gyvūnų arba kitų atliekų, kurių laikymas ir transportavimas yra teisiškai reguliuojamas, pavyzdžiui, lako arba dažų atliekų, vaistų ir t. t.</w:t>
      </w:r>
    </w:p>
    <w:p w:rsidR="00B85E55" w:rsidRDefault="006D27DC">
      <w:pPr>
        <w:pStyle w:val="BodyText"/>
        <w:ind w:left="560" w:right="843"/>
      </w:pPr>
      <w:r>
        <w:t>Paprastai dangčio spalva nurodo kokios rūšies atliekų surinkimui konteineris skirtas. Konteinerį reikia statyti ant plokščio pagrindo. Negalima viršyti didžiausio bendro leistino pripildyto konteinerio svorio (žr. ant korpuso esančią etiketę). Paprastai taip neatsitinka, jei į jį metamos įprastos buitinės atliekos. Tačiau didžiausias bendras leistinas pripildyto konteinerio svoris gali būti viršytas tuo atveju, kai į jį metamos statybinės atliekos, maisto atliekos arba panašios didelio santykinio tankio medžiagos.</w:t>
      </w:r>
    </w:p>
    <w:p w:rsidR="00B85E55" w:rsidRDefault="006D27DC">
      <w:pPr>
        <w:pStyle w:val="BodyText"/>
        <w:spacing w:before="2"/>
        <w:ind w:right="101"/>
      </w:pPr>
      <w:r>
        <w:t>Ant konteinerio viršaus arba dangčio negalima laikyti jokių objektų. Prieš naudojant konteinerį būtina pašalinti sniego ir ledo sankaupas.</w:t>
      </w:r>
    </w:p>
    <w:p w:rsidR="00B85E55" w:rsidRDefault="00B85E55">
      <w:pPr>
        <w:spacing w:before="12"/>
        <w:rPr>
          <w:rFonts w:ascii="Calibri" w:eastAsia="Calibri" w:hAnsi="Calibri" w:cs="Calibri"/>
          <w:sz w:val="23"/>
          <w:szCs w:val="23"/>
        </w:rPr>
      </w:pPr>
    </w:p>
    <w:p w:rsidR="00B85E55" w:rsidRDefault="006D27DC">
      <w:pPr>
        <w:pStyle w:val="BodyText"/>
        <w:ind w:left="589" w:right="843"/>
      </w:pPr>
      <w:r>
        <w:t>Siekiant apsisaugoti nuo atliekų iškritimo ir jų išskiriamų dujų, garų ir dulkių dalelių, kurios tam tikromis sąlygomis gali būti pavojingos sveikatai, konteinerį reikia transportuoti su uždarytu dangčiu. Dėl tos pačios priežasties dangčio NEGALIMA atidaryti prieš iškratant atliekas.</w:t>
      </w:r>
    </w:p>
    <w:p w:rsidR="00B85E55" w:rsidRDefault="006D27DC">
      <w:pPr>
        <w:pStyle w:val="BodyText"/>
        <w:ind w:left="589" w:right="1385"/>
      </w:pPr>
      <w:r>
        <w:t>Dangtį atidarykite tik suėmę už priekinės dangčio rankenos. Dangčio, ypač slankiojančio, negalima atidaryti iš šono arba galo.</w:t>
      </w:r>
    </w:p>
    <w:p w:rsidR="00B85E55" w:rsidRDefault="006D27DC">
      <w:pPr>
        <w:pStyle w:val="BodyText"/>
      </w:pPr>
      <w:r>
        <w:t>Įmetus šiukšles į konteinerį, dangtį reikia vėl uždaryti (apsauga nuo lietaus, vabzdžių, smulkių gyvūnų).</w:t>
      </w:r>
    </w:p>
    <w:p w:rsidR="00B85E55" w:rsidRDefault="006D27DC">
      <w:pPr>
        <w:pStyle w:val="BodyText"/>
        <w:ind w:left="589" w:right="962"/>
      </w:pPr>
      <w:r>
        <w:t>Norint konteinerį pervežti, jį reikia suimti už rankenų ir stumti. Konteineris nepritaikytas nešimui.</w:t>
      </w:r>
    </w:p>
    <w:p w:rsidR="00B85E55" w:rsidRDefault="006D27DC">
      <w:pPr>
        <w:pStyle w:val="BodyText"/>
        <w:ind w:left="589" w:right="732"/>
      </w:pPr>
      <w:r>
        <w:t>Transporto priemonės kėlimo mechanizmo matmenys turi atitikti šių įtaisų gamintojų rekomendacijas, vadovaujantis EN 840 ir EN 1501 standartų serija. Tai reikia reguliariai tikrinti ir pritaikyti, esant neatitikimams.</w:t>
      </w:r>
    </w:p>
    <w:p w:rsidR="00B85E55" w:rsidRDefault="00B85E55">
      <w:pPr>
        <w:sectPr w:rsidR="00B85E55">
          <w:headerReference w:type="default" r:id="rId7"/>
          <w:footerReference w:type="default" r:id="rId8"/>
          <w:type w:val="continuous"/>
          <w:pgSz w:w="12240" w:h="15840"/>
          <w:pgMar w:top="2700" w:right="660" w:bottom="920" w:left="620" w:header="708" w:footer="735" w:gutter="0"/>
          <w:cols w:space="720"/>
        </w:sectPr>
      </w:pPr>
    </w:p>
    <w:p w:rsidR="00B85E55" w:rsidRDefault="00B85E55">
      <w:pPr>
        <w:spacing w:before="11"/>
        <w:rPr>
          <w:rFonts w:ascii="Calibri" w:eastAsia="Calibri" w:hAnsi="Calibri" w:cs="Calibri"/>
          <w:sz w:val="19"/>
          <w:szCs w:val="19"/>
        </w:rPr>
      </w:pPr>
    </w:p>
    <w:p w:rsidR="00B85E55" w:rsidRDefault="006D27DC">
      <w:pPr>
        <w:pStyle w:val="Heading1"/>
        <w:spacing w:before="51"/>
        <w:ind w:right="674"/>
        <w:rPr>
          <w:b w:val="0"/>
          <w:bCs w:val="0"/>
        </w:rPr>
      </w:pPr>
      <w:r>
        <w:rPr>
          <w:u w:val="single" w:color="000000"/>
        </w:rPr>
        <w:t>VALYMAS</w:t>
      </w:r>
    </w:p>
    <w:p w:rsidR="00B85E55" w:rsidRDefault="00B85E55">
      <w:pPr>
        <w:spacing w:before="9"/>
        <w:rPr>
          <w:rFonts w:ascii="Calibri" w:eastAsia="Calibri" w:hAnsi="Calibri" w:cs="Calibri"/>
          <w:b/>
          <w:bCs/>
          <w:sz w:val="19"/>
          <w:szCs w:val="19"/>
        </w:rPr>
      </w:pPr>
    </w:p>
    <w:p w:rsidR="00B85E55" w:rsidRDefault="006D27DC">
      <w:pPr>
        <w:pStyle w:val="BodyText"/>
        <w:spacing w:before="51"/>
        <w:ind w:left="589" w:right="674"/>
      </w:pPr>
      <w:r>
        <w:t>Dėl apvalių kampų konteinerio vidų lengva valyti. Kartkartėmis jį reikia praplauti vandeniu. Plovimui naudotą vandenį reikia šalinti vadovaujantis teisės aktais. Nenaudoti stiprių valymo priemonių arba tirpiklių!</w:t>
      </w:r>
    </w:p>
    <w:p w:rsidR="00B85E55" w:rsidRDefault="00B85E55">
      <w:pPr>
        <w:spacing w:before="12"/>
        <w:rPr>
          <w:rFonts w:ascii="Calibri" w:eastAsia="Calibri" w:hAnsi="Calibri" w:cs="Calibri"/>
          <w:sz w:val="23"/>
          <w:szCs w:val="23"/>
        </w:rPr>
      </w:pPr>
    </w:p>
    <w:p w:rsidR="00B85E55" w:rsidRDefault="006D27DC">
      <w:pPr>
        <w:pStyle w:val="Heading1"/>
        <w:ind w:right="674"/>
        <w:rPr>
          <w:b w:val="0"/>
          <w:bCs w:val="0"/>
        </w:rPr>
      </w:pPr>
      <w:r>
        <w:rPr>
          <w:u w:val="single" w:color="000000"/>
        </w:rPr>
        <w:t>SAUGUMO NURODYMAI</w:t>
      </w:r>
    </w:p>
    <w:p w:rsidR="00B85E55" w:rsidRDefault="00B85E55">
      <w:pPr>
        <w:rPr>
          <w:rFonts w:ascii="Calibri" w:eastAsia="Calibri" w:hAnsi="Calibri" w:cs="Calibri"/>
          <w:b/>
          <w:bCs/>
          <w:sz w:val="20"/>
          <w:szCs w:val="20"/>
        </w:rPr>
      </w:pPr>
    </w:p>
    <w:p w:rsidR="00B85E55" w:rsidRDefault="006D27DC">
      <w:pPr>
        <w:pStyle w:val="ListParagraph"/>
        <w:numPr>
          <w:ilvl w:val="0"/>
          <w:numId w:val="1"/>
        </w:numPr>
        <w:tabs>
          <w:tab w:val="left" w:pos="230"/>
        </w:tabs>
        <w:spacing w:before="51"/>
        <w:ind w:right="674" w:hanging="129"/>
        <w:rPr>
          <w:rFonts w:ascii="Calibri" w:eastAsia="Calibri" w:hAnsi="Calibri" w:cs="Calibri"/>
          <w:sz w:val="24"/>
          <w:szCs w:val="24"/>
        </w:rPr>
      </w:pPr>
      <w:r>
        <w:rPr>
          <w:rFonts w:ascii="Calibri"/>
          <w:sz w:val="24"/>
        </w:rPr>
        <w:t>Vieta, kurioje konteineris stovi, ir plotas priešais konteinerį turėtų būti plokščias ir tvirtas!</w:t>
      </w:r>
    </w:p>
    <w:p w:rsidR="00B85E55" w:rsidRDefault="006D27DC">
      <w:pPr>
        <w:pStyle w:val="ListParagraph"/>
        <w:numPr>
          <w:ilvl w:val="0"/>
          <w:numId w:val="1"/>
        </w:numPr>
        <w:tabs>
          <w:tab w:val="left" w:pos="230"/>
        </w:tabs>
        <w:ind w:right="674" w:hanging="129"/>
        <w:rPr>
          <w:rFonts w:ascii="Calibri" w:eastAsia="Calibri" w:hAnsi="Calibri" w:cs="Calibri"/>
          <w:sz w:val="24"/>
          <w:szCs w:val="24"/>
        </w:rPr>
      </w:pPr>
      <w:r>
        <w:rPr>
          <w:rFonts w:ascii="Calibri"/>
          <w:sz w:val="24"/>
        </w:rPr>
        <w:t>Į konteinerį nekiškite galvos!</w:t>
      </w:r>
    </w:p>
    <w:p w:rsidR="00B85E55" w:rsidRDefault="00B85E55">
      <w:pPr>
        <w:spacing w:before="12"/>
        <w:rPr>
          <w:rFonts w:ascii="Calibri" w:eastAsia="Calibri" w:hAnsi="Calibri" w:cs="Calibri"/>
          <w:sz w:val="23"/>
          <w:szCs w:val="23"/>
        </w:rPr>
      </w:pPr>
    </w:p>
    <w:p w:rsidR="00B85E55" w:rsidRDefault="006D27DC">
      <w:pPr>
        <w:pStyle w:val="ListParagraph"/>
        <w:numPr>
          <w:ilvl w:val="0"/>
          <w:numId w:val="1"/>
        </w:numPr>
        <w:tabs>
          <w:tab w:val="left" w:pos="230"/>
        </w:tabs>
        <w:ind w:right="674" w:hanging="129"/>
        <w:rPr>
          <w:rFonts w:ascii="Calibri" w:eastAsia="Calibri" w:hAnsi="Calibri" w:cs="Calibri"/>
          <w:sz w:val="24"/>
          <w:szCs w:val="24"/>
        </w:rPr>
      </w:pPr>
      <w:r>
        <w:rPr>
          <w:rFonts w:ascii="Calibri"/>
          <w:sz w:val="24"/>
        </w:rPr>
        <w:t>Ant konteinerio nesėdėkite ir nestovėkite!</w:t>
      </w:r>
    </w:p>
    <w:p w:rsidR="00B85E55" w:rsidRDefault="006D27DC">
      <w:pPr>
        <w:pStyle w:val="ListParagraph"/>
        <w:numPr>
          <w:ilvl w:val="0"/>
          <w:numId w:val="1"/>
        </w:numPr>
        <w:tabs>
          <w:tab w:val="left" w:pos="230"/>
        </w:tabs>
        <w:ind w:right="674" w:hanging="129"/>
        <w:rPr>
          <w:rFonts w:ascii="Calibri" w:eastAsia="Calibri" w:hAnsi="Calibri" w:cs="Calibri"/>
          <w:sz w:val="24"/>
          <w:szCs w:val="24"/>
        </w:rPr>
      </w:pPr>
      <w:r>
        <w:rPr>
          <w:rFonts w:ascii="Calibri" w:hAnsi="Calibri"/>
          <w:sz w:val="24"/>
          <w:szCs w:val="24"/>
        </w:rPr>
        <w:t>Neperkraukite – pavojus išversti (gresia sužalojimai ir pažeidimai)!</w:t>
      </w:r>
    </w:p>
    <w:p w:rsidR="00B85E55" w:rsidRDefault="006D27DC">
      <w:pPr>
        <w:pStyle w:val="ListParagraph"/>
        <w:numPr>
          <w:ilvl w:val="0"/>
          <w:numId w:val="1"/>
        </w:numPr>
        <w:tabs>
          <w:tab w:val="left" w:pos="230"/>
        </w:tabs>
        <w:ind w:right="674" w:hanging="129"/>
        <w:rPr>
          <w:rFonts w:ascii="Calibri" w:eastAsia="Calibri" w:hAnsi="Calibri" w:cs="Calibri"/>
          <w:sz w:val="24"/>
          <w:szCs w:val="24"/>
        </w:rPr>
      </w:pPr>
      <w:r>
        <w:rPr>
          <w:rFonts w:ascii="Calibri"/>
          <w:sz w:val="24"/>
        </w:rPr>
        <w:t>Transportuokite tik su uždarytu dangčiu!</w:t>
      </w:r>
    </w:p>
    <w:p w:rsidR="00B85E55" w:rsidRDefault="00B85E55">
      <w:pPr>
        <w:spacing w:before="12"/>
        <w:rPr>
          <w:rFonts w:ascii="Calibri" w:eastAsia="Calibri" w:hAnsi="Calibri" w:cs="Calibri"/>
          <w:sz w:val="23"/>
          <w:szCs w:val="23"/>
        </w:rPr>
      </w:pPr>
    </w:p>
    <w:p w:rsidR="00B85E55" w:rsidRDefault="006D27DC">
      <w:pPr>
        <w:pStyle w:val="ListParagraph"/>
        <w:numPr>
          <w:ilvl w:val="0"/>
          <w:numId w:val="1"/>
        </w:numPr>
        <w:tabs>
          <w:tab w:val="left" w:pos="230"/>
        </w:tabs>
        <w:ind w:right="674" w:hanging="129"/>
        <w:rPr>
          <w:rFonts w:ascii="Calibri" w:eastAsia="Calibri" w:hAnsi="Calibri" w:cs="Calibri"/>
          <w:sz w:val="24"/>
          <w:szCs w:val="24"/>
        </w:rPr>
      </w:pPr>
      <w:r>
        <w:rPr>
          <w:rFonts w:ascii="Calibri"/>
          <w:sz w:val="24"/>
        </w:rPr>
        <w:t>Nestatykite prie ugniaviečių, kepsninių arba panašių šilumos šaltinių!</w:t>
      </w:r>
    </w:p>
    <w:p w:rsidR="00B85E55" w:rsidRDefault="006D27DC">
      <w:pPr>
        <w:pStyle w:val="ListParagraph"/>
        <w:numPr>
          <w:ilvl w:val="0"/>
          <w:numId w:val="1"/>
        </w:numPr>
        <w:tabs>
          <w:tab w:val="left" w:pos="230"/>
        </w:tabs>
        <w:ind w:right="674" w:hanging="129"/>
        <w:rPr>
          <w:rFonts w:ascii="Calibri" w:eastAsia="Calibri" w:hAnsi="Calibri" w:cs="Calibri"/>
          <w:sz w:val="24"/>
          <w:szCs w:val="24"/>
        </w:rPr>
      </w:pPr>
      <w:r>
        <w:rPr>
          <w:rFonts w:ascii="Calibri"/>
          <w:sz w:val="24"/>
        </w:rPr>
        <w:t>Nestatykite ant nuožulnaus paviršiaus!</w:t>
      </w:r>
    </w:p>
    <w:p w:rsidR="00B85E55" w:rsidRDefault="00B85E55">
      <w:pPr>
        <w:spacing w:before="12"/>
        <w:rPr>
          <w:rFonts w:ascii="Calibri" w:eastAsia="Calibri" w:hAnsi="Calibri" w:cs="Calibri"/>
          <w:sz w:val="23"/>
          <w:szCs w:val="23"/>
        </w:rPr>
      </w:pPr>
    </w:p>
    <w:p w:rsidR="00B85E55" w:rsidRDefault="006D27DC">
      <w:pPr>
        <w:pStyle w:val="Heading1"/>
        <w:ind w:right="674"/>
        <w:rPr>
          <w:b w:val="0"/>
          <w:bCs w:val="0"/>
        </w:rPr>
      </w:pPr>
      <w:r>
        <w:rPr>
          <w:u w:val="single" w:color="000000"/>
        </w:rPr>
        <w:t>REMONTAS</w:t>
      </w:r>
    </w:p>
    <w:p w:rsidR="00B85E55" w:rsidRDefault="00B85E55">
      <w:pPr>
        <w:spacing w:before="10"/>
        <w:rPr>
          <w:rFonts w:ascii="Calibri" w:eastAsia="Calibri" w:hAnsi="Calibri" w:cs="Calibri"/>
          <w:b/>
          <w:bCs/>
          <w:sz w:val="19"/>
          <w:szCs w:val="19"/>
        </w:rPr>
      </w:pPr>
    </w:p>
    <w:p w:rsidR="00B85E55" w:rsidRDefault="006D27DC">
      <w:pPr>
        <w:pStyle w:val="BodyText"/>
        <w:spacing w:before="51"/>
        <w:ind w:right="674"/>
      </w:pPr>
      <w:r>
        <w:t>Remontuodami konteinerį naudokite tik originalias atsargines dalis.</w:t>
      </w:r>
    </w:p>
    <w:p w:rsidR="00B85E55" w:rsidRDefault="00B85E55">
      <w:pPr>
        <w:spacing w:before="2"/>
        <w:rPr>
          <w:rFonts w:ascii="Calibri" w:eastAsia="Calibri" w:hAnsi="Calibri" w:cs="Calibri"/>
          <w:sz w:val="24"/>
          <w:szCs w:val="24"/>
        </w:rPr>
      </w:pPr>
    </w:p>
    <w:p w:rsidR="00B85E55" w:rsidRDefault="006D27DC">
      <w:pPr>
        <w:pStyle w:val="Heading1"/>
        <w:ind w:right="674"/>
        <w:rPr>
          <w:b w:val="0"/>
          <w:bCs w:val="0"/>
        </w:rPr>
      </w:pPr>
      <w:r>
        <w:rPr>
          <w:u w:val="single" w:color="000000"/>
        </w:rPr>
        <w:t>APŽIŪRA</w:t>
      </w:r>
    </w:p>
    <w:p w:rsidR="00B85E55" w:rsidRDefault="00B85E55">
      <w:pPr>
        <w:spacing w:before="9"/>
        <w:rPr>
          <w:rFonts w:ascii="Calibri" w:eastAsia="Calibri" w:hAnsi="Calibri" w:cs="Calibri"/>
          <w:b/>
          <w:bCs/>
          <w:sz w:val="19"/>
          <w:szCs w:val="19"/>
        </w:rPr>
      </w:pPr>
    </w:p>
    <w:p w:rsidR="00B85E55" w:rsidRDefault="006D27DC">
      <w:pPr>
        <w:pStyle w:val="BodyText"/>
        <w:spacing w:before="51"/>
        <w:ind w:right="97"/>
      </w:pPr>
      <w:r>
        <w:t>Konteinerį reikia apžiūrėti kaskart prieš jį ištuštinant arba bent kartą per metus, siekiant įsitikinti, kad jis saugus naudoti.</w:t>
      </w:r>
    </w:p>
    <w:p w:rsidR="00B85E55" w:rsidRDefault="006D27DC">
      <w:pPr>
        <w:pStyle w:val="BodyText"/>
        <w:ind w:right="674"/>
      </w:pPr>
      <w:r>
        <w:t>Tai apima tinkamą laikiklių, ratukų ir jų tvirtinimo elementų būklę, stabdžių funkcionavimą, dangčio pritvirtinimo elementus / vyrius ir vaikams nepavojingą mechanizmą pagal EN 840-6, kai konteineris yra su apvaliu dangčiu.</w:t>
      </w:r>
    </w:p>
    <w:p w:rsidR="00B85E55" w:rsidRDefault="006D27DC">
      <w:pPr>
        <w:pStyle w:val="BodyText"/>
        <w:ind w:right="97"/>
      </w:pPr>
      <w:r>
        <w:t>Konteinerio negalima kelti keltuvu, jei laikiklis yra sugadintas. Jį reikia pakeisti. Defektų turinčius ratukus, ratukų tvirtinimo elementus ir ratukų stabdžius reikia suremontuoti ir pašalinti defektus.</w:t>
      </w:r>
    </w:p>
    <w:p w:rsidR="00B85E55" w:rsidRDefault="00B85E55">
      <w:pPr>
        <w:rPr>
          <w:rFonts w:ascii="Calibri" w:eastAsia="Calibri" w:hAnsi="Calibri" w:cs="Calibri"/>
          <w:sz w:val="24"/>
          <w:szCs w:val="24"/>
        </w:rPr>
      </w:pPr>
    </w:p>
    <w:p w:rsidR="00B85E55" w:rsidRDefault="006D27DC">
      <w:pPr>
        <w:pStyle w:val="BodyText"/>
        <w:ind w:right="145"/>
      </w:pPr>
      <w:r>
        <w:t>Būtina apžiūrėti konteinerius su apvaliais dangčiais, turinčiais vaikams nepavojingą mechanizmą (apsauginį dangtį / uždedamą dangtį, paspaudimu atlaisvinamą arba spyruoklinį fiksavimo mechanizmą).</w:t>
      </w:r>
    </w:p>
    <w:p w:rsidR="00B85E55" w:rsidRDefault="006D27DC" w:rsidP="00960AC3">
      <w:pPr>
        <w:pStyle w:val="BodyText"/>
        <w:spacing w:line="242" w:lineRule="auto"/>
        <w:ind w:right="97"/>
      </w:pPr>
      <w:r>
        <w:t>Jeigu ant konteinerio sumontuotas vaikams nepavojingas mechanizmas neveikia, jį reikia nedelsiant sutaisyti arba pakeisti.</w:t>
      </w:r>
    </w:p>
    <w:p w:rsidR="00960AC3" w:rsidRDefault="00960AC3" w:rsidP="00960AC3">
      <w:pPr>
        <w:pStyle w:val="BodyText"/>
        <w:spacing w:line="242" w:lineRule="auto"/>
        <w:ind w:right="97"/>
      </w:pPr>
    </w:p>
    <w:p w:rsidR="00960AC3" w:rsidRDefault="00960AC3" w:rsidP="00960AC3">
      <w:pPr>
        <w:pStyle w:val="BodyText"/>
        <w:spacing w:line="242" w:lineRule="auto"/>
        <w:ind w:right="97"/>
      </w:pPr>
    </w:p>
    <w:p w:rsidR="00960AC3" w:rsidRDefault="00960AC3" w:rsidP="00960AC3">
      <w:pPr>
        <w:pStyle w:val="BodyText"/>
        <w:spacing w:line="242" w:lineRule="auto"/>
        <w:ind w:right="97"/>
        <w:rPr>
          <w:rFonts w:cs="Calibri"/>
          <w:sz w:val="20"/>
          <w:szCs w:val="20"/>
        </w:rPr>
      </w:pPr>
    </w:p>
    <w:p w:rsidR="00B85E55" w:rsidRDefault="00B85E55">
      <w:pPr>
        <w:spacing w:line="23" w:lineRule="exact"/>
        <w:ind w:left="220"/>
        <w:rPr>
          <w:rFonts w:ascii="Calibri" w:eastAsia="Calibri" w:hAnsi="Calibri" w:cs="Calibri"/>
          <w:sz w:val="2"/>
          <w:szCs w:val="2"/>
        </w:rPr>
      </w:pPr>
    </w:p>
    <w:p w:rsidR="00B85E55" w:rsidRDefault="006D27DC">
      <w:pPr>
        <w:pStyle w:val="Heading1"/>
        <w:spacing w:before="3"/>
        <w:ind w:right="846"/>
        <w:rPr>
          <w:b w:val="0"/>
          <w:bCs w:val="0"/>
        </w:rPr>
      </w:pPr>
      <w:r>
        <w:rPr>
          <w:u w:val="single" w:color="000000"/>
        </w:rPr>
        <w:lastRenderedPageBreak/>
        <w:t>LAIKYMAS IR TRANSPORTAVIMAS</w:t>
      </w:r>
    </w:p>
    <w:p w:rsidR="00B85E55" w:rsidRDefault="00B85E55">
      <w:pPr>
        <w:spacing w:before="9"/>
        <w:rPr>
          <w:rFonts w:ascii="Calibri" w:eastAsia="Calibri" w:hAnsi="Calibri" w:cs="Calibri"/>
          <w:b/>
          <w:bCs/>
          <w:sz w:val="19"/>
          <w:szCs w:val="19"/>
        </w:rPr>
      </w:pPr>
    </w:p>
    <w:p w:rsidR="00B85E55" w:rsidRDefault="006D27DC">
      <w:pPr>
        <w:pStyle w:val="BodyText"/>
        <w:spacing w:before="51"/>
        <w:ind w:left="544" w:right="846"/>
      </w:pPr>
      <w:r>
        <w:t>Konteinerius iš transporto priemonių reikia iškrauti labai atsargiai. Saugokite, kad konteineriai nenukristų ant žemės nei po vieną, nei sukrauti vienas ant kito.</w:t>
      </w:r>
    </w:p>
    <w:p w:rsidR="00B85E55" w:rsidRDefault="006D27DC">
      <w:pPr>
        <w:pStyle w:val="BodyText"/>
        <w:ind w:left="544" w:right="846"/>
      </w:pPr>
      <w:r>
        <w:t>Tuo atveju, jei konteineriai turi būti sudėti laikinoje saugojimo vietoje, važiuoklės mechanizmą ir sukrovimui vienas ant kito skirtas briaunas negali veikti per didelė apkrova; draudžiama konteinerius laikyti sukrautus vieną ant kito ilgą laiką.</w:t>
      </w:r>
    </w:p>
    <w:p w:rsidR="00B85E55" w:rsidRDefault="006D27DC">
      <w:pPr>
        <w:pStyle w:val="BodyText"/>
        <w:ind w:left="544" w:right="492"/>
      </w:pPr>
      <w:r>
        <w:t>Laikant lauke, atvirus konteinerius reikia apsaugoti nuo lietaus ir sniego. Šiuo atveju būtina pasirūpinti, kad būtų uždarytas, pvz., dangčiu, ne tik viršutinis konteineris, bet ir atitinkamomis priemonėmis užtikrinti, kad bėgantis vanduo nepatektų į žemiau esančius konteinerius. Vandens pilnas konteineris arba vienas ant kito sudėti vandens pilni konteineriai gerokai viršija naudingąją apkrovą.</w:t>
      </w:r>
    </w:p>
    <w:p w:rsidR="00B85E55" w:rsidRDefault="00B85E55">
      <w:pPr>
        <w:spacing w:before="12"/>
        <w:rPr>
          <w:rFonts w:ascii="Calibri" w:eastAsia="Calibri" w:hAnsi="Calibri" w:cs="Calibri"/>
          <w:sz w:val="23"/>
          <w:szCs w:val="23"/>
        </w:rPr>
      </w:pPr>
    </w:p>
    <w:p w:rsidR="00B85E55" w:rsidRDefault="006D27DC">
      <w:pPr>
        <w:pStyle w:val="Heading1"/>
        <w:ind w:right="846"/>
        <w:rPr>
          <w:b w:val="0"/>
          <w:bCs w:val="0"/>
        </w:rPr>
      </w:pPr>
      <w:r>
        <w:rPr>
          <w:u w:val="single" w:color="000000"/>
        </w:rPr>
        <w:t>RATUKAI</w:t>
      </w:r>
    </w:p>
    <w:p w:rsidR="00B85E55" w:rsidRDefault="00B85E55">
      <w:pPr>
        <w:spacing w:before="9"/>
        <w:rPr>
          <w:rFonts w:ascii="Calibri" w:eastAsia="Calibri" w:hAnsi="Calibri" w:cs="Calibri"/>
          <w:b/>
          <w:bCs/>
          <w:sz w:val="19"/>
          <w:szCs w:val="19"/>
        </w:rPr>
      </w:pPr>
    </w:p>
    <w:p w:rsidR="00B85E55" w:rsidRDefault="006D27DC">
      <w:pPr>
        <w:pStyle w:val="BodyText"/>
        <w:spacing w:before="51"/>
        <w:ind w:right="846"/>
      </w:pPr>
      <w:r>
        <w:t>Konteineriai standartiškai tiekiami su sumontuotais 200 mm skersmens ratukais.</w:t>
      </w:r>
    </w:p>
    <w:sectPr w:rsidR="00B85E55">
      <w:headerReference w:type="default" r:id="rId9"/>
      <w:pgSz w:w="12240" w:h="15840"/>
      <w:pgMar w:top="2420" w:right="740" w:bottom="920" w:left="620" w:header="708" w:footer="73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54B11" w:rsidRDefault="00954B11">
      <w:r>
        <w:separator/>
      </w:r>
    </w:p>
  </w:endnote>
  <w:endnote w:type="continuationSeparator" w:id="0">
    <w:p w:rsidR="00954B11" w:rsidRDefault="00954B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5E55" w:rsidRDefault="009C5FAD" w:rsidP="009C5FAD">
    <w:pPr>
      <w:rPr>
        <w:sz w:val="20"/>
        <w:szCs w:val="20"/>
      </w:rPr>
    </w:pPr>
    <w:r>
      <w:rPr>
        <w:noProof/>
        <w:lang w:val="en-US"/>
      </w:rPr>
      <w:drawing>
        <wp:inline distT="0" distB="0" distL="0" distR="0" wp14:anchorId="3074067A" wp14:editId="27A76A8F">
          <wp:extent cx="6959600" cy="26098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6959600" cy="26098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54B11" w:rsidRDefault="00954B11">
      <w:r>
        <w:separator/>
      </w:r>
    </w:p>
  </w:footnote>
  <w:footnote w:type="continuationSeparator" w:id="0">
    <w:p w:rsidR="00954B11" w:rsidRDefault="00954B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5E55" w:rsidRDefault="009C5FAD">
    <w:pPr>
      <w:spacing w:line="14" w:lineRule="auto"/>
      <w:rPr>
        <w:sz w:val="20"/>
        <w:szCs w:val="20"/>
      </w:rPr>
    </w:pPr>
    <w:r>
      <w:rPr>
        <w:noProof/>
        <w:lang w:val="en-US"/>
      </w:rPr>
      <w:drawing>
        <wp:inline distT="0" distB="0" distL="0" distR="0" wp14:anchorId="7155F2CC" wp14:editId="6D87E158">
          <wp:extent cx="6959600" cy="150685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6959600" cy="1506855"/>
                  </a:xfrm>
                  <a:prstGeom prst="rect">
                    <a:avLst/>
                  </a:prstGeom>
                </pic:spPr>
              </pic:pic>
            </a:graphicData>
          </a:graphic>
        </wp:inline>
      </w:drawing>
    </w:r>
    <w:r w:rsidR="009C22B7">
      <w:rPr>
        <w:noProof/>
      </w:rPr>
      <w:drawing>
        <wp:anchor distT="0" distB="0" distL="114300" distR="114300" simplePos="0" relativeHeight="503311856" behindDoc="1" locked="0" layoutInCell="1" allowOverlap="1">
          <wp:simplePos x="0" y="0"/>
          <wp:positionH relativeFrom="page">
            <wp:posOffset>533400</wp:posOffset>
          </wp:positionH>
          <wp:positionV relativeFrom="page">
            <wp:posOffset>1710055</wp:posOffset>
          </wp:positionV>
          <wp:extent cx="6705600" cy="1524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705600" cy="15240"/>
                  </a:xfrm>
                  <a:prstGeom prst="rect">
                    <a:avLst/>
                  </a:prstGeom>
                  <a:noFill/>
                </pic:spPr>
              </pic:pic>
            </a:graphicData>
          </a:graphic>
          <wp14:sizeRelH relativeFrom="page">
            <wp14:pctWidth>0</wp14:pctWidth>
          </wp14:sizeRelH>
          <wp14:sizeRelV relativeFrom="page">
            <wp14:pctHeight>0</wp14:pctHeight>
          </wp14:sizeRelV>
        </wp:anchor>
      </w:drawing>
    </w:r>
    <w:r w:rsidR="009C22B7">
      <w:rPr>
        <w:noProof/>
      </w:rPr>
      <mc:AlternateContent>
        <mc:Choice Requires="wps">
          <w:drawing>
            <wp:anchor distT="0" distB="0" distL="114300" distR="114300" simplePos="0" relativeHeight="503311880" behindDoc="1" locked="0" layoutInCell="1" allowOverlap="1">
              <wp:simplePos x="0" y="0"/>
              <wp:positionH relativeFrom="page">
                <wp:posOffset>5605780</wp:posOffset>
              </wp:positionH>
              <wp:positionV relativeFrom="page">
                <wp:posOffset>854075</wp:posOffset>
              </wp:positionV>
              <wp:extent cx="53975" cy="139700"/>
              <wp:effectExtent l="0" t="0" r="0" b="0"/>
              <wp:wrapNone/>
              <wp:docPr id="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7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5E55" w:rsidRDefault="006D27DC">
                          <w:pPr>
                            <w:spacing w:line="204" w:lineRule="exact"/>
                            <w:ind w:left="20"/>
                            <w:rPr>
                              <w:rFonts w:ascii="Times New Roman" w:eastAsia="Times New Roman" w:hAnsi="Times New Roman" w:cs="Times New Roman"/>
                              <w:sz w:val="18"/>
                              <w:szCs w:val="18"/>
                            </w:rPr>
                          </w:pPr>
                          <w:r>
                            <w:rPr>
                              <w:rFonts w:ascii="Times New Roman"/>
                              <w:sz w:val="18"/>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margin-left:441.4pt;margin-top:67.25pt;width:4.25pt;height:11pt;z-index:-4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" filled="f" stroked="f">
              <v:textbox inset="0,0,0,0">
                <w:txbxContent>
                  <w:p w:rsidR="00B85E55" w:rsidRDefault="006D27DC">
                    <w:pPr>
                      <w:spacing w:line="204" w:lineRule="exact"/>
                      <w:ind w:left="20"/>
                      <w:rPr>
                        <w:rFonts w:ascii="Times New Roman" w:eastAsia="Times New Roman" w:hAnsi="Times New Roman" w:cs="Times New Roman"/>
                        <w:sz w:val="18"/>
                        <w:szCs w:val="18"/>
                      </w:rPr>
                    </w:pPr>
                    <w:r>
                      <w:rPr>
                        <w:rFonts w:ascii="Times New Roman"/>
                        <w:sz w:val="18"/>
                      </w:rPr>
                      <w:t>.</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5E55" w:rsidRDefault="009C5FAD">
    <w:pPr>
      <w:spacing w:line="14" w:lineRule="auto"/>
      <w:rPr>
        <w:sz w:val="20"/>
        <w:szCs w:val="20"/>
      </w:rPr>
    </w:pPr>
    <w:r>
      <w:rPr>
        <w:noProof/>
        <w:lang w:val="en-US"/>
      </w:rPr>
      <w:drawing>
        <wp:inline distT="0" distB="0" distL="0" distR="0" wp14:anchorId="6D15EB55" wp14:editId="1F027D05">
          <wp:extent cx="6908800" cy="149606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6908800" cy="1496060"/>
                  </a:xfrm>
                  <a:prstGeom prst="rect">
                    <a:avLst/>
                  </a:prstGeom>
                </pic:spPr>
              </pic:pic>
            </a:graphicData>
          </a:graphic>
        </wp:inline>
      </w:drawing>
    </w:r>
    <w:r w:rsidR="009C22B7">
      <w:rPr>
        <w:noProof/>
      </w:rPr>
      <mc:AlternateContent>
        <mc:Choice Requires="wps">
          <w:drawing>
            <wp:anchor distT="0" distB="0" distL="114300" distR="114300" simplePos="0" relativeHeight="503312048" behindDoc="1" locked="0" layoutInCell="1" allowOverlap="1">
              <wp:simplePos x="0" y="0"/>
              <wp:positionH relativeFrom="page">
                <wp:posOffset>5605780</wp:posOffset>
              </wp:positionH>
              <wp:positionV relativeFrom="page">
                <wp:posOffset>854075</wp:posOffset>
              </wp:positionV>
              <wp:extent cx="53975" cy="139700"/>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7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5E55" w:rsidRDefault="006D27DC">
                          <w:pPr>
                            <w:spacing w:line="204" w:lineRule="exact"/>
                            <w:ind w:left="20"/>
                            <w:rPr>
                              <w:rFonts w:ascii="Times New Roman" w:eastAsia="Times New Roman" w:hAnsi="Times New Roman" w:cs="Times New Roman"/>
                              <w:sz w:val="18"/>
                              <w:szCs w:val="18"/>
                            </w:rPr>
                          </w:pPr>
                          <w:r>
                            <w:rPr>
                              <w:rFonts w:ascii="Times New Roman"/>
                              <w:sz w:val="18"/>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margin-left:441.4pt;margin-top:67.25pt;width:4.25pt;height:11pt;z-index:-4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" filled="f" stroked="f">
              <v:textbox inset="0,0,0,0">
                <w:txbxContent>
                  <w:p w:rsidR="00B85E55" w:rsidRDefault="006D27DC">
                    <w:pPr>
                      <w:spacing w:line="204" w:lineRule="exact"/>
                      <w:ind w:left="20"/>
                      <w:rPr>
                        <w:rFonts w:ascii="Times New Roman" w:eastAsia="Times New Roman" w:hAnsi="Times New Roman" w:cs="Times New Roman"/>
                        <w:sz w:val="18"/>
                        <w:szCs w:val="18"/>
                      </w:rPr>
                    </w:pPr>
                    <w:r>
                      <w:rPr>
                        <w:rFonts w:ascii="Times New Roman"/>
                        <w:sz w:val="18"/>
                      </w:rPr>
                      <w:t>.</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3C206C"/>
    <w:multiLevelType w:val="hybridMultilevel"/>
    <w:tmpl w:val="1B0E665E"/>
    <w:lvl w:ilvl="0" w:tplc="8528E980">
      <w:start w:val="1"/>
      <w:numFmt w:val="bullet"/>
      <w:lvlText w:val="-"/>
      <w:lvlJc w:val="left"/>
      <w:pPr>
        <w:ind w:left="229" w:hanging="130"/>
      </w:pPr>
      <w:rPr>
        <w:rFonts w:ascii="Calibri" w:eastAsia="Calibri" w:hAnsi="Calibri" w:hint="default"/>
        <w:sz w:val="24"/>
        <w:szCs w:val="24"/>
      </w:rPr>
    </w:lvl>
    <w:lvl w:ilvl="1" w:tplc="78D60CE8">
      <w:start w:val="1"/>
      <w:numFmt w:val="bullet"/>
      <w:lvlText w:val="•"/>
      <w:lvlJc w:val="left"/>
      <w:pPr>
        <w:ind w:left="1288" w:hanging="130"/>
      </w:pPr>
      <w:rPr>
        <w:rFonts w:hint="default"/>
      </w:rPr>
    </w:lvl>
    <w:lvl w:ilvl="2" w:tplc="99BE952C">
      <w:start w:val="1"/>
      <w:numFmt w:val="bullet"/>
      <w:lvlText w:val="•"/>
      <w:lvlJc w:val="left"/>
      <w:pPr>
        <w:ind w:left="2356" w:hanging="130"/>
      </w:pPr>
      <w:rPr>
        <w:rFonts w:hint="default"/>
      </w:rPr>
    </w:lvl>
    <w:lvl w:ilvl="3" w:tplc="592EBC96">
      <w:start w:val="1"/>
      <w:numFmt w:val="bullet"/>
      <w:lvlText w:val="•"/>
      <w:lvlJc w:val="left"/>
      <w:pPr>
        <w:ind w:left="3424" w:hanging="130"/>
      </w:pPr>
      <w:rPr>
        <w:rFonts w:hint="default"/>
      </w:rPr>
    </w:lvl>
    <w:lvl w:ilvl="4" w:tplc="35B26E5A">
      <w:start w:val="1"/>
      <w:numFmt w:val="bullet"/>
      <w:lvlText w:val="•"/>
      <w:lvlJc w:val="left"/>
      <w:pPr>
        <w:ind w:left="4492" w:hanging="130"/>
      </w:pPr>
      <w:rPr>
        <w:rFonts w:hint="default"/>
      </w:rPr>
    </w:lvl>
    <w:lvl w:ilvl="5" w:tplc="097ACBE8">
      <w:start w:val="1"/>
      <w:numFmt w:val="bullet"/>
      <w:lvlText w:val="•"/>
      <w:lvlJc w:val="left"/>
      <w:pPr>
        <w:ind w:left="5560" w:hanging="130"/>
      </w:pPr>
      <w:rPr>
        <w:rFonts w:hint="default"/>
      </w:rPr>
    </w:lvl>
    <w:lvl w:ilvl="6" w:tplc="34808E96">
      <w:start w:val="1"/>
      <w:numFmt w:val="bullet"/>
      <w:lvlText w:val="•"/>
      <w:lvlJc w:val="left"/>
      <w:pPr>
        <w:ind w:left="6628" w:hanging="130"/>
      </w:pPr>
      <w:rPr>
        <w:rFonts w:hint="default"/>
      </w:rPr>
    </w:lvl>
    <w:lvl w:ilvl="7" w:tplc="A2E6ECF0">
      <w:start w:val="1"/>
      <w:numFmt w:val="bullet"/>
      <w:lvlText w:val="•"/>
      <w:lvlJc w:val="left"/>
      <w:pPr>
        <w:ind w:left="7696" w:hanging="130"/>
      </w:pPr>
      <w:rPr>
        <w:rFonts w:hint="default"/>
      </w:rPr>
    </w:lvl>
    <w:lvl w:ilvl="8" w:tplc="6218BC96">
      <w:start w:val="1"/>
      <w:numFmt w:val="bullet"/>
      <w:lvlText w:val="•"/>
      <w:lvlJc w:val="left"/>
      <w:pPr>
        <w:ind w:left="8764" w:hanging="13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5E55"/>
    <w:rsid w:val="000815B4"/>
    <w:rsid w:val="00121FCB"/>
    <w:rsid w:val="001F2202"/>
    <w:rsid w:val="00534B43"/>
    <w:rsid w:val="00591669"/>
    <w:rsid w:val="006D27DC"/>
    <w:rsid w:val="00954B11"/>
    <w:rsid w:val="00960AC3"/>
    <w:rsid w:val="009C22B7"/>
    <w:rsid w:val="009C5FAD"/>
    <w:rsid w:val="00A80A6D"/>
    <w:rsid w:val="00B85E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1B46D20-8B74-47DA-9DFF-5E7A3158C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style>
  <w:style w:type="paragraph" w:styleId="Heading1">
    <w:name w:val="heading 1"/>
    <w:basedOn w:val="Normal"/>
    <w:uiPriority w:val="1"/>
    <w:qFormat/>
    <w:pPr>
      <w:ind w:left="100"/>
      <w:outlineLvl w:val="0"/>
    </w:pPr>
    <w:rPr>
      <w:rFonts w:ascii="Calibri" w:eastAsia="Calibri" w:hAnsi="Calibri"/>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rPr>
      <w:rFonts w:ascii="Calibri" w:eastAsia="Calibri" w:hAnsi="Calibri"/>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9C5FAD"/>
    <w:pPr>
      <w:tabs>
        <w:tab w:val="center" w:pos="4680"/>
        <w:tab w:val="right" w:pos="9360"/>
      </w:tabs>
    </w:pPr>
  </w:style>
  <w:style w:type="character" w:customStyle="1" w:styleId="HeaderChar">
    <w:name w:val="Header Char"/>
    <w:basedOn w:val="DefaultParagraphFont"/>
    <w:link w:val="Header"/>
    <w:uiPriority w:val="99"/>
    <w:rsid w:val="009C5FAD"/>
  </w:style>
  <w:style w:type="paragraph" w:styleId="Footer">
    <w:name w:val="footer"/>
    <w:basedOn w:val="Normal"/>
    <w:link w:val="FooterChar"/>
    <w:uiPriority w:val="99"/>
    <w:unhideWhenUsed/>
    <w:rsid w:val="009C5FAD"/>
    <w:pPr>
      <w:tabs>
        <w:tab w:val="center" w:pos="4680"/>
        <w:tab w:val="right" w:pos="9360"/>
      </w:tabs>
    </w:pPr>
  </w:style>
  <w:style w:type="character" w:customStyle="1" w:styleId="FooterChar">
    <w:name w:val="Footer Char"/>
    <w:basedOn w:val="DefaultParagraphFont"/>
    <w:link w:val="Footer"/>
    <w:uiPriority w:val="99"/>
    <w:rsid w:val="009C5F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2911</Words>
  <Characters>1660</Characters>
  <Application>Microsoft Office Word</Application>
  <DocSecurity>0</DocSecurity>
  <Lines>13</Lines>
  <Paragraphs>9</Paragraphs>
  <ScaleCrop>false</ScaleCrop>
  <HeadingPairs>
    <vt:vector size="2" baseType="variant">
      <vt:variant>
        <vt:lpstr>Title</vt:lpstr>
      </vt:variant>
      <vt:variant>
        <vt:i4>1</vt:i4>
      </vt:variant>
    </vt:vector>
  </HeadingPairs>
  <TitlesOfParts>
    <vt:vector size="1" baseType="lpstr">
      <vt:lpstr>JKP ''USLUGA'' ODŽACI</vt:lpstr>
    </vt:vector>
  </TitlesOfParts>
  <Company/>
  <LinksUpToDate>false</LinksUpToDate>
  <CharactersWithSpaces>4562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JKP ''USLUGA'' ODŽACI</dc:title>
  <dc:creator>USER</dc:creator>
  <cp:lastModifiedBy>20210324s</cp:lastModifiedBy>
  <cp:revision>2</cp:revision>
  <dcterms:created xsi:type="dcterms:W3CDTF">2024-07-31T08:49:00Z</dcterms:created>
  <dcterms:modified xsi:type="dcterms:W3CDTF">2024-07-31T08:49:00Z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2019-10-05T00:00:00Z</vt:filetime>
  </property>
  <property fmtid="{D5CDD505-2E9C-101B-9397-08002B2CF9AE}" pid="3" name="Creator">
    <vt:lpwstr>Microsoft® Office Word 2007</vt:lpwstr>
  </property>
  <property fmtid="{D5CDD505-2E9C-101B-9397-08002B2CF9AE}" pid="4" name="LastSaved">
    <vt:filetime>2021-08-19T00:00:00Z</vt:filetime>
  </property>
</Properties>
</file>