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12991880" w:rsidR="00F00193" w:rsidRPr="001668BC" w:rsidRDefault="00F00193" w:rsidP="0033117E">
      <w:pPr>
        <w:spacing w:line="240" w:lineRule="auto"/>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E33F5E">
        <w:rPr>
          <w:rFonts w:ascii="Times New Roman" w:hAnsi="Times New Roman"/>
        </w:rPr>
        <w:t>6</w:t>
      </w:r>
      <w:r w:rsidR="000838E5">
        <w:rPr>
          <w:rFonts w:ascii="Times New Roman" w:hAnsi="Times New Roman"/>
        </w:rPr>
        <w:t>8342</w:t>
      </w:r>
    </w:p>
    <w:p w14:paraId="704BEEB9" w14:textId="77777777" w:rsidR="00F00193" w:rsidRDefault="00F00193" w:rsidP="0033117E">
      <w:pPr>
        <w:spacing w:before="78" w:line="240" w:lineRule="auto"/>
        <w:ind w:left="17"/>
        <w:jc w:val="center"/>
        <w:rPr>
          <w:rFonts w:ascii="Times New Roman" w:hAnsi="Times New Roman"/>
          <w:b/>
          <w:caps/>
          <w:sz w:val="24"/>
        </w:rPr>
      </w:pPr>
    </w:p>
    <w:p w14:paraId="63B234E7" w14:textId="6363FF6C" w:rsidR="00E75F8D" w:rsidRPr="001668BC" w:rsidRDefault="00E95414" w:rsidP="0033117E">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2E64DD">
        <w:rPr>
          <w:rFonts w:ascii="Times New Roman" w:hAnsi="Times New Roman"/>
          <w:b/>
          <w:spacing w:val="-2"/>
          <w:sz w:val="24"/>
        </w:rPr>
        <w:t xml:space="preserve"> </w:t>
      </w:r>
      <w:r w:rsidR="002E64DD" w:rsidRPr="002E64DD">
        <w:rPr>
          <w:rFonts w:ascii="Times New Roman" w:hAnsi="Times New Roman"/>
          <w:b/>
          <w:spacing w:val="-2"/>
          <w:sz w:val="24"/>
        </w:rPr>
        <w:t>04-25-56</w:t>
      </w:r>
    </w:p>
    <w:p w14:paraId="231B4A2F" w14:textId="3D32CAE9" w:rsidR="00086A95" w:rsidRDefault="00E75F8D" w:rsidP="0033117E">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2E64DD">
        <w:rPr>
          <w:rFonts w:ascii="Times New Roman" w:hAnsi="Times New Roman"/>
        </w:rPr>
        <w:t>sausio 30</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33117E">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08167CA2" w:rsidR="000C251D" w:rsidRPr="001668BC" w:rsidRDefault="006D0C29" w:rsidP="0033117E">
      <w:pPr>
        <w:spacing w:line="240" w:lineRule="auto"/>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102E8F">
        <w:rPr>
          <w:rFonts w:ascii="Times New Roman" w:hAnsi="Times New Roman"/>
          <w:sz w:val="24"/>
        </w:rPr>
        <w:t>...</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17291A1A" w:rsidR="00FD4164" w:rsidRPr="001668BC" w:rsidRDefault="00C34BBA" w:rsidP="0033117E">
      <w:pPr>
        <w:spacing w:line="240" w:lineRule="auto"/>
        <w:jc w:val="both"/>
        <w:rPr>
          <w:rFonts w:ascii="Times New Roman" w:hAnsi="Times New Roman"/>
          <w:sz w:val="24"/>
        </w:rPr>
      </w:pPr>
      <w:r>
        <w:rPr>
          <w:rFonts w:ascii="Times New Roman" w:hAnsi="Times New Roman"/>
          <w:b/>
          <w:bCs/>
          <w:sz w:val="24"/>
        </w:rPr>
        <w:t>Uždaroji akcinė bendrovė „Projektų ekspertizė“</w:t>
      </w:r>
      <w:r w:rsidR="006E78F0">
        <w:rPr>
          <w:rFonts w:ascii="Times New Roman" w:hAnsi="Times New Roman"/>
          <w:sz w:val="24"/>
        </w:rPr>
        <w:t xml:space="preserve">, juridinio asmens kodas </w:t>
      </w:r>
      <w:r w:rsidRPr="00C34BBA">
        <w:rPr>
          <w:rFonts w:ascii="Times New Roman" w:hAnsi="Times New Roman"/>
          <w:sz w:val="24"/>
        </w:rPr>
        <w:t>120091161</w:t>
      </w:r>
      <w:r w:rsidR="006E78F0">
        <w:rPr>
          <w:rFonts w:ascii="Times New Roman" w:hAnsi="Times New Roman"/>
          <w:sz w:val="24"/>
        </w:rPr>
        <w:t xml:space="preserve">, atstovaujama </w:t>
      </w:r>
      <w:r w:rsidR="00102E8F">
        <w:rPr>
          <w:rFonts w:ascii="Times New Roman" w:hAnsi="Times New Roman"/>
          <w:sz w:val="24"/>
        </w:rPr>
        <w:t>...</w:t>
      </w:r>
      <w:r>
        <w:rPr>
          <w:rFonts w:ascii="Times New Roman" w:hAnsi="Times New Roman"/>
          <w:sz w:val="24"/>
        </w:rPr>
        <w:t xml:space="preserve"> </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33117E">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33117E">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33117E">
      <w:pPr>
        <w:pStyle w:val="ListParagraph"/>
        <w:numPr>
          <w:ilvl w:val="2"/>
          <w:numId w:val="7"/>
        </w:numPr>
        <w:spacing w:line="240" w:lineRule="auto"/>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33117E">
      <w:pPr>
        <w:pStyle w:val="ListParagraph"/>
        <w:numPr>
          <w:ilvl w:val="2"/>
          <w:numId w:val="7"/>
        </w:numPr>
        <w:spacing w:line="240" w:lineRule="auto"/>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33117E">
      <w:pPr>
        <w:pStyle w:val="ListParagraph"/>
        <w:spacing w:line="240" w:lineRule="auto"/>
        <w:ind w:left="284" w:hanging="284"/>
        <w:jc w:val="both"/>
        <w:rPr>
          <w:rFonts w:ascii="Times New Roman" w:hAnsi="Times New Roman" w:cs="Times New Roman"/>
          <w:sz w:val="24"/>
          <w:szCs w:val="24"/>
        </w:rPr>
      </w:pPr>
    </w:p>
    <w:p w14:paraId="12D3441A" w14:textId="7A374428" w:rsidR="008279CD" w:rsidRPr="001668BC" w:rsidRDefault="00752685" w:rsidP="0033117E">
      <w:pPr>
        <w:pStyle w:val="ListParagraph"/>
        <w:numPr>
          <w:ilvl w:val="0"/>
          <w:numId w:val="7"/>
        </w:numPr>
        <w:spacing w:line="240" w:lineRule="auto"/>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33117E">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33117E">
      <w:pPr>
        <w:pStyle w:val="ListParagraph"/>
        <w:spacing w:line="240" w:lineRule="auto"/>
        <w:ind w:left="284" w:hanging="284"/>
        <w:jc w:val="both"/>
        <w:rPr>
          <w:rFonts w:ascii="Times New Roman" w:hAnsi="Times New Roman" w:cs="Times New Roman"/>
          <w:sz w:val="24"/>
          <w:szCs w:val="24"/>
        </w:rPr>
      </w:pPr>
    </w:p>
    <w:p w14:paraId="6B25333A" w14:textId="61C0FE95" w:rsidR="008279CD" w:rsidRPr="001668BC" w:rsidRDefault="00752685" w:rsidP="0033117E">
      <w:pPr>
        <w:pStyle w:val="ListParagraph"/>
        <w:numPr>
          <w:ilvl w:val="0"/>
          <w:numId w:val="7"/>
        </w:numPr>
        <w:spacing w:line="240" w:lineRule="auto"/>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33117E">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33117E">
      <w:pPr>
        <w:pStyle w:val="ListParagraph"/>
        <w:numPr>
          <w:ilvl w:val="2"/>
          <w:numId w:val="7"/>
        </w:numPr>
        <w:spacing w:line="240" w:lineRule="auto"/>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 </w:t>
      </w:r>
    </w:p>
    <w:p w14:paraId="5F4AB2AA" w14:textId="7B1667A4"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lastRenderedPageBreak/>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33117E">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33117E">
      <w:pPr>
        <w:pStyle w:val="ListParagraph"/>
        <w:numPr>
          <w:ilvl w:val="2"/>
          <w:numId w:val="7"/>
        </w:numPr>
        <w:spacing w:line="240" w:lineRule="auto"/>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33117E">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4E264E74" w:rsidR="002C1D0E" w:rsidRPr="001668BC" w:rsidRDefault="00752685" w:rsidP="0033117E">
      <w:pPr>
        <w:pStyle w:val="ListParagraph"/>
        <w:numPr>
          <w:ilvl w:val="2"/>
          <w:numId w:val="7"/>
        </w:numPr>
        <w:spacing w:line="240" w:lineRule="auto"/>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C34BBA" w:rsidRPr="00C34BBA">
        <w:rPr>
          <w:rFonts w:ascii="Times New Roman" w:hAnsi="Times New Roman"/>
          <w:sz w:val="24"/>
        </w:rPr>
        <w:t>nepasitelkiami</w:t>
      </w:r>
      <w:r w:rsidR="009D16EB" w:rsidRPr="00C34BBA">
        <w:rPr>
          <w:rFonts w:ascii="Times New Roman" w:hAnsi="Times New Roman"/>
          <w:sz w:val="24"/>
        </w:rPr>
        <w:t>,</w:t>
      </w:r>
    </w:p>
    <w:p w14:paraId="0C8FBE3A" w14:textId="446F3D6A" w:rsidR="002C1D0E" w:rsidRPr="002410FC" w:rsidRDefault="00752685" w:rsidP="0033117E">
      <w:pPr>
        <w:pStyle w:val="ListParagraph"/>
        <w:numPr>
          <w:ilvl w:val="2"/>
          <w:numId w:val="7"/>
        </w:numPr>
        <w:spacing w:line="240" w:lineRule="auto"/>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33117E">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33117E">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33117E">
      <w:pPr>
        <w:pStyle w:val="ListParagraph"/>
        <w:numPr>
          <w:ilvl w:val="1"/>
          <w:numId w:val="7"/>
        </w:numPr>
        <w:spacing w:line="240" w:lineRule="auto"/>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33117E">
      <w:pPr>
        <w:pStyle w:val="ListParagraph"/>
        <w:numPr>
          <w:ilvl w:val="2"/>
          <w:numId w:val="7"/>
        </w:numPr>
        <w:spacing w:line="240" w:lineRule="auto"/>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33117E">
      <w:pPr>
        <w:pStyle w:val="ListParagraph"/>
        <w:numPr>
          <w:ilvl w:val="2"/>
          <w:numId w:val="7"/>
        </w:numPr>
        <w:spacing w:line="240" w:lineRule="auto"/>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33117E">
      <w:pPr>
        <w:pStyle w:val="ListParagraph"/>
        <w:spacing w:line="240" w:lineRule="auto"/>
        <w:ind w:left="284" w:hanging="284"/>
        <w:jc w:val="both"/>
        <w:rPr>
          <w:rFonts w:ascii="Times New Roman" w:hAnsi="Times New Roman"/>
          <w:sz w:val="24"/>
        </w:rPr>
      </w:pPr>
    </w:p>
    <w:p w14:paraId="5EA56197" w14:textId="00796CDC" w:rsidR="002D5C19" w:rsidRPr="001668BC" w:rsidRDefault="00EE00AC" w:rsidP="0033117E">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158D5B81" w:rsidR="002D5C19" w:rsidRPr="001668BC" w:rsidRDefault="00752685" w:rsidP="0033117E">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B84663">
        <w:rPr>
          <w:rFonts w:ascii="Times New Roman" w:hAnsi="Times New Roman"/>
        </w:rPr>
        <w:t>1 740,00</w:t>
      </w:r>
      <w:r w:rsidR="00157AE4">
        <w:rPr>
          <w:rFonts w:ascii="Times New Roman" w:hAnsi="Times New Roman"/>
        </w:rPr>
        <w:t xml:space="preserve"> </w:t>
      </w:r>
      <w:r w:rsidR="0095402C" w:rsidRPr="001668BC">
        <w:rPr>
          <w:rFonts w:ascii="Times New Roman" w:hAnsi="Times New Roman"/>
          <w:spacing w:val="-4"/>
        </w:rPr>
        <w:t>Eur</w:t>
      </w:r>
      <w:r w:rsidR="00157AE4">
        <w:rPr>
          <w:rFonts w:ascii="Times New Roman" w:hAnsi="Times New Roman"/>
          <w:spacing w:val="-4"/>
        </w:rPr>
        <w:t xml:space="preserve"> (</w:t>
      </w:r>
      <w:r w:rsidR="00B84663">
        <w:rPr>
          <w:rFonts w:ascii="Times New Roman" w:hAnsi="Times New Roman"/>
          <w:spacing w:val="-4"/>
        </w:rPr>
        <w:t xml:space="preserve">vienas tūkstantis septyni šimtai keturiasdešimt </w:t>
      </w:r>
      <w:r w:rsidR="00157AE4">
        <w:rPr>
          <w:rFonts w:ascii="Times New Roman" w:hAnsi="Times New Roman"/>
          <w:spacing w:val="-4"/>
        </w:rPr>
        <w:t>eurų, 00 ct); PVM 21 proc.</w:t>
      </w:r>
      <w:r w:rsidR="00EE6B48">
        <w:rPr>
          <w:rFonts w:ascii="Times New Roman" w:hAnsi="Times New Roman"/>
          <w:spacing w:val="-4"/>
        </w:rPr>
        <w:t xml:space="preserve">; </w:t>
      </w:r>
      <w:r w:rsidR="00B84663">
        <w:rPr>
          <w:rFonts w:ascii="Times New Roman" w:hAnsi="Times New Roman"/>
          <w:spacing w:val="-4"/>
        </w:rPr>
        <w:t xml:space="preserve">2 105,40 </w:t>
      </w:r>
      <w:r w:rsidR="00EE6B48">
        <w:rPr>
          <w:rFonts w:ascii="Times New Roman" w:hAnsi="Times New Roman"/>
          <w:spacing w:val="-4"/>
        </w:rPr>
        <w:t>Eur (</w:t>
      </w:r>
      <w:r w:rsidR="00B84663">
        <w:rPr>
          <w:rFonts w:ascii="Times New Roman" w:hAnsi="Times New Roman"/>
          <w:spacing w:val="-4"/>
        </w:rPr>
        <w:t>du tūkstančiai vienas šimtas penki eurai, 40</w:t>
      </w:r>
      <w:r w:rsidR="00EE6B48">
        <w:rPr>
          <w:rFonts w:ascii="Times New Roman" w:hAnsi="Times New Roman"/>
          <w:spacing w:val="-4"/>
        </w:rPr>
        <w:t xml:space="preserve"> ct)</w:t>
      </w:r>
      <w:r w:rsidR="0095402C" w:rsidRPr="001668BC">
        <w:rPr>
          <w:rFonts w:ascii="Times New Roman" w:hAnsi="Times New Roman"/>
          <w:spacing w:val="-4"/>
        </w:rPr>
        <w:t xml:space="preserve"> 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33117E">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33117E">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33117E">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33117E">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lastRenderedPageBreak/>
        <w:t>Pirkimo sutarties kainos perskaičiavimas dėl kitų mokesčių pakeitimo, bendro kainų lygio kitimo ar kitais atvejais nebus atliekamas.</w:t>
      </w:r>
    </w:p>
    <w:p w14:paraId="728A74D9" w14:textId="77777777" w:rsidR="006E78F0" w:rsidRDefault="00752685" w:rsidP="0033117E">
      <w:pPr>
        <w:pStyle w:val="ListParagraph"/>
        <w:numPr>
          <w:ilvl w:val="1"/>
          <w:numId w:val="7"/>
        </w:numPr>
        <w:spacing w:line="240" w:lineRule="auto"/>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33117E">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33117E">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33117E">
      <w:pPr>
        <w:pStyle w:val="ListParagraph"/>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33117E">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33117E">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33117E">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33117E">
      <w:pPr>
        <w:pStyle w:val="ListParagraph"/>
        <w:numPr>
          <w:ilvl w:val="2"/>
          <w:numId w:val="7"/>
        </w:numPr>
        <w:spacing w:line="240" w:lineRule="auto"/>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33117E">
      <w:pPr>
        <w:pStyle w:val="ListParagraph"/>
        <w:numPr>
          <w:ilvl w:val="2"/>
          <w:numId w:val="7"/>
        </w:numPr>
        <w:spacing w:line="240" w:lineRule="auto"/>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33117E">
      <w:pPr>
        <w:pStyle w:val="ListParagraph"/>
        <w:spacing w:line="240" w:lineRule="auto"/>
        <w:ind w:left="-567" w:firstLine="709"/>
        <w:jc w:val="both"/>
        <w:rPr>
          <w:rFonts w:cstheme="minorHAnsi"/>
        </w:rPr>
      </w:pPr>
    </w:p>
    <w:p w14:paraId="4BBC82B2" w14:textId="77777777" w:rsidR="00D11CF9" w:rsidRDefault="003519F3" w:rsidP="0033117E">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33117E">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lastRenderedPageBreak/>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33117E">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33117E">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33117E">
      <w:pPr>
        <w:pStyle w:val="ListParagraph"/>
        <w:spacing w:line="240" w:lineRule="auto"/>
        <w:ind w:left="562"/>
        <w:jc w:val="both"/>
        <w:rPr>
          <w:rFonts w:ascii="Times New Roman" w:hAnsi="Times New Roman" w:cs="Times New Roman"/>
          <w:b/>
          <w:bCs/>
          <w:sz w:val="24"/>
          <w:szCs w:val="24"/>
        </w:rPr>
      </w:pPr>
    </w:p>
    <w:p w14:paraId="79E2EF6C" w14:textId="2F004C89" w:rsidR="00F26735" w:rsidRPr="001668BC" w:rsidRDefault="00F26735" w:rsidP="0033117E">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33117E">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33117E">
      <w:pPr>
        <w:pStyle w:val="ListParagraph"/>
        <w:spacing w:line="240" w:lineRule="auto"/>
        <w:ind w:left="284"/>
        <w:jc w:val="both"/>
        <w:rPr>
          <w:rFonts w:ascii="Times New Roman" w:hAnsi="Times New Roman" w:cs="Times New Roman"/>
          <w:sz w:val="24"/>
          <w:szCs w:val="24"/>
        </w:rPr>
      </w:pPr>
    </w:p>
    <w:p w14:paraId="11FD07E7" w14:textId="77777777" w:rsidR="00D11CF9" w:rsidRDefault="00F26735" w:rsidP="0033117E">
      <w:pPr>
        <w:pStyle w:val="ListParagraph"/>
        <w:numPr>
          <w:ilvl w:val="0"/>
          <w:numId w:val="7"/>
        </w:numPr>
        <w:spacing w:line="240" w:lineRule="auto"/>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33117E">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w:t>
      </w:r>
      <w:r w:rsidRPr="00D11CF9">
        <w:rPr>
          <w:rFonts w:ascii="Times New Roman" w:hAnsi="Times New Roman" w:cs="Times New Roman"/>
          <w:sz w:val="24"/>
          <w:szCs w:val="24"/>
        </w:rPr>
        <w:lastRenderedPageBreak/>
        <w:t xml:space="preserve">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33117E">
      <w:pPr>
        <w:pStyle w:val="ListParagraph"/>
        <w:spacing w:line="240" w:lineRule="auto"/>
        <w:ind w:left="284" w:hanging="284"/>
        <w:jc w:val="both"/>
        <w:rPr>
          <w:rFonts w:ascii="Times New Roman" w:hAnsi="Times New Roman"/>
          <w:sz w:val="24"/>
        </w:rPr>
      </w:pPr>
    </w:p>
    <w:p w14:paraId="07A3E6AC" w14:textId="0B3F616A" w:rsidR="00F26735" w:rsidRPr="00CF7544" w:rsidRDefault="00F26735" w:rsidP="0033117E">
      <w:pPr>
        <w:pStyle w:val="ListParagraph"/>
        <w:numPr>
          <w:ilvl w:val="0"/>
          <w:numId w:val="7"/>
        </w:numPr>
        <w:spacing w:line="240" w:lineRule="auto"/>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w:t>
      </w:r>
      <w:r w:rsidRPr="007758B2">
        <w:rPr>
          <w:rFonts w:ascii="Times New Roman" w:hAnsi="Times New Roman" w:cs="Times New Roman"/>
          <w:sz w:val="24"/>
          <w:szCs w:val="24"/>
        </w:rPr>
        <w:t>įvykdymo</w:t>
      </w:r>
      <w:r w:rsidR="008F2E84" w:rsidRPr="007758B2">
        <w:rPr>
          <w:rFonts w:ascii="Times New Roman" w:hAnsi="Times New Roman" w:cs="Times New Roman"/>
          <w:sz w:val="24"/>
          <w:szCs w:val="24"/>
        </w:rPr>
        <w:t xml:space="preserve"> dienos, bet ne ilgiau kaip 36 (trisdešimt šešis) mėnesius.</w:t>
      </w:r>
    </w:p>
    <w:p w14:paraId="565A5E5A" w14:textId="44F7F548"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33117E">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33117E">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33117E">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33117E">
      <w:pPr>
        <w:pStyle w:val="ListParagraph"/>
        <w:numPr>
          <w:ilvl w:val="2"/>
          <w:numId w:val="7"/>
        </w:numPr>
        <w:spacing w:line="240" w:lineRule="auto"/>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33117E">
      <w:pPr>
        <w:pStyle w:val="ListParagraph"/>
        <w:numPr>
          <w:ilvl w:val="1"/>
          <w:numId w:val="7"/>
        </w:numPr>
        <w:spacing w:line="240" w:lineRule="auto"/>
        <w:jc w:val="both"/>
        <w:rPr>
          <w:rFonts w:ascii="Times New Roman" w:hAnsi="Times New Roman" w:cs="Times New Roman"/>
          <w:b/>
          <w:bCs/>
          <w:sz w:val="24"/>
          <w:szCs w:val="24"/>
        </w:rPr>
      </w:pPr>
      <w:r w:rsidRPr="00D11CF9">
        <w:rPr>
          <w:rFonts w:ascii="Times New Roman" w:hAnsi="Times New Roman" w:cs="Times New Roman"/>
          <w:sz w:val="24"/>
          <w:szCs w:val="24"/>
        </w:rPr>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33117E">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33117E">
      <w:pPr>
        <w:pStyle w:val="ListParagraph"/>
        <w:spacing w:line="240" w:lineRule="auto"/>
        <w:ind w:left="562"/>
        <w:jc w:val="both"/>
        <w:rPr>
          <w:rFonts w:ascii="Times New Roman" w:hAnsi="Times New Roman" w:cs="Times New Roman"/>
          <w:b/>
          <w:bCs/>
          <w:sz w:val="24"/>
          <w:szCs w:val="24"/>
        </w:rPr>
      </w:pPr>
    </w:p>
    <w:p w14:paraId="79010A1B" w14:textId="6EA15C0F" w:rsidR="00E53D93" w:rsidRPr="00D11CF9" w:rsidRDefault="00752685" w:rsidP="0033117E">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10BA3764" w:rsidR="009669DF" w:rsidRPr="007A2F2E" w:rsidRDefault="005226B5" w:rsidP="0033117E">
      <w:pPr>
        <w:pStyle w:val="ListParagraph"/>
        <w:numPr>
          <w:ilvl w:val="1"/>
          <w:numId w:val="7"/>
        </w:numPr>
        <w:spacing w:line="240" w:lineRule="auto"/>
        <w:jc w:val="both"/>
        <w:rPr>
          <w:rFonts w:ascii="Times New Roman" w:hAnsi="Times New Roman"/>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102E8F">
        <w:rPr>
          <w:rFonts w:ascii="Times New Roman" w:hAnsi="Times New Roman"/>
          <w:sz w:val="24"/>
        </w:rPr>
        <w:t>...</w:t>
      </w:r>
      <w:r w:rsidR="009669DF" w:rsidRPr="007A2F2E">
        <w:rPr>
          <w:rFonts w:ascii="Times New Roman" w:hAnsi="Times New Roman"/>
          <w:sz w:val="24"/>
        </w:rPr>
        <w:t>(pasikeitus Užsakovo atstovui, kita Šalis informuojama el. paštu, atskiras susitarimas nėra sudaromas).</w:t>
      </w:r>
    </w:p>
    <w:p w14:paraId="4C32BE56" w14:textId="0A3F6821" w:rsidR="009669DF" w:rsidRPr="009B1DDC" w:rsidRDefault="005226B5" w:rsidP="0033117E">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102E8F">
        <w:rPr>
          <w:rFonts w:ascii="Times New Roman" w:hAnsi="Times New Roman"/>
          <w:sz w:val="24"/>
        </w:rPr>
        <w:t>...</w:t>
      </w:r>
      <w:r w:rsidR="009669DF" w:rsidRPr="009B1DDC">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33117E">
      <w:pPr>
        <w:pStyle w:val="ListParagraph"/>
        <w:spacing w:line="240" w:lineRule="auto"/>
        <w:ind w:left="284" w:hanging="284"/>
        <w:jc w:val="both"/>
        <w:rPr>
          <w:rFonts w:ascii="Times New Roman" w:hAnsi="Times New Roman"/>
          <w:sz w:val="24"/>
        </w:rPr>
      </w:pPr>
    </w:p>
    <w:p w14:paraId="17801496" w14:textId="03CBF7C8" w:rsidR="002D52DA" w:rsidRPr="00D11CF9" w:rsidRDefault="00752685" w:rsidP="0033117E">
      <w:pPr>
        <w:pStyle w:val="ListParagraph"/>
        <w:numPr>
          <w:ilvl w:val="0"/>
          <w:numId w:val="7"/>
        </w:numPr>
        <w:spacing w:line="240" w:lineRule="auto"/>
        <w:jc w:val="both"/>
        <w:rPr>
          <w:rFonts w:ascii="Times New Roman" w:hAnsi="Times New Roman"/>
          <w:b/>
          <w:sz w:val="24"/>
        </w:rPr>
      </w:pPr>
      <w:r w:rsidRPr="00D11CF9">
        <w:rPr>
          <w:rFonts w:ascii="Times New Roman" w:hAnsi="Times New Roman"/>
          <w:b/>
          <w:sz w:val="24"/>
        </w:rPr>
        <w:t>Prie Pirkimo sutarties pridedam</w:t>
      </w:r>
      <w:r w:rsidR="00E501CA">
        <w:rPr>
          <w:rFonts w:ascii="Times New Roman" w:hAnsi="Times New Roman"/>
          <w:b/>
          <w:sz w:val="24"/>
        </w:rPr>
        <w:t>as</w:t>
      </w:r>
      <w:r w:rsidRPr="00D11CF9">
        <w:rPr>
          <w:rFonts w:ascii="Times New Roman" w:hAnsi="Times New Roman"/>
          <w:b/>
          <w:sz w:val="24"/>
        </w:rPr>
        <w:t xml:space="preserve"> ši</w:t>
      </w:r>
      <w:r w:rsidR="00E501CA">
        <w:rPr>
          <w:rFonts w:ascii="Times New Roman" w:hAnsi="Times New Roman"/>
          <w:b/>
          <w:sz w:val="24"/>
        </w:rPr>
        <w:t>s</w:t>
      </w:r>
      <w:r w:rsidRPr="00D11CF9">
        <w:rPr>
          <w:rFonts w:ascii="Times New Roman" w:hAnsi="Times New Roman"/>
          <w:b/>
          <w:sz w:val="24"/>
        </w:rPr>
        <w:t xml:space="preserve"> prieda</w:t>
      </w:r>
      <w:r w:rsidR="00E501CA">
        <w:rPr>
          <w:rFonts w:ascii="Times New Roman" w:hAnsi="Times New Roman"/>
          <w:b/>
          <w:sz w:val="24"/>
        </w:rPr>
        <w:t>s</w:t>
      </w:r>
      <w:r w:rsidRPr="00D11CF9">
        <w:rPr>
          <w:rFonts w:ascii="Times New Roman" w:hAnsi="Times New Roman"/>
          <w:b/>
          <w:sz w:val="24"/>
        </w:rPr>
        <w:t>, kuri</w:t>
      </w:r>
      <w:r w:rsidR="00E501CA">
        <w:rPr>
          <w:rFonts w:ascii="Times New Roman" w:hAnsi="Times New Roman"/>
          <w:b/>
          <w:sz w:val="24"/>
        </w:rPr>
        <w:t>s</w:t>
      </w:r>
      <w:r w:rsidRPr="00D11CF9">
        <w:rPr>
          <w:rFonts w:ascii="Times New Roman" w:hAnsi="Times New Roman"/>
          <w:b/>
          <w:sz w:val="24"/>
        </w:rPr>
        <w:t xml:space="preserve"> yra neatskiriama Pirkimo sutarties dalis: </w:t>
      </w:r>
    </w:p>
    <w:p w14:paraId="05464095" w14:textId="243DA6D8" w:rsidR="003B3CBC" w:rsidRPr="00D11CF9" w:rsidRDefault="003B3CBC" w:rsidP="0033117E">
      <w:pPr>
        <w:pStyle w:val="ListParagraph"/>
        <w:spacing w:line="240" w:lineRule="auto"/>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E501CA">
        <w:rPr>
          <w:rFonts w:ascii="Times New Roman" w:hAnsi="Times New Roman" w:cs="Times New Roman"/>
          <w:sz w:val="24"/>
          <w:szCs w:val="24"/>
        </w:rPr>
        <w:t>.</w:t>
      </w:r>
    </w:p>
    <w:p w14:paraId="125B2BF1" w14:textId="593F79A0" w:rsidR="00E53D93" w:rsidRPr="00D11CF9" w:rsidRDefault="00E53D93" w:rsidP="0033117E">
      <w:pPr>
        <w:pStyle w:val="ListParagraph"/>
        <w:spacing w:line="240" w:lineRule="auto"/>
        <w:ind w:left="284" w:firstLine="218"/>
        <w:jc w:val="both"/>
        <w:rPr>
          <w:rFonts w:ascii="Times New Roman" w:hAnsi="Times New Roman"/>
          <w:sz w:val="24"/>
        </w:rPr>
      </w:pPr>
    </w:p>
    <w:tbl>
      <w:tblPr>
        <w:tblW w:w="0" w:type="auto"/>
        <w:tblLayout w:type="fixed"/>
        <w:tblLook w:val="04A0" w:firstRow="1" w:lastRow="0" w:firstColumn="1" w:lastColumn="0" w:noHBand="0" w:noVBand="1"/>
      </w:tblPr>
      <w:tblGrid>
        <w:gridCol w:w="4968"/>
        <w:gridCol w:w="4500"/>
      </w:tblGrid>
      <w:tr w:rsidR="00CD2E7B" w:rsidRPr="00CD2E7B" w14:paraId="585C461D" w14:textId="77777777" w:rsidTr="00D11CF9">
        <w:tc>
          <w:tcPr>
            <w:tcW w:w="4968" w:type="dxa"/>
            <w:shd w:val="clear" w:color="auto" w:fill="auto"/>
          </w:tcPr>
          <w:p w14:paraId="17CC7D3E" w14:textId="7B1958B0" w:rsidR="00CD2E7B" w:rsidRPr="00D11CF9" w:rsidRDefault="00CD2E7B" w:rsidP="0033117E">
            <w:pPr>
              <w:snapToGrid w:val="0"/>
              <w:spacing w:after="0" w:line="240" w:lineRule="auto"/>
              <w:rPr>
                <w:rFonts w:ascii="Times New Roman" w:hAnsi="Times New Roman"/>
                <w:b/>
                <w:sz w:val="24"/>
              </w:rPr>
            </w:pPr>
            <w:r w:rsidRPr="00D11CF9">
              <w:rPr>
                <w:rFonts w:ascii="Times New Roman" w:hAnsi="Times New Roman"/>
                <w:b/>
                <w:sz w:val="24"/>
              </w:rPr>
              <w:t>Užsakovas</w:t>
            </w:r>
          </w:p>
          <w:p w14:paraId="1A46DC35" w14:textId="02EBEFFC" w:rsidR="00CD2E7B" w:rsidRPr="00D11CF9" w:rsidRDefault="00CD2E7B" w:rsidP="0033117E">
            <w:pPr>
              <w:spacing w:after="0" w:line="240" w:lineRule="auto"/>
              <w:jc w:val="both"/>
              <w:rPr>
                <w:rFonts w:ascii="Times New Roman" w:hAnsi="Times New Roman"/>
                <w:b/>
                <w:sz w:val="24"/>
              </w:rPr>
            </w:pPr>
            <w:r w:rsidRPr="00D11CF9">
              <w:rPr>
                <w:rFonts w:ascii="Times New Roman" w:hAnsi="Times New Roman"/>
                <w:b/>
                <w:sz w:val="24"/>
              </w:rPr>
              <w:lastRenderedPageBreak/>
              <w:t>VšĮ „Atnaujinkime miestą“</w:t>
            </w:r>
            <w:r w:rsidR="005226B5" w:rsidRPr="005226B5">
              <w:rPr>
                <w:rFonts w:ascii="Times New Roman" w:hAnsi="Times New Roman" w:cs="Times New Roman"/>
                <w:b/>
                <w:bCs/>
                <w:sz w:val="24"/>
                <w:szCs w:val="24"/>
              </w:rPr>
              <w:tab/>
            </w:r>
          </w:p>
          <w:p w14:paraId="028A8925" w14:textId="30624BF9" w:rsidR="00CD2E7B" w:rsidRDefault="00CD2E7B" w:rsidP="0033117E">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3E57643C" w14:textId="77777777" w:rsidR="00845B6D" w:rsidRPr="00D11CF9" w:rsidRDefault="00845B6D" w:rsidP="0033117E">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49386176" w14:textId="19739792" w:rsidR="00CD2E7B" w:rsidRPr="00D11CF9" w:rsidRDefault="00CD2E7B" w:rsidP="0033117E">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005226B5" w:rsidRPr="005226B5">
              <w:rPr>
                <w:rFonts w:ascii="Times New Roman" w:hAnsi="Times New Roman" w:cs="Times New Roman"/>
                <w:sz w:val="24"/>
                <w:szCs w:val="24"/>
              </w:rPr>
              <w:t xml:space="preserve"> </w:t>
            </w:r>
          </w:p>
          <w:p w14:paraId="12FFB992" w14:textId="0D39A783" w:rsidR="00CD2E7B" w:rsidRPr="00D11CF9" w:rsidRDefault="00CD2E7B" w:rsidP="0033117E">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sidR="0096224A">
              <w:rPr>
                <w:rFonts w:ascii="Times New Roman" w:hAnsi="Times New Roman" w:cs="Times New Roman"/>
                <w:sz w:val="24"/>
                <w:szCs w:val="24"/>
              </w:rPr>
              <w:t>+370</w:t>
            </w:r>
            <w:r w:rsidRPr="00D11CF9">
              <w:rPr>
                <w:rFonts w:ascii="Times New Roman" w:hAnsi="Times New Roman"/>
                <w:sz w:val="24"/>
              </w:rPr>
              <w:t xml:space="preserve"> 5 250 3408</w:t>
            </w:r>
            <w:r w:rsidR="00845B6D">
              <w:rPr>
                <w:rFonts w:ascii="Times New Roman" w:hAnsi="Times New Roman" w:cs="Times New Roman"/>
                <w:sz w:val="24"/>
                <w:szCs w:val="24"/>
              </w:rPr>
              <w:t xml:space="preserve">; </w:t>
            </w:r>
            <w:r w:rsidR="0096224A">
              <w:rPr>
                <w:rFonts w:ascii="Times New Roman" w:hAnsi="Times New Roman" w:cs="Times New Roman"/>
                <w:sz w:val="24"/>
                <w:szCs w:val="24"/>
              </w:rPr>
              <w:t>+370</w:t>
            </w:r>
            <w:r w:rsidR="005226B5"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777ED760" w14:textId="6AE203B2" w:rsidR="00CD2E7B" w:rsidRPr="00D11CF9" w:rsidRDefault="00CD2E7B" w:rsidP="0033117E">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005226B5" w:rsidRPr="005226B5">
                <w:rPr>
                  <w:rStyle w:val="Hyperlink"/>
                  <w:rFonts w:ascii="Times New Roman" w:hAnsi="Times New Roman" w:cs="Times New Roman"/>
                  <w:sz w:val="24"/>
                  <w:szCs w:val="24"/>
                  <w:lang w:bidi="en-US"/>
                </w:rPr>
                <w:t>info@amiestas.lt</w:t>
              </w:r>
            </w:hyperlink>
            <w:r w:rsidR="005226B5" w:rsidRPr="005226B5">
              <w:rPr>
                <w:rFonts w:ascii="Times New Roman" w:hAnsi="Times New Roman" w:cs="Times New Roman"/>
                <w:sz w:val="24"/>
                <w:szCs w:val="24"/>
                <w:lang w:bidi="en-US"/>
              </w:rPr>
              <w:t xml:space="preserve"> </w:t>
            </w:r>
          </w:p>
          <w:p w14:paraId="1CB611C5" w14:textId="77777777" w:rsidR="00CD2E7B" w:rsidRDefault="00CD2E7B" w:rsidP="0033117E">
            <w:pPr>
              <w:tabs>
                <w:tab w:val="left" w:pos="5723"/>
              </w:tabs>
              <w:spacing w:after="0" w:line="240" w:lineRule="auto"/>
              <w:rPr>
                <w:rFonts w:ascii="Times New Roman" w:hAnsi="Times New Roman"/>
                <w:sz w:val="24"/>
              </w:rPr>
            </w:pPr>
          </w:p>
          <w:p w14:paraId="6E0AAE92" w14:textId="77777777" w:rsidR="009B1DDC" w:rsidRDefault="009B1DDC" w:rsidP="0033117E">
            <w:pPr>
              <w:tabs>
                <w:tab w:val="left" w:pos="5723"/>
              </w:tabs>
              <w:spacing w:after="0" w:line="240" w:lineRule="auto"/>
              <w:rPr>
                <w:rFonts w:ascii="Times New Roman" w:hAnsi="Times New Roman"/>
                <w:sz w:val="24"/>
              </w:rPr>
            </w:pPr>
          </w:p>
          <w:p w14:paraId="2AD8191E" w14:textId="53943A42" w:rsidR="009B1DDC" w:rsidRPr="00015608" w:rsidRDefault="009B1DDC" w:rsidP="0033117E">
            <w:pPr>
              <w:spacing w:after="0" w:line="240" w:lineRule="auto"/>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3CECFC9E" w14:textId="40962BD9" w:rsidR="009B1DDC" w:rsidRPr="00D11CF9" w:rsidRDefault="009B1DDC" w:rsidP="0033117E">
            <w:pPr>
              <w:tabs>
                <w:tab w:val="left" w:pos="5723"/>
              </w:tabs>
              <w:spacing w:after="0" w:line="240" w:lineRule="auto"/>
              <w:rPr>
                <w:rFonts w:ascii="Times New Roman" w:hAnsi="Times New Roman"/>
                <w:sz w:val="24"/>
              </w:rPr>
            </w:pPr>
          </w:p>
        </w:tc>
        <w:tc>
          <w:tcPr>
            <w:tcW w:w="4500" w:type="dxa"/>
            <w:shd w:val="clear" w:color="auto" w:fill="auto"/>
          </w:tcPr>
          <w:p w14:paraId="3523AA15" w14:textId="166C4E41" w:rsidR="00CD2E7B" w:rsidRPr="00D11CF9" w:rsidRDefault="00CD2E7B" w:rsidP="0033117E">
            <w:pPr>
              <w:snapToGrid w:val="0"/>
              <w:spacing w:after="0" w:line="240" w:lineRule="auto"/>
              <w:rPr>
                <w:rFonts w:ascii="Times New Roman" w:hAnsi="Times New Roman"/>
                <w:b/>
                <w:color w:val="000000"/>
                <w:sz w:val="24"/>
              </w:rPr>
            </w:pPr>
            <w:r w:rsidRPr="00D11CF9">
              <w:rPr>
                <w:rFonts w:ascii="Times New Roman" w:hAnsi="Times New Roman"/>
                <w:b/>
                <w:color w:val="000000"/>
                <w:sz w:val="24"/>
              </w:rPr>
              <w:lastRenderedPageBreak/>
              <w:t>Tiekėjas</w:t>
            </w:r>
          </w:p>
          <w:p w14:paraId="6C3DB7E7" w14:textId="0C2A69E7" w:rsidR="005226B5" w:rsidRPr="00AC4DED" w:rsidRDefault="00AC4DED" w:rsidP="0033117E">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lastRenderedPageBreak/>
              <w:t>UAB „Projektų ekspertizė“</w:t>
            </w:r>
          </w:p>
          <w:p w14:paraId="3482D99B" w14:textId="6121EC57" w:rsidR="00AC4DED" w:rsidRPr="00AC4DED" w:rsidRDefault="00AC4DED" w:rsidP="0033117E">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16C5171A" w14:textId="7698804A" w:rsidR="005226B5" w:rsidRPr="00AC4DED" w:rsidRDefault="00AC4DED" w:rsidP="0033117E">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2213EF6D" w14:textId="3DB15943" w:rsidR="005226B5" w:rsidRPr="00AC4DED" w:rsidRDefault="00AC4DED" w:rsidP="0033117E">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71D4FE2A" w14:textId="2BA57BF1" w:rsidR="005226B5" w:rsidRPr="00AC4DED" w:rsidRDefault="0096224A" w:rsidP="0033117E">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w:t>
            </w:r>
            <w:r w:rsidR="009B1DDC">
              <w:rPr>
                <w:rFonts w:ascii="Times New Roman" w:hAnsi="Times New Roman"/>
                <w:sz w:val="24"/>
              </w:rPr>
              <w:t xml:space="preserve"> +370 5 212 1887</w:t>
            </w:r>
          </w:p>
          <w:p w14:paraId="13277BBC" w14:textId="692BFB7E" w:rsidR="005226B5" w:rsidRPr="00AC4DED" w:rsidRDefault="009B1DDC" w:rsidP="0033117E">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0A66F1B8" w14:textId="77777777" w:rsidR="009B1DDC" w:rsidRDefault="009B1DDC" w:rsidP="0033117E">
            <w:pPr>
              <w:spacing w:after="0" w:line="240" w:lineRule="auto"/>
              <w:rPr>
                <w:rFonts w:ascii="Times New Roman" w:eastAsia="Calibri" w:hAnsi="Times New Roman" w:cs="Times New Roman"/>
                <w:iCs/>
                <w:color w:val="000000"/>
                <w:sz w:val="24"/>
                <w:szCs w:val="24"/>
              </w:rPr>
            </w:pPr>
          </w:p>
          <w:p w14:paraId="076232A3" w14:textId="77777777" w:rsidR="009B1DDC" w:rsidRPr="009B1DDC" w:rsidRDefault="009B1DDC" w:rsidP="0033117E">
            <w:pPr>
              <w:spacing w:after="0" w:line="240" w:lineRule="auto"/>
              <w:rPr>
                <w:rFonts w:ascii="Times New Roman" w:eastAsia="Calibri" w:hAnsi="Times New Roman" w:cs="Times New Roman"/>
                <w:iCs/>
                <w:color w:val="000000"/>
                <w:sz w:val="24"/>
                <w:szCs w:val="24"/>
              </w:rPr>
            </w:pPr>
          </w:p>
          <w:p w14:paraId="2A312E40" w14:textId="77777777" w:rsidR="009B1DDC" w:rsidRPr="00015608" w:rsidRDefault="009B1DDC" w:rsidP="0033117E">
            <w:pPr>
              <w:spacing w:after="0" w:line="240" w:lineRule="auto"/>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3DACD1FE" w14:textId="77777777" w:rsidR="005226B5" w:rsidRPr="005226B5" w:rsidRDefault="005226B5" w:rsidP="0033117E">
            <w:pPr>
              <w:spacing w:after="0" w:line="240" w:lineRule="auto"/>
              <w:rPr>
                <w:rFonts w:ascii="Times New Roman" w:eastAsia="Calibri" w:hAnsi="Times New Roman" w:cs="Times New Roman"/>
                <w:i/>
                <w:color w:val="000000"/>
                <w:sz w:val="24"/>
                <w:szCs w:val="24"/>
              </w:rPr>
            </w:pPr>
          </w:p>
          <w:p w14:paraId="74075532" w14:textId="77777777" w:rsidR="00CD2E7B" w:rsidRPr="00D11CF9" w:rsidRDefault="00CD2E7B" w:rsidP="0033117E">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33117E">
      <w:pPr>
        <w:spacing w:line="240" w:lineRule="auto"/>
        <w:jc w:val="both"/>
        <w:rPr>
          <w:rFonts w:ascii="Times New Roman" w:hAnsi="Times New Roman"/>
          <w:sz w:val="24"/>
        </w:rPr>
      </w:pPr>
    </w:p>
    <w:sectPr w:rsidR="002D52DA" w:rsidRPr="00D11CF9" w:rsidSect="0033117E">
      <w:pgSz w:w="11909" w:h="16834" w:code="9"/>
      <w:pgMar w:top="1008" w:right="720" w:bottom="1008"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74276"/>
    <w:rsid w:val="000838E5"/>
    <w:rsid w:val="00086A95"/>
    <w:rsid w:val="00094B70"/>
    <w:rsid w:val="000C251D"/>
    <w:rsid w:val="000D6391"/>
    <w:rsid w:val="000E331C"/>
    <w:rsid w:val="00102E8F"/>
    <w:rsid w:val="0011721D"/>
    <w:rsid w:val="00131ADC"/>
    <w:rsid w:val="0013618E"/>
    <w:rsid w:val="00144C59"/>
    <w:rsid w:val="00156768"/>
    <w:rsid w:val="00157AE4"/>
    <w:rsid w:val="001668BC"/>
    <w:rsid w:val="001E5302"/>
    <w:rsid w:val="002114FE"/>
    <w:rsid w:val="002410FC"/>
    <w:rsid w:val="0024122E"/>
    <w:rsid w:val="0029489C"/>
    <w:rsid w:val="002A40A4"/>
    <w:rsid w:val="002A6E2A"/>
    <w:rsid w:val="002B2B5B"/>
    <w:rsid w:val="002C1D0E"/>
    <w:rsid w:val="002D46C4"/>
    <w:rsid w:val="002D52DA"/>
    <w:rsid w:val="002D5C19"/>
    <w:rsid w:val="002E64DD"/>
    <w:rsid w:val="002F6F0D"/>
    <w:rsid w:val="003013BC"/>
    <w:rsid w:val="00324756"/>
    <w:rsid w:val="0033117E"/>
    <w:rsid w:val="0034331E"/>
    <w:rsid w:val="003519F3"/>
    <w:rsid w:val="003525E0"/>
    <w:rsid w:val="003B3CBC"/>
    <w:rsid w:val="003E31E7"/>
    <w:rsid w:val="0041621F"/>
    <w:rsid w:val="00454587"/>
    <w:rsid w:val="0049025E"/>
    <w:rsid w:val="004978B0"/>
    <w:rsid w:val="004A0E44"/>
    <w:rsid w:val="004A681F"/>
    <w:rsid w:val="004B316A"/>
    <w:rsid w:val="004B773E"/>
    <w:rsid w:val="004C78D3"/>
    <w:rsid w:val="00507246"/>
    <w:rsid w:val="005226B5"/>
    <w:rsid w:val="00522B2D"/>
    <w:rsid w:val="0057395C"/>
    <w:rsid w:val="005A07D3"/>
    <w:rsid w:val="005A71E7"/>
    <w:rsid w:val="005D185C"/>
    <w:rsid w:val="00603782"/>
    <w:rsid w:val="006169C7"/>
    <w:rsid w:val="00644634"/>
    <w:rsid w:val="00664C68"/>
    <w:rsid w:val="0069028D"/>
    <w:rsid w:val="006B3138"/>
    <w:rsid w:val="006D02E5"/>
    <w:rsid w:val="006D0C29"/>
    <w:rsid w:val="006E78F0"/>
    <w:rsid w:val="006F466C"/>
    <w:rsid w:val="00742C53"/>
    <w:rsid w:val="00752685"/>
    <w:rsid w:val="0076082F"/>
    <w:rsid w:val="007758B2"/>
    <w:rsid w:val="007A2F2E"/>
    <w:rsid w:val="007C091D"/>
    <w:rsid w:val="007C5B61"/>
    <w:rsid w:val="008279CD"/>
    <w:rsid w:val="00843FDD"/>
    <w:rsid w:val="00845B6D"/>
    <w:rsid w:val="00862719"/>
    <w:rsid w:val="008A55B6"/>
    <w:rsid w:val="008D54CE"/>
    <w:rsid w:val="008E74D6"/>
    <w:rsid w:val="008F2E84"/>
    <w:rsid w:val="00900812"/>
    <w:rsid w:val="0091164E"/>
    <w:rsid w:val="00913DB1"/>
    <w:rsid w:val="0095402C"/>
    <w:rsid w:val="0096224A"/>
    <w:rsid w:val="009669DF"/>
    <w:rsid w:val="00983787"/>
    <w:rsid w:val="009B1DDC"/>
    <w:rsid w:val="009B2EEF"/>
    <w:rsid w:val="009D16EB"/>
    <w:rsid w:val="009F4A6F"/>
    <w:rsid w:val="00A00CC1"/>
    <w:rsid w:val="00A33C9D"/>
    <w:rsid w:val="00A46168"/>
    <w:rsid w:val="00A57E62"/>
    <w:rsid w:val="00AA28F0"/>
    <w:rsid w:val="00AB67E4"/>
    <w:rsid w:val="00AC4DED"/>
    <w:rsid w:val="00B367D7"/>
    <w:rsid w:val="00B67F18"/>
    <w:rsid w:val="00B84663"/>
    <w:rsid w:val="00BA733B"/>
    <w:rsid w:val="00BD4519"/>
    <w:rsid w:val="00C011AA"/>
    <w:rsid w:val="00C02601"/>
    <w:rsid w:val="00C134E7"/>
    <w:rsid w:val="00C17FA4"/>
    <w:rsid w:val="00C21CA4"/>
    <w:rsid w:val="00C34BBA"/>
    <w:rsid w:val="00C57C4C"/>
    <w:rsid w:val="00C673E6"/>
    <w:rsid w:val="00CD2E7B"/>
    <w:rsid w:val="00CF7544"/>
    <w:rsid w:val="00D11CF9"/>
    <w:rsid w:val="00D21BF1"/>
    <w:rsid w:val="00D3425A"/>
    <w:rsid w:val="00DC7A18"/>
    <w:rsid w:val="00DF2C26"/>
    <w:rsid w:val="00DF6269"/>
    <w:rsid w:val="00E204DF"/>
    <w:rsid w:val="00E33F5E"/>
    <w:rsid w:val="00E42B68"/>
    <w:rsid w:val="00E501CA"/>
    <w:rsid w:val="00E53D93"/>
    <w:rsid w:val="00E75615"/>
    <w:rsid w:val="00E75F8D"/>
    <w:rsid w:val="00E95414"/>
    <w:rsid w:val="00E96DB3"/>
    <w:rsid w:val="00EE00AC"/>
    <w:rsid w:val="00EE211D"/>
    <w:rsid w:val="00EE3F0C"/>
    <w:rsid w:val="00EE6B48"/>
    <w:rsid w:val="00EF71AE"/>
    <w:rsid w:val="00F00193"/>
    <w:rsid w:val="00F11D6D"/>
    <w:rsid w:val="00F26735"/>
    <w:rsid w:val="00F52E6D"/>
    <w:rsid w:val="00F7758D"/>
    <w:rsid w:val="00FA27F6"/>
    <w:rsid w:val="00FB217F"/>
    <w:rsid w:val="00FB26B8"/>
    <w:rsid w:val="00FD4164"/>
    <w:rsid w:val="00FE7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7A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2725</Words>
  <Characters>15539</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2</cp:revision>
  <dcterms:created xsi:type="dcterms:W3CDTF">2025-02-23T18:39:00Z</dcterms:created>
  <dcterms:modified xsi:type="dcterms:W3CDTF">2025-02-23T18:39:00Z</dcterms:modified>
</cp:coreProperties>
</file>