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 w:before="0" w:after="0"/>
        <w:ind w:start="360"/>
        <w:contextualSpacing/>
        <w:jc w:val="end"/>
        <w:textAlignment w:val="baseline"/>
        <w:rPr>
          <w:rFonts w:ascii="Times New Roman" w:hAnsi="Times New Roman" w:eastAsia="Arial Unicode MS"/>
          <w:b/>
          <w:bCs/>
          <w:sz w:val="24"/>
          <w:szCs w:val="24"/>
        </w:rPr>
      </w:pPr>
      <w:r>
        <w:rPr>
          <w:rFonts w:eastAsia="Arial Unicode MS" w:ascii="Times New Roman" w:hAnsi="Times New Roman"/>
          <w:b/>
          <w:bCs/>
          <w:sz w:val="24"/>
          <w:szCs w:val="24"/>
        </w:rPr>
        <w:t>1 Priedas</w:t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TECHNINĖ SPECIFIKACIJA</w:t>
      </w:r>
    </w:p>
    <w:p>
      <w:pPr>
        <w:pStyle w:val="Default"/>
        <w:rPr>
          <w:b/>
          <w:bCs/>
        </w:rPr>
      </w:pPr>
      <w:r>
        <w:rPr>
          <w:b/>
          <w:bCs/>
        </w:rPr>
      </w:r>
    </w:p>
    <w:tbl>
      <w:tblPr>
        <w:tblW w:w="9579" w:type="dxa"/>
        <w:jc w:val="start"/>
        <w:tblInd w:w="-29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79"/>
      </w:tblGrid>
      <w:tr>
        <w:trPr>
          <w:trHeight w:val="315" w:hRule="atLeast"/>
        </w:trPr>
        <w:tc>
          <w:tcPr>
            <w:tcW w:w="95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rPr>
                <w:lang w:val="pt-BR"/>
              </w:rPr>
            </w:pPr>
            <w:r>
              <w:rPr>
                <w:b/>
                <w:bCs/>
                <w:lang w:val="pt-BR"/>
              </w:rPr>
              <w:t>1. Pirkimo objektas:  Hematologinių reagentų, CRB reagentų pirkimas</w:t>
            </w:r>
          </w:p>
        </w:tc>
      </w:tr>
      <w:tr>
        <w:trPr>
          <w:trHeight w:val="435" w:hRule="atLeast"/>
        </w:trPr>
        <w:tc>
          <w:tcPr>
            <w:tcW w:w="95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</w:r>
          </w:p>
        </w:tc>
      </w:tr>
      <w:tr>
        <w:trPr>
          <w:trHeight w:val="195" w:hRule="atLeast"/>
        </w:trPr>
        <w:tc>
          <w:tcPr>
            <w:tcW w:w="95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2. BVPŽ kodas :  33696500</w:t>
            </w:r>
          </w:p>
        </w:tc>
      </w:tr>
      <w:tr>
        <w:trPr>
          <w:trHeight w:val="555" w:hRule="atLeast"/>
        </w:trPr>
        <w:tc>
          <w:tcPr>
            <w:tcW w:w="95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00" w:hRule="atLeast"/>
        </w:trPr>
        <w:tc>
          <w:tcPr>
            <w:tcW w:w="95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rPr>
                <w:lang w:val="lt-LT"/>
              </w:rPr>
            </w:pPr>
            <w:r>
              <w:rPr>
                <w:b/>
                <w:bCs/>
                <w:i/>
                <w:iCs/>
                <w:lang w:val="lt-LT"/>
              </w:rPr>
              <w:t>3. Pirkimo objekto aprašymas:  Ketinamų pirkti prekių, kokybės reikalavimai</w:t>
            </w:r>
          </w:p>
        </w:tc>
      </w:tr>
      <w:tr>
        <w:trPr>
          <w:trHeight w:val="450" w:hRule="atLeast"/>
        </w:trPr>
        <w:tc>
          <w:tcPr>
            <w:tcW w:w="95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lang w:val="pt-BR"/>
              </w:rPr>
            </w:pPr>
            <w:r>
              <w:rPr>
                <w:b/>
                <w:bCs/>
                <w:lang w:val="pt-BR"/>
              </w:rPr>
              <w:t xml:space="preserve">4. Pirkimo objekto kiekis ir apimtys:  </w:t>
            </w:r>
            <w:r>
              <w:rPr>
                <w:b/>
                <w:bCs/>
                <w:color w:val="auto"/>
                <w:lang w:val="pt-BR"/>
              </w:rPr>
              <w:t>Pateikta lentelėse , 3 priedas</w:t>
            </w:r>
          </w:p>
        </w:tc>
      </w:tr>
      <w:tr>
        <w:trPr>
          <w:trHeight w:val="810" w:hRule="atLeast"/>
        </w:trPr>
        <w:tc>
          <w:tcPr>
            <w:tcW w:w="95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b/>
                <w:bCs/>
                <w:i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</w:r>
          </w:p>
        </w:tc>
      </w:tr>
      <w:tr>
        <w:trPr>
          <w:trHeight w:val="210" w:hRule="atLeast"/>
        </w:trPr>
        <w:tc>
          <w:tcPr>
            <w:tcW w:w="95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rPr>
                <w:lang w:val="lt-LT"/>
              </w:rPr>
            </w:pPr>
            <w:r>
              <w:rPr>
                <w:b/>
                <w:bCs/>
                <w:i/>
                <w:iCs/>
                <w:lang w:val="lt-LT"/>
              </w:rPr>
              <w:t xml:space="preserve">5. </w:t>
            </w:r>
            <w:r>
              <w:rPr>
                <w:b/>
                <w:bCs/>
                <w:lang w:val="lt-LT"/>
              </w:rPr>
              <w:t>Prekių pristatymo, paslaugų suteikimo ar darbų atlikimo terminai:  Tiekėjas laboratorinius reagentus turi pristatyti į laboratoriją į 8 kabinetą esantį 1 aukšte nuo 9.00 iki 15.00, pristatyti per 5 darbo dienas nuo užsakymo pateikimo.</w:t>
            </w:r>
          </w:p>
        </w:tc>
      </w:tr>
      <w:tr>
        <w:trPr>
          <w:trHeight w:val="300" w:hRule="atLeast"/>
        </w:trPr>
        <w:tc>
          <w:tcPr>
            <w:tcW w:w="95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</w:r>
          </w:p>
        </w:tc>
      </w:tr>
      <w:tr>
        <w:trPr>
          <w:trHeight w:val="225" w:hRule="atLeast"/>
        </w:trPr>
        <w:tc>
          <w:tcPr>
            <w:tcW w:w="95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</w:r>
          </w:p>
        </w:tc>
      </w:tr>
      <w:tr>
        <w:trPr>
          <w:trHeight w:val="98" w:hRule="atLeast"/>
        </w:trPr>
        <w:tc>
          <w:tcPr>
            <w:tcW w:w="95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6. Reikalavimai, keliami pirkimo objektui :</w:t>
            </w:r>
          </w:p>
          <w:p>
            <w:pPr>
              <w:pStyle w:val="Default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1. Pirkėjas pirkimo sutarties galiojimo metu neįsipareigoja išpirkti viso numatyto preliminaraus reagentų kiekio, pasilieka teisę koreguoti perkamų reagentų kiekį , gali įsigyti mažesnį arba didesnį reagentų kiekį.</w:t>
            </w:r>
          </w:p>
          <w:p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</w:r>
          </w:p>
        </w:tc>
      </w:tr>
      <w:tr>
        <w:trPr>
          <w:trHeight w:val="4542" w:hRule="atLeast"/>
        </w:trPr>
        <w:tc>
          <w:tcPr>
            <w:tcW w:w="95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</w:r>
          </w:p>
          <w:p>
            <w:pPr>
              <w:pStyle w:val="Default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7. Papildoma informacija:</w:t>
            </w:r>
          </w:p>
          <w:p>
            <w:pPr>
              <w:pStyle w:val="Default"/>
              <w:snapToGrid w:val="false"/>
              <w:rPr>
                <w:lang w:val="lt-LT"/>
              </w:rPr>
            </w:pPr>
            <w:r>
              <w:rPr>
                <w:b/>
                <w:bCs/>
                <w:lang w:val="lt-LT"/>
              </w:rPr>
              <w:t>Konkursą laimėję tiekėjai turi atitikti nurodytus reikalavimus.</w:t>
            </w:r>
          </w:p>
          <w:p>
            <w:pPr>
              <w:pStyle w:val="Normal"/>
              <w:pBdr>
                <w:bottom w:val="single" w:sz="4" w:space="1" w:color="000000"/>
              </w:pBdr>
              <w:bidi w:val="0"/>
              <w:jc w:val="start"/>
              <w:rPr>
                <w:rFonts w:eastAsia="SimSun"/>
              </w:rPr>
            </w:pPr>
            <w:r>
              <w:rPr>
                <w:rFonts w:eastAsia="SimSun"/>
              </w:rPr>
            </w:r>
          </w:p>
          <w:p>
            <w:pPr>
              <w:pStyle w:val="Normal"/>
              <w:numPr>
                <w:ilvl w:val="0"/>
                <w:numId w:val="6"/>
              </w:numPr>
              <w:pBdr>
                <w:bottom w:val="single" w:sz="4" w:space="1" w:color="000000"/>
              </w:pBdr>
              <w:bidi w:val="0"/>
              <w:ind w:hanging="360" w:start="72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Laboratorinių reagentų galiojimas turi būti ne trumpesnis nei 12 mėn. nuo reagentų pristatymo</w:t>
            </w:r>
          </w:p>
          <w:p>
            <w:pPr>
              <w:pStyle w:val="Normal"/>
              <w:numPr>
                <w:ilvl w:val="0"/>
                <w:numId w:val="7"/>
              </w:numPr>
              <w:pBdr>
                <w:bottom w:val="single" w:sz="4" w:space="1" w:color="000000"/>
              </w:pBdr>
              <w:bidi w:val="0"/>
              <w:ind w:hanging="360" w:start="72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Turi būti originalios prekės</w:t>
            </w:r>
          </w:p>
          <w:p>
            <w:pPr>
              <w:pStyle w:val="Normal"/>
              <w:numPr>
                <w:ilvl w:val="0"/>
                <w:numId w:val="8"/>
              </w:numPr>
              <w:pBdr>
                <w:bottom w:val="single" w:sz="4" w:space="1" w:color="000000"/>
              </w:pBdr>
              <w:bidi w:val="0"/>
              <w:ind w:hanging="360" w:start="72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Turi būti prekės sertifikatas</w:t>
            </w:r>
          </w:p>
          <w:p>
            <w:pPr>
              <w:pStyle w:val="Normal"/>
              <w:numPr>
                <w:ilvl w:val="0"/>
                <w:numId w:val="9"/>
              </w:numPr>
              <w:pBdr>
                <w:bottom w:val="single" w:sz="4" w:space="1" w:color="000000"/>
              </w:pBdr>
              <w:bidi w:val="0"/>
              <w:ind w:hanging="360" w:start="72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Reagentai ir papildomos priemonės turi būti paženklintos CE ženklu</w:t>
            </w:r>
          </w:p>
          <w:p>
            <w:pPr>
              <w:pStyle w:val="Normal"/>
              <w:pBdr>
                <w:bottom w:val="single" w:sz="4" w:space="1" w:color="000000"/>
              </w:pBdr>
              <w:bidi w:val="0"/>
              <w:jc w:val="start"/>
              <w:rPr>
                <w:rFonts w:eastAsia="SimSun"/>
              </w:rPr>
            </w:pPr>
            <w:r>
              <w:rPr>
                <w:rFonts w:eastAsia="SimSun"/>
              </w:rPr>
            </w:r>
          </w:p>
          <w:p>
            <w:pPr>
              <w:pStyle w:val="Normal"/>
              <w:pBdr>
                <w:bottom w:val="single" w:sz="4" w:space="1" w:color="000000"/>
              </w:pBdr>
              <w:bidi w:val="0"/>
              <w:jc w:val="start"/>
              <w:rPr>
                <w:rFonts w:eastAsia="SimSun"/>
                <w:i/>
                <w:i/>
                <w:iCs/>
              </w:rPr>
            </w:pPr>
            <w:r>
              <w:rPr>
                <w:rFonts w:eastAsia="SimSun"/>
              </w:rPr>
              <w:t xml:space="preserve">        </w:t>
            </w:r>
            <w:r>
              <w:rPr>
                <w:rFonts w:eastAsia="SimSun"/>
              </w:rPr>
              <w:t>Pirkimo iniciatorius</w:t>
            </w:r>
            <w:r>
              <w:rPr>
                <w:rFonts w:eastAsia="SimSun"/>
                <w:i/>
                <w:iCs/>
              </w:rPr>
              <w:tab/>
              <w:tab/>
              <w:tab/>
              <w:tab/>
              <w:tab/>
              <w:tab/>
              <w:t>Beatričia Augulienė</w:t>
            </w:r>
          </w:p>
          <w:p>
            <w:pPr>
              <w:pStyle w:val="Normal"/>
              <w:bidi w:val="0"/>
              <w:jc w:val="start"/>
              <w:rPr>
                <w:rFonts w:eastAsia="SimSun"/>
              </w:rPr>
            </w:pPr>
            <w:r>
              <w:rPr>
                <w:rFonts w:eastAsia="SimSun"/>
                <w:i/>
                <w:iCs/>
              </w:rPr>
              <w:t>(atsakingojo  darbuotojo pareigos)</w:t>
            </w:r>
            <w:r>
              <w:rPr>
                <w:rFonts w:eastAsia="SimSun"/>
              </w:rPr>
              <w:t xml:space="preserve"> </w:t>
              <w:tab/>
              <w:tab/>
              <w:tab/>
            </w:r>
            <w:r>
              <w:rPr>
                <w:rFonts w:eastAsia="SimSun"/>
                <w:i/>
                <w:iCs/>
              </w:rPr>
              <w:t>(parašas)</w:t>
              <w:tab/>
              <w:tab/>
              <w:t>(vardas ir pavardė)</w:t>
            </w:r>
          </w:p>
          <w:p>
            <w:pPr>
              <w:pStyle w:val="Normal"/>
              <w:bidi w:val="0"/>
              <w:jc w:val="start"/>
              <w:rPr>
                <w:rFonts w:eastAsia="SimSun"/>
              </w:rPr>
            </w:pPr>
            <w:r>
              <w:rPr>
                <w:rFonts w:eastAsia="SimSun"/>
              </w:rPr>
            </w:r>
          </w:p>
          <w:p>
            <w:pPr>
              <w:pStyle w:val="Normal"/>
              <w:pBdr>
                <w:bottom w:val="single" w:sz="4" w:space="1" w:color="000000"/>
              </w:pBdr>
              <w:bidi w:val="0"/>
              <w:ind w:firstLine="720"/>
              <w:jc w:val="start"/>
              <w:rPr>
                <w:rFonts w:eastAsia="SimSun"/>
                <w:b/>
                <w:bCs/>
                <w:i/>
                <w:i/>
                <w:iCs/>
              </w:rPr>
            </w:pPr>
            <w:r>
              <w:rPr>
                <w:rFonts w:eastAsia="SimSun"/>
              </w:rPr>
              <w:t>Direktorius</w:t>
            </w:r>
          </w:p>
          <w:p>
            <w:pPr>
              <w:pStyle w:val="Default"/>
              <w:snapToGrid w:val="false"/>
              <w:rPr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(atsakingojo darbuotojo pareigos)</w:t>
              <w:tab/>
              <w:tab/>
              <w:tab/>
              <w:t>(parašas)</w:t>
              <w:tab/>
              <w:tab/>
              <w:t>(vardas ir pavardė)</w:t>
            </w:r>
          </w:p>
        </w:tc>
      </w:tr>
    </w:tbl>
    <w:p>
      <w:pPr>
        <w:pStyle w:val="Normal"/>
        <w:tabs>
          <w:tab w:val="clear" w:pos="709"/>
          <w:tab w:val="left" w:pos="284" w:leader="none"/>
        </w:tabs>
        <w:bidi w:val="0"/>
        <w:jc w:val="center"/>
        <w:rPr>
          <w:rFonts w:ascii="Times New Roman" w:hAnsi="Times New Roman" w:eastAsia="Arial Unicode MS"/>
          <w:b/>
          <w:bCs/>
          <w:sz w:val="24"/>
          <w:szCs w:val="24"/>
        </w:rPr>
      </w:pPr>
      <w:r>
        <w:rPr>
          <w:rFonts w:eastAsia="Arial Unicode MS" w:ascii="Times New Roman" w:hAnsi="Times New Roman"/>
          <w:b/>
          <w:bCs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540"/>
        </w:tabs>
        <w:ind w:start="54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540"/>
        </w:tabs>
        <w:ind w:start="54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540"/>
        </w:tabs>
        <w:ind w:start="54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540"/>
        </w:tabs>
        <w:ind w:start="54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lt-LT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NSimSun" w:cs="Times New Roman"/>
      <w:color w:val="000000"/>
      <w:kern w:val="0"/>
      <w:sz w:val="24"/>
      <w:szCs w:val="24"/>
      <w:lang w:val="en-US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LibreOffice/7.6.7.2$Windows_X86_64 LibreOffice_project/dd47e4b30cb7dab30588d6c79c651f218165e3c5</Application>
  <AppVersion>15.0000</AppVersion>
  <Pages>1</Pages>
  <Words>167</Words>
  <Characters>1101</Characters>
  <CharactersWithSpaces>1271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2025-02-13T11:29:16Z</dcterms:created>
  <dc:creator/>
  <dc:description/>
  <dc:language>lt-LT</dc:language>
  <cp:lastModifiedBy/>
  <dcterms:modified xsi:type="dcterms:W3CDTF">2025-02-13T11:30:48Z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