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1BA4FBE" w:rsidR="005A5832" w:rsidRDefault="00BA360C">
            <w:pPr>
              <w:jc w:val="both"/>
              <w:rPr>
                <w:kern w:val="2"/>
                <w:szCs w:val="24"/>
              </w:rPr>
            </w:pPr>
            <w:r>
              <w:rPr>
                <w:kern w:val="2"/>
                <w:szCs w:val="24"/>
              </w:rPr>
              <w:t>202</w:t>
            </w:r>
            <w:r w:rsidR="001F2465">
              <w:rPr>
                <w:kern w:val="2"/>
                <w:szCs w:val="24"/>
              </w:rPr>
              <w:t>5</w:t>
            </w:r>
            <w:r>
              <w:rPr>
                <w:kern w:val="2"/>
                <w:szCs w:val="24"/>
              </w:rPr>
              <w:t xml:space="preserve"> m.</w:t>
            </w:r>
            <w:r w:rsidR="001F2465">
              <w:rPr>
                <w:kern w:val="2"/>
                <w:szCs w:val="24"/>
              </w:rPr>
              <w:t xml:space="preserve"> vasario  </w:t>
            </w:r>
            <w:r w:rsidR="001D74A5">
              <w:rPr>
                <w:kern w:val="2"/>
                <w:szCs w:val="24"/>
              </w:rPr>
              <w:t xml:space="preserve"> </w:t>
            </w:r>
            <w:r w:rsidR="001F2465">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19A913A1"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Pr>
                <w:kern w:val="2"/>
                <w:szCs w:val="24"/>
              </w:rPr>
              <w:t xml:space="preserve">  /2</w:t>
            </w:r>
            <w:r w:rsidR="001F2465">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r>
              <w:rPr>
                <w:kern w:val="2"/>
                <w:szCs w:val="24"/>
              </w:rPr>
              <w:t>info</w:t>
            </w:r>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9264D29" w:rsidR="005A5832" w:rsidRDefault="00923B63">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1B2CE674" w:rsidR="005A5832" w:rsidRDefault="00923B63">
            <w:pPr>
              <w:jc w:val="center"/>
              <w:rPr>
                <w:kern w:val="2"/>
                <w:szCs w:val="24"/>
              </w:rPr>
            </w:pPr>
            <w:r>
              <w:rPr>
                <w:kern w:val="2"/>
                <w:szCs w:val="24"/>
              </w:rPr>
              <w:t>Įstatai</w:t>
            </w:r>
          </w:p>
        </w:tc>
      </w:tr>
      <w:tr w:rsidR="00B61C16" w14:paraId="09234E14" w14:textId="77777777">
        <w:tc>
          <w:tcPr>
            <w:tcW w:w="2808" w:type="dxa"/>
            <w:vMerge w:val="restart"/>
          </w:tcPr>
          <w:p w14:paraId="6B7411DA" w14:textId="77777777" w:rsidR="00B61C16" w:rsidRDefault="00B61C16" w:rsidP="00B61C16">
            <w:pPr>
              <w:rPr>
                <w:b/>
                <w:bCs/>
                <w:kern w:val="2"/>
                <w:szCs w:val="24"/>
              </w:rPr>
            </w:pPr>
          </w:p>
          <w:p w14:paraId="5EDDC8A9" w14:textId="77777777" w:rsidR="00B61C16" w:rsidRDefault="00B61C16" w:rsidP="00B61C16">
            <w:pPr>
              <w:rPr>
                <w:b/>
                <w:bCs/>
                <w:kern w:val="2"/>
                <w:szCs w:val="24"/>
              </w:rPr>
            </w:pPr>
          </w:p>
          <w:p w14:paraId="7D67EDF5" w14:textId="77777777" w:rsidR="00B61C16" w:rsidRDefault="00B61C16" w:rsidP="00B61C16">
            <w:pPr>
              <w:rPr>
                <w:b/>
                <w:bCs/>
                <w:kern w:val="2"/>
                <w:szCs w:val="24"/>
              </w:rPr>
            </w:pPr>
          </w:p>
          <w:p w14:paraId="1720C5CB" w14:textId="77777777" w:rsidR="00B61C16" w:rsidRDefault="00B61C16" w:rsidP="00B61C16">
            <w:pPr>
              <w:rPr>
                <w:b/>
                <w:bCs/>
                <w:kern w:val="2"/>
                <w:szCs w:val="24"/>
              </w:rPr>
            </w:pPr>
            <w:r>
              <w:rPr>
                <w:b/>
                <w:bCs/>
                <w:kern w:val="2"/>
                <w:szCs w:val="24"/>
              </w:rPr>
              <w:t>1.2. Tiekėjas</w:t>
            </w:r>
          </w:p>
          <w:p w14:paraId="389EA8B0" w14:textId="77777777" w:rsidR="00B61C16" w:rsidRDefault="00B61C16" w:rsidP="00B61C16">
            <w:pPr>
              <w:rPr>
                <w:b/>
                <w:bCs/>
                <w:kern w:val="2"/>
                <w:szCs w:val="24"/>
              </w:rPr>
            </w:pPr>
          </w:p>
        </w:tc>
        <w:tc>
          <w:tcPr>
            <w:tcW w:w="3240" w:type="dxa"/>
          </w:tcPr>
          <w:p w14:paraId="39BA2874" w14:textId="77777777" w:rsidR="00B61C16" w:rsidRDefault="00B61C16" w:rsidP="00B61C16">
            <w:pPr>
              <w:rPr>
                <w:kern w:val="2"/>
                <w:szCs w:val="24"/>
              </w:rPr>
            </w:pPr>
            <w:r>
              <w:rPr>
                <w:kern w:val="2"/>
                <w:szCs w:val="24"/>
              </w:rPr>
              <w:t>1.2.1. Pavadinimas</w:t>
            </w:r>
          </w:p>
        </w:tc>
        <w:tc>
          <w:tcPr>
            <w:tcW w:w="3510" w:type="dxa"/>
          </w:tcPr>
          <w:p w14:paraId="35AEACAE" w14:textId="5341E449" w:rsidR="00B61C16" w:rsidRDefault="00713CDD" w:rsidP="00B61C16">
            <w:pPr>
              <w:jc w:val="center"/>
              <w:rPr>
                <w:kern w:val="2"/>
                <w:szCs w:val="24"/>
              </w:rPr>
            </w:pPr>
            <w:r w:rsidRPr="00713CDD">
              <w:rPr>
                <w:kern w:val="2"/>
                <w:szCs w:val="24"/>
              </w:rPr>
              <w:t>UAB „B.Braun Medical“</w:t>
            </w:r>
          </w:p>
        </w:tc>
      </w:tr>
      <w:tr w:rsidR="00B61C16" w14:paraId="63727079" w14:textId="77777777">
        <w:tc>
          <w:tcPr>
            <w:tcW w:w="2808" w:type="dxa"/>
            <w:vMerge/>
          </w:tcPr>
          <w:p w14:paraId="2A7717F4" w14:textId="77777777" w:rsidR="00B61C16" w:rsidRDefault="00B61C16" w:rsidP="00B61C16">
            <w:pPr>
              <w:rPr>
                <w:b/>
                <w:bCs/>
                <w:kern w:val="2"/>
                <w:szCs w:val="24"/>
              </w:rPr>
            </w:pPr>
          </w:p>
        </w:tc>
        <w:tc>
          <w:tcPr>
            <w:tcW w:w="3240" w:type="dxa"/>
          </w:tcPr>
          <w:p w14:paraId="35DEB871" w14:textId="77777777" w:rsidR="00B61C16" w:rsidRDefault="00B61C16" w:rsidP="00B61C16">
            <w:pPr>
              <w:rPr>
                <w:kern w:val="2"/>
                <w:szCs w:val="24"/>
              </w:rPr>
            </w:pPr>
            <w:r>
              <w:rPr>
                <w:kern w:val="2"/>
                <w:szCs w:val="24"/>
              </w:rPr>
              <w:t>1.2.2. Juridinio asmens kodas</w:t>
            </w:r>
          </w:p>
        </w:tc>
        <w:tc>
          <w:tcPr>
            <w:tcW w:w="3510" w:type="dxa"/>
          </w:tcPr>
          <w:p w14:paraId="3C56A7DC" w14:textId="77BDCE58" w:rsidR="00B61C16" w:rsidRDefault="00713CDD" w:rsidP="00B61C16">
            <w:pPr>
              <w:jc w:val="center"/>
              <w:rPr>
                <w:kern w:val="2"/>
                <w:szCs w:val="24"/>
              </w:rPr>
            </w:pPr>
            <w:r w:rsidRPr="00713CDD">
              <w:rPr>
                <w:kern w:val="2"/>
                <w:szCs w:val="24"/>
              </w:rPr>
              <w:t>111551739</w:t>
            </w:r>
          </w:p>
        </w:tc>
      </w:tr>
      <w:tr w:rsidR="00B61C16" w14:paraId="63D4A661" w14:textId="77777777">
        <w:tc>
          <w:tcPr>
            <w:tcW w:w="2808" w:type="dxa"/>
            <w:vMerge/>
          </w:tcPr>
          <w:p w14:paraId="3851ABB9" w14:textId="77777777" w:rsidR="00B61C16" w:rsidRDefault="00B61C16" w:rsidP="00B61C16">
            <w:pPr>
              <w:rPr>
                <w:b/>
                <w:bCs/>
                <w:kern w:val="2"/>
                <w:szCs w:val="24"/>
              </w:rPr>
            </w:pPr>
          </w:p>
        </w:tc>
        <w:tc>
          <w:tcPr>
            <w:tcW w:w="3240" w:type="dxa"/>
          </w:tcPr>
          <w:p w14:paraId="3035A2E9" w14:textId="77777777" w:rsidR="00B61C16" w:rsidRDefault="00B61C16" w:rsidP="00B61C16">
            <w:pPr>
              <w:rPr>
                <w:kern w:val="2"/>
                <w:szCs w:val="24"/>
              </w:rPr>
            </w:pPr>
            <w:r>
              <w:rPr>
                <w:kern w:val="2"/>
                <w:szCs w:val="24"/>
              </w:rPr>
              <w:t>1.2.3. Adresas</w:t>
            </w:r>
          </w:p>
        </w:tc>
        <w:tc>
          <w:tcPr>
            <w:tcW w:w="3510" w:type="dxa"/>
          </w:tcPr>
          <w:p w14:paraId="14B7A228" w14:textId="31E3B2B2" w:rsidR="00B61C16" w:rsidRDefault="00713CDD" w:rsidP="00B61C16">
            <w:pPr>
              <w:jc w:val="center"/>
              <w:rPr>
                <w:kern w:val="2"/>
                <w:szCs w:val="24"/>
              </w:rPr>
            </w:pPr>
            <w:r w:rsidRPr="00713CDD">
              <w:rPr>
                <w:kern w:val="2"/>
                <w:szCs w:val="24"/>
              </w:rPr>
              <w:t>Viršuliškių skg. 34-1, LT-05132 Vilnius</w:t>
            </w:r>
          </w:p>
        </w:tc>
      </w:tr>
      <w:tr w:rsidR="00B61C16" w14:paraId="739A6C16" w14:textId="77777777">
        <w:tc>
          <w:tcPr>
            <w:tcW w:w="2808" w:type="dxa"/>
            <w:vMerge/>
          </w:tcPr>
          <w:p w14:paraId="6FFFCCE0" w14:textId="77777777" w:rsidR="00B61C16" w:rsidRDefault="00B61C16" w:rsidP="00B61C16">
            <w:pPr>
              <w:rPr>
                <w:b/>
                <w:bCs/>
                <w:kern w:val="2"/>
                <w:szCs w:val="24"/>
              </w:rPr>
            </w:pPr>
          </w:p>
        </w:tc>
        <w:tc>
          <w:tcPr>
            <w:tcW w:w="3240" w:type="dxa"/>
          </w:tcPr>
          <w:p w14:paraId="43638DF5" w14:textId="77777777" w:rsidR="00B61C16" w:rsidRDefault="00B61C16" w:rsidP="00B61C16">
            <w:pPr>
              <w:rPr>
                <w:kern w:val="2"/>
                <w:szCs w:val="24"/>
              </w:rPr>
            </w:pPr>
            <w:r>
              <w:rPr>
                <w:kern w:val="2"/>
                <w:szCs w:val="24"/>
              </w:rPr>
              <w:t>1.2.4. PVM mokėtojo kodas</w:t>
            </w:r>
          </w:p>
        </w:tc>
        <w:tc>
          <w:tcPr>
            <w:tcW w:w="3510" w:type="dxa"/>
          </w:tcPr>
          <w:p w14:paraId="5D49CF16" w14:textId="78FE623B" w:rsidR="00B61C16" w:rsidRDefault="00BB1420" w:rsidP="00B61C16">
            <w:pPr>
              <w:jc w:val="center"/>
              <w:rPr>
                <w:kern w:val="2"/>
                <w:szCs w:val="24"/>
              </w:rPr>
            </w:pPr>
            <w:r w:rsidRPr="00BB1420">
              <w:rPr>
                <w:kern w:val="2"/>
                <w:szCs w:val="24"/>
              </w:rPr>
              <w:t>LT115517314</w:t>
            </w:r>
          </w:p>
        </w:tc>
      </w:tr>
      <w:tr w:rsidR="00B61C16" w14:paraId="2DF32751" w14:textId="77777777">
        <w:tc>
          <w:tcPr>
            <w:tcW w:w="2808" w:type="dxa"/>
            <w:vMerge/>
          </w:tcPr>
          <w:p w14:paraId="063173D1" w14:textId="77777777" w:rsidR="00B61C16" w:rsidRDefault="00B61C16" w:rsidP="00B61C16">
            <w:pPr>
              <w:rPr>
                <w:b/>
                <w:bCs/>
                <w:kern w:val="2"/>
                <w:szCs w:val="24"/>
              </w:rPr>
            </w:pPr>
          </w:p>
        </w:tc>
        <w:tc>
          <w:tcPr>
            <w:tcW w:w="3240" w:type="dxa"/>
          </w:tcPr>
          <w:p w14:paraId="3234DB17" w14:textId="77777777" w:rsidR="00B61C16" w:rsidRDefault="00B61C16" w:rsidP="00B61C16">
            <w:pPr>
              <w:rPr>
                <w:kern w:val="2"/>
                <w:szCs w:val="24"/>
              </w:rPr>
            </w:pPr>
            <w:r>
              <w:rPr>
                <w:kern w:val="2"/>
                <w:szCs w:val="24"/>
              </w:rPr>
              <w:t>1.2.5. Atsiskaitomoji sąskaita</w:t>
            </w:r>
          </w:p>
        </w:tc>
        <w:tc>
          <w:tcPr>
            <w:tcW w:w="3510" w:type="dxa"/>
          </w:tcPr>
          <w:p w14:paraId="30C5C3BE" w14:textId="112FB994" w:rsidR="00B61C16" w:rsidRDefault="00713CDD" w:rsidP="00B61C16">
            <w:pPr>
              <w:jc w:val="center"/>
              <w:rPr>
                <w:kern w:val="2"/>
                <w:szCs w:val="24"/>
              </w:rPr>
            </w:pPr>
            <w:r w:rsidRPr="00713CDD">
              <w:rPr>
                <w:kern w:val="2"/>
                <w:szCs w:val="24"/>
              </w:rPr>
              <w:t>A.s. LT617044060001097040</w:t>
            </w:r>
          </w:p>
        </w:tc>
      </w:tr>
      <w:tr w:rsidR="00B61C16" w14:paraId="7A74CC93" w14:textId="77777777">
        <w:tc>
          <w:tcPr>
            <w:tcW w:w="2808" w:type="dxa"/>
            <w:vMerge/>
          </w:tcPr>
          <w:p w14:paraId="6438195A" w14:textId="77777777" w:rsidR="00B61C16" w:rsidRDefault="00B61C16" w:rsidP="00B61C16">
            <w:pPr>
              <w:rPr>
                <w:b/>
                <w:bCs/>
                <w:kern w:val="2"/>
                <w:szCs w:val="24"/>
              </w:rPr>
            </w:pPr>
          </w:p>
        </w:tc>
        <w:tc>
          <w:tcPr>
            <w:tcW w:w="3240" w:type="dxa"/>
          </w:tcPr>
          <w:p w14:paraId="5731841C" w14:textId="77777777" w:rsidR="00B61C16" w:rsidRDefault="00B61C16" w:rsidP="00B61C16">
            <w:pPr>
              <w:rPr>
                <w:kern w:val="2"/>
                <w:szCs w:val="24"/>
              </w:rPr>
            </w:pPr>
            <w:r>
              <w:rPr>
                <w:kern w:val="2"/>
                <w:szCs w:val="24"/>
              </w:rPr>
              <w:t>1.2.6. Bankas, banko kodas</w:t>
            </w:r>
          </w:p>
        </w:tc>
        <w:tc>
          <w:tcPr>
            <w:tcW w:w="3510" w:type="dxa"/>
          </w:tcPr>
          <w:p w14:paraId="21A60E06" w14:textId="41AD28FD" w:rsidR="00B61C16" w:rsidRDefault="00713CDD" w:rsidP="00B61C16">
            <w:pPr>
              <w:jc w:val="center"/>
              <w:rPr>
                <w:kern w:val="2"/>
                <w:szCs w:val="24"/>
              </w:rPr>
            </w:pPr>
            <w:r w:rsidRPr="00713CDD">
              <w:rPr>
                <w:kern w:val="2"/>
                <w:szCs w:val="24"/>
              </w:rPr>
              <w:t>AB SEB bankas, b.k. 70440</w:t>
            </w:r>
          </w:p>
        </w:tc>
      </w:tr>
      <w:tr w:rsidR="00B61C16" w14:paraId="13CBEB29" w14:textId="77777777">
        <w:tc>
          <w:tcPr>
            <w:tcW w:w="2808" w:type="dxa"/>
            <w:vMerge/>
          </w:tcPr>
          <w:p w14:paraId="6DD91FC8" w14:textId="77777777" w:rsidR="00B61C16" w:rsidRDefault="00B61C16" w:rsidP="00B61C16">
            <w:pPr>
              <w:rPr>
                <w:b/>
                <w:bCs/>
                <w:kern w:val="2"/>
                <w:szCs w:val="24"/>
              </w:rPr>
            </w:pPr>
          </w:p>
        </w:tc>
        <w:tc>
          <w:tcPr>
            <w:tcW w:w="3240" w:type="dxa"/>
          </w:tcPr>
          <w:p w14:paraId="3DA52994" w14:textId="77777777" w:rsidR="00B61C16" w:rsidRDefault="00B61C16" w:rsidP="00B61C16">
            <w:pPr>
              <w:rPr>
                <w:kern w:val="2"/>
                <w:szCs w:val="24"/>
              </w:rPr>
            </w:pPr>
            <w:r>
              <w:rPr>
                <w:kern w:val="2"/>
                <w:szCs w:val="24"/>
              </w:rPr>
              <w:t>1.2.7. Telefonas</w:t>
            </w:r>
          </w:p>
        </w:tc>
        <w:tc>
          <w:tcPr>
            <w:tcW w:w="3510" w:type="dxa"/>
          </w:tcPr>
          <w:p w14:paraId="0438D83A" w14:textId="1249F271" w:rsidR="00B61C16" w:rsidRDefault="00713CDD" w:rsidP="00B61C16">
            <w:pPr>
              <w:jc w:val="center"/>
              <w:rPr>
                <w:kern w:val="2"/>
                <w:szCs w:val="24"/>
              </w:rPr>
            </w:pPr>
            <w:r w:rsidRPr="00713CDD">
              <w:rPr>
                <w:kern w:val="2"/>
                <w:szCs w:val="24"/>
              </w:rPr>
              <w:t>LT115517314</w:t>
            </w:r>
          </w:p>
        </w:tc>
      </w:tr>
      <w:tr w:rsidR="00B61C16" w14:paraId="5383BDF3" w14:textId="77777777">
        <w:tc>
          <w:tcPr>
            <w:tcW w:w="2808" w:type="dxa"/>
            <w:vMerge/>
          </w:tcPr>
          <w:p w14:paraId="11093F51" w14:textId="77777777" w:rsidR="00B61C16" w:rsidRDefault="00B61C16" w:rsidP="00B61C16">
            <w:pPr>
              <w:rPr>
                <w:b/>
                <w:bCs/>
                <w:kern w:val="2"/>
                <w:szCs w:val="24"/>
              </w:rPr>
            </w:pPr>
          </w:p>
        </w:tc>
        <w:tc>
          <w:tcPr>
            <w:tcW w:w="3240" w:type="dxa"/>
          </w:tcPr>
          <w:p w14:paraId="2ACEBB7A" w14:textId="77777777" w:rsidR="00B61C16" w:rsidRDefault="00B61C16" w:rsidP="00B61C16">
            <w:pPr>
              <w:rPr>
                <w:kern w:val="2"/>
                <w:szCs w:val="24"/>
              </w:rPr>
            </w:pPr>
            <w:r>
              <w:rPr>
                <w:kern w:val="2"/>
                <w:szCs w:val="24"/>
              </w:rPr>
              <w:t>1.2.8. El. paštas</w:t>
            </w:r>
          </w:p>
        </w:tc>
        <w:tc>
          <w:tcPr>
            <w:tcW w:w="3510" w:type="dxa"/>
          </w:tcPr>
          <w:p w14:paraId="57FB01DF" w14:textId="53E815C9" w:rsidR="00B61C16" w:rsidRDefault="00713CDD" w:rsidP="00B61C16">
            <w:pPr>
              <w:jc w:val="center"/>
              <w:rPr>
                <w:kern w:val="2"/>
                <w:szCs w:val="24"/>
              </w:rPr>
            </w:pPr>
            <w:r w:rsidRPr="00713CDD">
              <w:rPr>
                <w:kern w:val="2"/>
                <w:szCs w:val="24"/>
              </w:rPr>
              <w:t>odeta.muralyte@bbraun.com</w:t>
            </w:r>
          </w:p>
        </w:tc>
      </w:tr>
      <w:tr w:rsidR="00B61C16" w14:paraId="12C5B170" w14:textId="77777777">
        <w:tc>
          <w:tcPr>
            <w:tcW w:w="2808" w:type="dxa"/>
            <w:vMerge/>
          </w:tcPr>
          <w:p w14:paraId="001AE960" w14:textId="77777777" w:rsidR="00B61C16" w:rsidRDefault="00B61C16" w:rsidP="00B61C16">
            <w:pPr>
              <w:rPr>
                <w:b/>
                <w:bCs/>
                <w:kern w:val="2"/>
                <w:szCs w:val="24"/>
              </w:rPr>
            </w:pPr>
          </w:p>
        </w:tc>
        <w:tc>
          <w:tcPr>
            <w:tcW w:w="3240" w:type="dxa"/>
          </w:tcPr>
          <w:p w14:paraId="2377B00A" w14:textId="77777777" w:rsidR="00B61C16" w:rsidRDefault="00B61C16" w:rsidP="00B61C16">
            <w:pPr>
              <w:rPr>
                <w:kern w:val="2"/>
                <w:szCs w:val="24"/>
              </w:rPr>
            </w:pPr>
            <w:r>
              <w:rPr>
                <w:kern w:val="2"/>
                <w:szCs w:val="24"/>
              </w:rPr>
              <w:t>1.2.9. Šalies atstovas</w:t>
            </w:r>
          </w:p>
        </w:tc>
        <w:tc>
          <w:tcPr>
            <w:tcW w:w="3510" w:type="dxa"/>
          </w:tcPr>
          <w:p w14:paraId="589C23C9" w14:textId="77777777" w:rsidR="00713CDD" w:rsidRPr="00713CDD" w:rsidRDefault="00713CDD" w:rsidP="00713CDD">
            <w:pPr>
              <w:jc w:val="center"/>
              <w:rPr>
                <w:kern w:val="2"/>
                <w:szCs w:val="24"/>
              </w:rPr>
            </w:pPr>
            <w:r w:rsidRPr="00713CDD">
              <w:rPr>
                <w:kern w:val="2"/>
                <w:szCs w:val="24"/>
              </w:rPr>
              <w:t>Direktorius</w:t>
            </w:r>
          </w:p>
          <w:p w14:paraId="41A930E6" w14:textId="7915CBCE" w:rsidR="00B61C16" w:rsidRDefault="00713CDD" w:rsidP="00713CDD">
            <w:pPr>
              <w:jc w:val="center"/>
              <w:rPr>
                <w:kern w:val="2"/>
                <w:szCs w:val="24"/>
              </w:rPr>
            </w:pPr>
            <w:r w:rsidRPr="00713CDD">
              <w:rPr>
                <w:kern w:val="2"/>
                <w:szCs w:val="24"/>
              </w:rPr>
              <w:t>Kęstutis Liauba</w:t>
            </w:r>
          </w:p>
        </w:tc>
      </w:tr>
      <w:tr w:rsidR="00B61C16" w14:paraId="57E3A38F" w14:textId="77777777">
        <w:tc>
          <w:tcPr>
            <w:tcW w:w="2808" w:type="dxa"/>
            <w:vMerge/>
          </w:tcPr>
          <w:p w14:paraId="4534CCE9" w14:textId="77777777" w:rsidR="00B61C16" w:rsidRDefault="00B61C16" w:rsidP="00B61C16">
            <w:pPr>
              <w:rPr>
                <w:b/>
                <w:bCs/>
                <w:kern w:val="2"/>
                <w:szCs w:val="24"/>
              </w:rPr>
            </w:pPr>
          </w:p>
        </w:tc>
        <w:tc>
          <w:tcPr>
            <w:tcW w:w="3240" w:type="dxa"/>
          </w:tcPr>
          <w:p w14:paraId="15A5DB77" w14:textId="77777777" w:rsidR="00B61C16" w:rsidRDefault="00B61C16" w:rsidP="00B61C16">
            <w:pPr>
              <w:rPr>
                <w:kern w:val="2"/>
                <w:szCs w:val="24"/>
              </w:rPr>
            </w:pPr>
            <w:r>
              <w:rPr>
                <w:kern w:val="2"/>
                <w:szCs w:val="24"/>
              </w:rPr>
              <w:t>1.2.10. Atstovavimo pagrindas</w:t>
            </w:r>
          </w:p>
        </w:tc>
        <w:tc>
          <w:tcPr>
            <w:tcW w:w="3510" w:type="dxa"/>
          </w:tcPr>
          <w:p w14:paraId="16E12F63" w14:textId="0143D52A" w:rsidR="00B61C16" w:rsidRDefault="00713CDD" w:rsidP="00B61C16">
            <w:pPr>
              <w:jc w:val="center"/>
              <w:rPr>
                <w:kern w:val="2"/>
                <w:szCs w:val="24"/>
              </w:rPr>
            </w:pPr>
            <w:r>
              <w:rPr>
                <w:kern w:val="2"/>
                <w:szCs w:val="24"/>
              </w:rPr>
              <w:t xml:space="preserve">Įstatai </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B61C16" w:rsidRDefault="00A10867">
            <w:pPr>
              <w:rPr>
                <w:b/>
                <w:bCs/>
                <w:kern w:val="2"/>
                <w:szCs w:val="24"/>
              </w:rPr>
            </w:pPr>
            <w:r w:rsidRPr="00B61C16">
              <w:rPr>
                <w:b/>
                <w:bCs/>
                <w:kern w:val="2"/>
                <w:szCs w:val="24"/>
              </w:rPr>
              <w:t xml:space="preserve">2.2. Tiekėjo kontaktiniai asmenys, </w:t>
            </w:r>
            <w:r w:rsidRPr="00B61C16">
              <w:rPr>
                <w:b/>
                <w:bCs/>
                <w:kern w:val="2"/>
                <w:szCs w:val="24"/>
              </w:rPr>
              <w:lastRenderedPageBreak/>
              <w:t>atsakingi už Sutarties vykdymą</w:t>
            </w:r>
          </w:p>
        </w:tc>
        <w:tc>
          <w:tcPr>
            <w:tcW w:w="6831" w:type="dxa"/>
            <w:gridSpan w:val="2"/>
          </w:tcPr>
          <w:p w14:paraId="5CF1C648" w14:textId="4022487D" w:rsidR="005A5832" w:rsidRPr="00B61C16" w:rsidRDefault="005A5832">
            <w:pPr>
              <w:rPr>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5AA1BB7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E44C80">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6FD3227" w:rsidR="005A5832" w:rsidRDefault="00B61C16">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Pr="00525C6A">
              <w:rPr>
                <w:kern w:val="2"/>
                <w:szCs w:val="24"/>
              </w:rPr>
              <w:lastRenderedPageBreak/>
              <w:t>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1344F811" w:rsidR="006D2DA4" w:rsidRPr="00412322" w:rsidRDefault="006D2DA4" w:rsidP="006D2DA4">
            <w:pPr>
              <w:jc w:val="both"/>
              <w:rPr>
                <w:kern w:val="2"/>
                <w:szCs w:val="24"/>
              </w:rPr>
            </w:pPr>
            <w:r w:rsidRPr="00412322">
              <w:rPr>
                <w:kern w:val="2"/>
                <w:szCs w:val="24"/>
              </w:rPr>
              <w:t xml:space="preserve">Pradinės Sutarties vertė yra </w:t>
            </w:r>
            <w:r w:rsidR="006E6D75">
              <w:rPr>
                <w:kern w:val="2"/>
                <w:szCs w:val="24"/>
              </w:rPr>
              <w:t xml:space="preserve">4312,00 </w:t>
            </w:r>
            <w:r w:rsidRPr="00412322">
              <w:rPr>
                <w:kern w:val="2"/>
                <w:szCs w:val="24"/>
              </w:rPr>
              <w:t>Eur, (</w:t>
            </w:r>
            <w:r w:rsidR="00906DFD" w:rsidRPr="00906DFD">
              <w:rPr>
                <w:kern w:val="2"/>
                <w:szCs w:val="24"/>
              </w:rPr>
              <w:t>keturi tūkstančiai trys šimtai dvylika eurų 0 ct</w:t>
            </w:r>
            <w:r w:rsidRPr="00412322">
              <w:rPr>
                <w:kern w:val="2"/>
                <w:szCs w:val="24"/>
              </w:rPr>
              <w:t xml:space="preserve">) be PVM. </w:t>
            </w:r>
          </w:p>
          <w:p w14:paraId="5E1AB9E4" w14:textId="6F38971D" w:rsidR="006D2DA4" w:rsidRPr="00412322" w:rsidRDefault="006D2DA4" w:rsidP="006D2DA4">
            <w:r w:rsidRPr="00412322">
              <w:rPr>
                <w:kern w:val="2"/>
              </w:rPr>
              <w:t xml:space="preserve">Sutarties kaina: </w:t>
            </w:r>
            <w:r w:rsidR="00BE3ECB">
              <w:rPr>
                <w:kern w:val="2"/>
              </w:rPr>
              <w:t xml:space="preserve">4527,60 </w:t>
            </w:r>
            <w:r w:rsidRPr="00412322">
              <w:rPr>
                <w:kern w:val="2"/>
              </w:rPr>
              <w:t>Eur, (</w:t>
            </w:r>
            <w:r w:rsidR="00701680" w:rsidRPr="00701680">
              <w:rPr>
                <w:kern w:val="2"/>
              </w:rPr>
              <w:t>keturi tūkstančiai penki šimtai dvidešimt septyni eurai 60 ct</w:t>
            </w:r>
            <w:r w:rsidRPr="00412322">
              <w:rPr>
                <w:kern w:val="2"/>
              </w:rPr>
              <w:t xml:space="preserve">) Eur su PVM. </w:t>
            </w:r>
          </w:p>
          <w:p w14:paraId="425A5278" w14:textId="7C2EDA2E" w:rsidR="006D2DA4" w:rsidRPr="00412322" w:rsidRDefault="006D2DA4" w:rsidP="006D2DA4">
            <w:r w:rsidRPr="00412322">
              <w:rPr>
                <w:kern w:val="2"/>
              </w:rPr>
              <w:t xml:space="preserve">PVM sudaro: </w:t>
            </w:r>
            <w:r w:rsidR="00BE3ECB">
              <w:rPr>
                <w:kern w:val="2"/>
              </w:rPr>
              <w:t>215,60</w:t>
            </w:r>
            <w:r w:rsidR="00B478AD" w:rsidRPr="00412322">
              <w:rPr>
                <w:kern w:val="2"/>
              </w:rPr>
              <w:t xml:space="preserve"> </w:t>
            </w:r>
            <w:r w:rsidRPr="00412322">
              <w:rPr>
                <w:kern w:val="2"/>
              </w:rPr>
              <w:t xml:space="preserve">Eur, </w:t>
            </w:r>
            <w:r w:rsidR="00701680">
              <w:rPr>
                <w:kern w:val="2"/>
              </w:rPr>
              <w:t>(</w:t>
            </w:r>
            <w:r w:rsidR="00701680" w:rsidRPr="00701680">
              <w:rPr>
                <w:kern w:val="2"/>
              </w:rPr>
              <w:t>du šimtai penkiolika eurų 60 ct</w:t>
            </w:r>
            <w:r w:rsidRPr="00412322">
              <w:rPr>
                <w:kern w:val="2"/>
              </w:rPr>
              <w:t>)</w:t>
            </w:r>
            <w:r w:rsidRPr="00412322">
              <w:rPr>
                <w:kern w:val="2"/>
                <w:szCs w:val="24"/>
              </w:rPr>
              <w:t>.</w:t>
            </w:r>
          </w:p>
          <w:p w14:paraId="5CE4B30C" w14:textId="5A3EF59E" w:rsidR="00D76442" w:rsidRPr="00412322" w:rsidRDefault="00D76442" w:rsidP="720BE948">
            <w:pPr>
              <w:rPr>
                <w:i/>
                <w:iCs/>
                <w:kern w:val="2"/>
              </w:rPr>
            </w:pPr>
            <w:r w:rsidRPr="00412322">
              <w:rPr>
                <w:i/>
                <w:iCs/>
                <w:kern w:val="2"/>
              </w:rPr>
              <w:t xml:space="preserve">Jei sutartis sudaroma daugiau nei dėl </w:t>
            </w:r>
            <w:r w:rsidR="001E4C32" w:rsidRPr="00412322">
              <w:rPr>
                <w:i/>
                <w:iCs/>
                <w:kern w:val="2"/>
              </w:rPr>
              <w:t>10 p.o.d.:</w:t>
            </w:r>
          </w:p>
          <w:p w14:paraId="1E1A9BFD" w14:textId="22E7749D" w:rsidR="006D2DA4" w:rsidRPr="00412322" w:rsidDel="00E95033" w:rsidRDefault="00D76442" w:rsidP="00285CED">
            <w:r w:rsidRPr="00412322">
              <w:rPr>
                <w:kern w:val="2"/>
              </w:rPr>
              <w:t>Pradinė Sutarties vertė kiekvienai konkrečiai pirkimo objekto daliai nustatyta Techninėje specifikacijoje.</w:t>
            </w:r>
          </w:p>
          <w:p w14:paraId="7DDEFCF1" w14:textId="77777777" w:rsidR="006D2DA4" w:rsidRPr="00412322"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r w:rsidRPr="00D96057">
              <w:rPr>
                <w:kern w:val="2"/>
                <w:szCs w:val="24"/>
              </w:rPr>
              <w:t>Ind</w:t>
            </w:r>
            <w:r w:rsidRPr="00D96057">
              <w:rPr>
                <w:kern w:val="2"/>
                <w:szCs w:val="24"/>
                <w:vertAlign w:val="subscript"/>
              </w:rPr>
              <w:t>naujausias</w:t>
            </w:r>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r w:rsidRPr="00D96057">
              <w:rPr>
                <w:kern w:val="2"/>
                <w:szCs w:val="24"/>
              </w:rPr>
              <w:t>Ind</w:t>
            </w:r>
            <w:r w:rsidRPr="00D96057">
              <w:rPr>
                <w:kern w:val="2"/>
                <w:szCs w:val="24"/>
                <w:vertAlign w:val="subscript"/>
              </w:rPr>
              <w:t>pradžia</w:t>
            </w:r>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E44C80" w:rsidRPr="00E44C80" w14:paraId="6D7A5FCF" w14:textId="77777777" w:rsidTr="720BE948">
        <w:tc>
          <w:tcPr>
            <w:tcW w:w="4788" w:type="dxa"/>
            <w:gridSpan w:val="3"/>
          </w:tcPr>
          <w:p w14:paraId="27FC932F" w14:textId="2B2ABDBF" w:rsidR="006D2DA4" w:rsidRPr="00E44C80" w:rsidRDefault="00E44C80" w:rsidP="006D2DA4">
            <w:pPr>
              <w:jc w:val="center"/>
              <w:rPr>
                <w:kern w:val="2"/>
                <w:szCs w:val="24"/>
              </w:rPr>
            </w:pPr>
            <w:r w:rsidRPr="00E44C80">
              <w:rPr>
                <w:kern w:val="2"/>
                <w:szCs w:val="24"/>
              </w:rPr>
              <w:t>Direktorė Aušra Bilotienė Motiejūnienė</w:t>
            </w:r>
          </w:p>
        </w:tc>
        <w:tc>
          <w:tcPr>
            <w:tcW w:w="4747" w:type="dxa"/>
          </w:tcPr>
          <w:p w14:paraId="1FA73A75" w14:textId="5502E5A5" w:rsidR="006D2DA4" w:rsidRPr="00E44C80" w:rsidRDefault="000D6A79" w:rsidP="000D6A79">
            <w:pPr>
              <w:rPr>
                <w:kern w:val="2"/>
                <w:szCs w:val="24"/>
              </w:rPr>
            </w:pPr>
            <w:r w:rsidRPr="000D6A79">
              <w:rPr>
                <w:kern w:val="2"/>
                <w:szCs w:val="24"/>
              </w:rPr>
              <w:t>Direktorius</w:t>
            </w:r>
            <w:r>
              <w:rPr>
                <w:kern w:val="2"/>
                <w:szCs w:val="24"/>
              </w:rPr>
              <w:t xml:space="preserve">  </w:t>
            </w:r>
            <w:r w:rsidRPr="000D6A79">
              <w:rPr>
                <w:kern w:val="2"/>
                <w:szCs w:val="24"/>
              </w:rPr>
              <w:t>Kęstutis Liauba</w:t>
            </w:r>
          </w:p>
        </w:tc>
      </w:tr>
      <w:tr w:rsidR="00E44C80" w:rsidRPr="00E44C80" w14:paraId="0C1BCBB3" w14:textId="77777777" w:rsidTr="720BE948">
        <w:tc>
          <w:tcPr>
            <w:tcW w:w="4788" w:type="dxa"/>
            <w:gridSpan w:val="3"/>
          </w:tcPr>
          <w:p w14:paraId="0ABA8914" w14:textId="77777777" w:rsidR="006D2DA4" w:rsidRPr="00E44C80" w:rsidRDefault="006D2DA4" w:rsidP="006D2DA4">
            <w:pPr>
              <w:jc w:val="center"/>
              <w:rPr>
                <w:b/>
                <w:bCs/>
                <w:kern w:val="2"/>
                <w:szCs w:val="24"/>
              </w:rPr>
            </w:pPr>
          </w:p>
          <w:p w14:paraId="312987ED" w14:textId="77777777" w:rsidR="006D2DA4" w:rsidRPr="00E44C80" w:rsidRDefault="006D2DA4" w:rsidP="006D2DA4">
            <w:pPr>
              <w:jc w:val="center"/>
              <w:rPr>
                <w:b/>
                <w:bCs/>
                <w:kern w:val="2"/>
                <w:szCs w:val="24"/>
              </w:rPr>
            </w:pPr>
            <w:r w:rsidRPr="00E44C80">
              <w:rPr>
                <w:b/>
                <w:bCs/>
                <w:kern w:val="2"/>
                <w:szCs w:val="24"/>
              </w:rPr>
              <w:t>(parašas)</w:t>
            </w:r>
          </w:p>
          <w:p w14:paraId="215069C3" w14:textId="77777777" w:rsidR="006D2DA4" w:rsidRPr="00E44C80" w:rsidRDefault="006D2DA4" w:rsidP="006D2DA4">
            <w:pPr>
              <w:jc w:val="center"/>
              <w:rPr>
                <w:b/>
                <w:bCs/>
                <w:kern w:val="2"/>
                <w:szCs w:val="24"/>
              </w:rPr>
            </w:pPr>
          </w:p>
          <w:p w14:paraId="24F62F70" w14:textId="77777777" w:rsidR="006D2DA4" w:rsidRPr="00E44C80" w:rsidRDefault="006D2DA4" w:rsidP="006D2DA4">
            <w:pPr>
              <w:jc w:val="center"/>
              <w:rPr>
                <w:b/>
                <w:bCs/>
                <w:kern w:val="2"/>
                <w:szCs w:val="24"/>
              </w:rPr>
            </w:pPr>
          </w:p>
        </w:tc>
        <w:tc>
          <w:tcPr>
            <w:tcW w:w="4747" w:type="dxa"/>
          </w:tcPr>
          <w:p w14:paraId="1386AE1D" w14:textId="77777777" w:rsidR="006D2DA4" w:rsidRPr="00E44C80" w:rsidRDefault="006D2DA4" w:rsidP="006D2DA4">
            <w:pPr>
              <w:jc w:val="center"/>
              <w:rPr>
                <w:b/>
                <w:bCs/>
                <w:kern w:val="2"/>
                <w:szCs w:val="24"/>
              </w:rPr>
            </w:pPr>
          </w:p>
          <w:p w14:paraId="30D23A85" w14:textId="77777777" w:rsidR="006D2DA4" w:rsidRPr="00E44C80" w:rsidRDefault="006D2DA4" w:rsidP="006D2DA4">
            <w:pPr>
              <w:jc w:val="center"/>
              <w:rPr>
                <w:b/>
                <w:bCs/>
                <w:kern w:val="2"/>
                <w:szCs w:val="24"/>
              </w:rPr>
            </w:pPr>
            <w:r w:rsidRPr="00E44C80">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AD9A" w14:textId="77777777" w:rsidR="00442FF2" w:rsidRDefault="00442FF2">
      <w:pPr>
        <w:rPr>
          <w:kern w:val="2"/>
          <w:sz w:val="22"/>
          <w:szCs w:val="22"/>
          <w:lang w:val="en-US"/>
        </w:rPr>
      </w:pPr>
      <w:r>
        <w:rPr>
          <w:kern w:val="2"/>
          <w:sz w:val="22"/>
          <w:szCs w:val="22"/>
          <w:lang w:val="en-US"/>
        </w:rPr>
        <w:separator/>
      </w:r>
    </w:p>
  </w:endnote>
  <w:endnote w:type="continuationSeparator" w:id="0">
    <w:p w14:paraId="1F6E6E9E" w14:textId="77777777" w:rsidR="00442FF2" w:rsidRDefault="00442FF2">
      <w:pPr>
        <w:rPr>
          <w:kern w:val="2"/>
          <w:sz w:val="22"/>
          <w:szCs w:val="22"/>
          <w:lang w:val="en-US"/>
        </w:rPr>
      </w:pPr>
      <w:r>
        <w:rPr>
          <w:kern w:val="2"/>
          <w:sz w:val="22"/>
          <w:szCs w:val="22"/>
          <w:lang w:val="en-US"/>
        </w:rPr>
        <w:continuationSeparator/>
      </w:r>
    </w:p>
  </w:endnote>
  <w:endnote w:type="continuationNotice" w:id="1">
    <w:p w14:paraId="26B78838" w14:textId="77777777" w:rsidR="00442FF2" w:rsidRDefault="00442F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C65F" w14:textId="77777777" w:rsidR="00442FF2" w:rsidRDefault="00442FF2">
      <w:pPr>
        <w:rPr>
          <w:kern w:val="2"/>
          <w:sz w:val="22"/>
          <w:szCs w:val="22"/>
          <w:lang w:val="en-US"/>
        </w:rPr>
      </w:pPr>
      <w:r>
        <w:rPr>
          <w:kern w:val="2"/>
          <w:sz w:val="22"/>
          <w:szCs w:val="22"/>
          <w:lang w:val="en-US"/>
        </w:rPr>
        <w:separator/>
      </w:r>
    </w:p>
  </w:footnote>
  <w:footnote w:type="continuationSeparator" w:id="0">
    <w:p w14:paraId="4BD6F30D" w14:textId="77777777" w:rsidR="00442FF2" w:rsidRDefault="00442FF2">
      <w:pPr>
        <w:rPr>
          <w:kern w:val="2"/>
          <w:sz w:val="22"/>
          <w:szCs w:val="22"/>
          <w:lang w:val="en-US"/>
        </w:rPr>
      </w:pPr>
      <w:r>
        <w:rPr>
          <w:kern w:val="2"/>
          <w:sz w:val="22"/>
          <w:szCs w:val="22"/>
          <w:lang w:val="en-US"/>
        </w:rPr>
        <w:continuationSeparator/>
      </w:r>
    </w:p>
  </w:footnote>
  <w:footnote w:type="continuationNotice" w:id="1">
    <w:p w14:paraId="2B161713" w14:textId="77777777" w:rsidR="00442FF2" w:rsidRDefault="00442F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581A"/>
    <w:rsid w:val="00036263"/>
    <w:rsid w:val="00040CC1"/>
    <w:rsid w:val="00050C70"/>
    <w:rsid w:val="0006294E"/>
    <w:rsid w:val="0008003C"/>
    <w:rsid w:val="00081B40"/>
    <w:rsid w:val="000A463C"/>
    <w:rsid w:val="000A6D2E"/>
    <w:rsid w:val="000A71C1"/>
    <w:rsid w:val="000C23A5"/>
    <w:rsid w:val="000C33D2"/>
    <w:rsid w:val="000D2D38"/>
    <w:rsid w:val="000D5C2E"/>
    <w:rsid w:val="000D6A79"/>
    <w:rsid w:val="000E1BD2"/>
    <w:rsid w:val="000E5DD5"/>
    <w:rsid w:val="00102116"/>
    <w:rsid w:val="00121D69"/>
    <w:rsid w:val="001434B6"/>
    <w:rsid w:val="00146CB3"/>
    <w:rsid w:val="00151DA1"/>
    <w:rsid w:val="0016085F"/>
    <w:rsid w:val="00165524"/>
    <w:rsid w:val="0016713C"/>
    <w:rsid w:val="001702A0"/>
    <w:rsid w:val="0017552F"/>
    <w:rsid w:val="001905FC"/>
    <w:rsid w:val="0019310C"/>
    <w:rsid w:val="001A4234"/>
    <w:rsid w:val="001C2404"/>
    <w:rsid w:val="001C28C9"/>
    <w:rsid w:val="001D023D"/>
    <w:rsid w:val="001D1736"/>
    <w:rsid w:val="001D74A5"/>
    <w:rsid w:val="001E4C32"/>
    <w:rsid w:val="001E78F9"/>
    <w:rsid w:val="001F2465"/>
    <w:rsid w:val="001F3839"/>
    <w:rsid w:val="001F68C4"/>
    <w:rsid w:val="00204A7A"/>
    <w:rsid w:val="00207B96"/>
    <w:rsid w:val="00245C52"/>
    <w:rsid w:val="002531E7"/>
    <w:rsid w:val="00255814"/>
    <w:rsid w:val="00255AC1"/>
    <w:rsid w:val="00285CED"/>
    <w:rsid w:val="002B022F"/>
    <w:rsid w:val="002C3D11"/>
    <w:rsid w:val="003010A6"/>
    <w:rsid w:val="00324C6F"/>
    <w:rsid w:val="003261CB"/>
    <w:rsid w:val="00330BC9"/>
    <w:rsid w:val="00332161"/>
    <w:rsid w:val="00354E8D"/>
    <w:rsid w:val="00360077"/>
    <w:rsid w:val="0036227A"/>
    <w:rsid w:val="00362370"/>
    <w:rsid w:val="00363C8D"/>
    <w:rsid w:val="0037072B"/>
    <w:rsid w:val="00373454"/>
    <w:rsid w:val="00394E62"/>
    <w:rsid w:val="003977B3"/>
    <w:rsid w:val="003A27EE"/>
    <w:rsid w:val="003C1F4E"/>
    <w:rsid w:val="003C37E0"/>
    <w:rsid w:val="0040087E"/>
    <w:rsid w:val="00412322"/>
    <w:rsid w:val="00442BF4"/>
    <w:rsid w:val="00442FF2"/>
    <w:rsid w:val="004460AA"/>
    <w:rsid w:val="0045039F"/>
    <w:rsid w:val="0048499A"/>
    <w:rsid w:val="00486F8D"/>
    <w:rsid w:val="00494B7F"/>
    <w:rsid w:val="004A0392"/>
    <w:rsid w:val="004A17C9"/>
    <w:rsid w:val="004C6AD0"/>
    <w:rsid w:val="004F7BA7"/>
    <w:rsid w:val="00524173"/>
    <w:rsid w:val="00524857"/>
    <w:rsid w:val="00525AB7"/>
    <w:rsid w:val="00525C6A"/>
    <w:rsid w:val="00526179"/>
    <w:rsid w:val="00533C76"/>
    <w:rsid w:val="00535398"/>
    <w:rsid w:val="0055442A"/>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4754"/>
    <w:rsid w:val="00636F4F"/>
    <w:rsid w:val="0065080D"/>
    <w:rsid w:val="0065471A"/>
    <w:rsid w:val="00681FDC"/>
    <w:rsid w:val="00682F16"/>
    <w:rsid w:val="00693700"/>
    <w:rsid w:val="006A130F"/>
    <w:rsid w:val="006A787C"/>
    <w:rsid w:val="006B43C2"/>
    <w:rsid w:val="006C5EA2"/>
    <w:rsid w:val="006D2DA4"/>
    <w:rsid w:val="006D3FB4"/>
    <w:rsid w:val="006D4F18"/>
    <w:rsid w:val="006D540C"/>
    <w:rsid w:val="006E201C"/>
    <w:rsid w:val="006E6D75"/>
    <w:rsid w:val="00701680"/>
    <w:rsid w:val="00713CDD"/>
    <w:rsid w:val="00717198"/>
    <w:rsid w:val="00722B7A"/>
    <w:rsid w:val="007230E5"/>
    <w:rsid w:val="00733999"/>
    <w:rsid w:val="00744199"/>
    <w:rsid w:val="00757060"/>
    <w:rsid w:val="00760FFE"/>
    <w:rsid w:val="00763104"/>
    <w:rsid w:val="0078534D"/>
    <w:rsid w:val="00787A52"/>
    <w:rsid w:val="007A222D"/>
    <w:rsid w:val="007A610A"/>
    <w:rsid w:val="007B2686"/>
    <w:rsid w:val="007B66A2"/>
    <w:rsid w:val="007D5A60"/>
    <w:rsid w:val="007E1783"/>
    <w:rsid w:val="007E6664"/>
    <w:rsid w:val="008003DA"/>
    <w:rsid w:val="008163B8"/>
    <w:rsid w:val="00822E3C"/>
    <w:rsid w:val="008262DB"/>
    <w:rsid w:val="008401B5"/>
    <w:rsid w:val="00853392"/>
    <w:rsid w:val="008662B2"/>
    <w:rsid w:val="00875F57"/>
    <w:rsid w:val="00886BF7"/>
    <w:rsid w:val="00892807"/>
    <w:rsid w:val="008A3FE6"/>
    <w:rsid w:val="008C22E1"/>
    <w:rsid w:val="008C3600"/>
    <w:rsid w:val="008C680C"/>
    <w:rsid w:val="008D12FE"/>
    <w:rsid w:val="008D1549"/>
    <w:rsid w:val="008F2C38"/>
    <w:rsid w:val="008F4E36"/>
    <w:rsid w:val="008F5D09"/>
    <w:rsid w:val="00902E7B"/>
    <w:rsid w:val="00903587"/>
    <w:rsid w:val="00906DFD"/>
    <w:rsid w:val="00911369"/>
    <w:rsid w:val="0091652B"/>
    <w:rsid w:val="00923B63"/>
    <w:rsid w:val="0092683B"/>
    <w:rsid w:val="009475D6"/>
    <w:rsid w:val="0095689B"/>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063A"/>
    <w:rsid w:val="00A43DC8"/>
    <w:rsid w:val="00A448B3"/>
    <w:rsid w:val="00A574E0"/>
    <w:rsid w:val="00A72D7C"/>
    <w:rsid w:val="00A72E63"/>
    <w:rsid w:val="00A756E7"/>
    <w:rsid w:val="00A824FB"/>
    <w:rsid w:val="00A83652"/>
    <w:rsid w:val="00A85078"/>
    <w:rsid w:val="00A95E9D"/>
    <w:rsid w:val="00AA1D31"/>
    <w:rsid w:val="00AA6A3B"/>
    <w:rsid w:val="00AC34BA"/>
    <w:rsid w:val="00AC426B"/>
    <w:rsid w:val="00AF252F"/>
    <w:rsid w:val="00AF531A"/>
    <w:rsid w:val="00AF754D"/>
    <w:rsid w:val="00B1017D"/>
    <w:rsid w:val="00B142D8"/>
    <w:rsid w:val="00B30FFB"/>
    <w:rsid w:val="00B35C2A"/>
    <w:rsid w:val="00B457F1"/>
    <w:rsid w:val="00B478AD"/>
    <w:rsid w:val="00B528C1"/>
    <w:rsid w:val="00B61616"/>
    <w:rsid w:val="00B61C16"/>
    <w:rsid w:val="00B75623"/>
    <w:rsid w:val="00B75C83"/>
    <w:rsid w:val="00B7768E"/>
    <w:rsid w:val="00B91023"/>
    <w:rsid w:val="00B946ED"/>
    <w:rsid w:val="00BA360C"/>
    <w:rsid w:val="00BB1420"/>
    <w:rsid w:val="00BD5A56"/>
    <w:rsid w:val="00BD6499"/>
    <w:rsid w:val="00BD7806"/>
    <w:rsid w:val="00BE3ECB"/>
    <w:rsid w:val="00BE6A1C"/>
    <w:rsid w:val="00BF2A8F"/>
    <w:rsid w:val="00BF3451"/>
    <w:rsid w:val="00C12630"/>
    <w:rsid w:val="00C25C3E"/>
    <w:rsid w:val="00C30DB7"/>
    <w:rsid w:val="00C41245"/>
    <w:rsid w:val="00C43CE4"/>
    <w:rsid w:val="00C44A45"/>
    <w:rsid w:val="00C55439"/>
    <w:rsid w:val="00C86C1A"/>
    <w:rsid w:val="00C905C8"/>
    <w:rsid w:val="00C96125"/>
    <w:rsid w:val="00C97B1A"/>
    <w:rsid w:val="00CA04C2"/>
    <w:rsid w:val="00CB1C28"/>
    <w:rsid w:val="00CB4537"/>
    <w:rsid w:val="00CF19FB"/>
    <w:rsid w:val="00D03D2E"/>
    <w:rsid w:val="00D17E14"/>
    <w:rsid w:val="00D326BF"/>
    <w:rsid w:val="00D42170"/>
    <w:rsid w:val="00D656B7"/>
    <w:rsid w:val="00D76442"/>
    <w:rsid w:val="00D855DB"/>
    <w:rsid w:val="00DA0C72"/>
    <w:rsid w:val="00DA2293"/>
    <w:rsid w:val="00DA5476"/>
    <w:rsid w:val="00DD173D"/>
    <w:rsid w:val="00DD7146"/>
    <w:rsid w:val="00DD7B1E"/>
    <w:rsid w:val="00DE0646"/>
    <w:rsid w:val="00E0345B"/>
    <w:rsid w:val="00E07A46"/>
    <w:rsid w:val="00E1702B"/>
    <w:rsid w:val="00E21791"/>
    <w:rsid w:val="00E34279"/>
    <w:rsid w:val="00E42732"/>
    <w:rsid w:val="00E43BF9"/>
    <w:rsid w:val="00E44C80"/>
    <w:rsid w:val="00E4509B"/>
    <w:rsid w:val="00E4764A"/>
    <w:rsid w:val="00E519A1"/>
    <w:rsid w:val="00E55F4A"/>
    <w:rsid w:val="00E66A49"/>
    <w:rsid w:val="00E7670F"/>
    <w:rsid w:val="00EA281E"/>
    <w:rsid w:val="00EC1AD0"/>
    <w:rsid w:val="00EC606E"/>
    <w:rsid w:val="00EC7363"/>
    <w:rsid w:val="00ED5FDE"/>
    <w:rsid w:val="00F07CC8"/>
    <w:rsid w:val="00F1312A"/>
    <w:rsid w:val="00F53B5A"/>
    <w:rsid w:val="00F540C2"/>
    <w:rsid w:val="00F813BC"/>
    <w:rsid w:val="00F85845"/>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14998</Words>
  <Characters>8550</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4</cp:revision>
  <cp:lastPrinted>2024-03-18T06:19:00Z</cp:lastPrinted>
  <dcterms:created xsi:type="dcterms:W3CDTF">2025-02-25T08:53:00Z</dcterms:created>
  <dcterms:modified xsi:type="dcterms:W3CDTF">2025-02-26T14:41:00Z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ccc60c94-9655-46f0-8af2-473c2c854a85</vt:lpwstr>
  </property>
</Properties>
</file>