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0B25168E" w:rsidR="005A5832" w:rsidRDefault="00106CEF">
            <w:pPr>
              <w:jc w:val="both"/>
              <w:rPr>
                <w:kern w:val="2"/>
                <w:szCs w:val="24"/>
              </w:rPr>
            </w:pPr>
            <w:r>
              <w:rPr>
                <w:kern w:val="2"/>
                <w:szCs w:val="24"/>
              </w:rPr>
              <w:t xml:space="preserve">Prekių viešojo pirkimo-pardavimo sutartis Nr. </w:t>
            </w:r>
            <w:r w:rsidR="005A29F5">
              <w:rPr>
                <w:kern w:val="2"/>
                <w:szCs w:val="24"/>
              </w:rPr>
              <w:t>25022108</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2EE4E0A6" w:rsidR="005A5832" w:rsidRDefault="005A29F5">
            <w:pPr>
              <w:jc w:val="both"/>
              <w:rPr>
                <w:kern w:val="2"/>
                <w:szCs w:val="24"/>
              </w:rPr>
            </w:pPr>
            <w:r>
              <w:rPr>
                <w:kern w:val="2"/>
                <w:szCs w:val="24"/>
              </w:rPr>
              <w:t>2025-02-17</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6DA85" w:rsidR="005A5832" w:rsidRDefault="005A29F5">
            <w:pPr>
              <w:jc w:val="both"/>
              <w:rPr>
                <w:kern w:val="2"/>
                <w:szCs w:val="24"/>
              </w:rPr>
            </w:pPr>
            <w:r>
              <w:rPr>
                <w:kern w:val="2"/>
                <w:szCs w:val="24"/>
              </w:rPr>
              <w:t>25022108</w:t>
            </w: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36308242" w:rsidR="003700AF" w:rsidRDefault="00655F00" w:rsidP="00655F00">
            <w:pPr>
              <w:jc w:val="both"/>
              <w:rPr>
                <w:kern w:val="2"/>
                <w:szCs w:val="24"/>
              </w:rPr>
            </w:pPr>
            <w:r w:rsidRPr="000D0461">
              <w:t>748484</w:t>
            </w:r>
            <w:r>
              <w:t xml:space="preserve"> (ID: 419791)</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AA739FC" w:rsidR="003700AF" w:rsidRDefault="00655F00" w:rsidP="003700AF">
            <w:pPr>
              <w:jc w:val="both"/>
              <w:rPr>
                <w:kern w:val="2"/>
                <w:szCs w:val="24"/>
              </w:rPr>
            </w:pPr>
            <w:r w:rsidRPr="000D0461">
              <w:t>„Reagentų ir priemonių, skirtų klinikinių tyrimų atlikimui, kartu su įrangos panauda, pirkimas (AK-20/2024)“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r>
              <w:rPr>
                <w:szCs w:val="24"/>
              </w:rPr>
              <w:t>Luminor</w:t>
            </w:r>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42274DE" w:rsidR="005A5832" w:rsidRDefault="00F12F9E">
            <w:pPr>
              <w:jc w:val="center"/>
              <w:rPr>
                <w:kern w:val="2"/>
                <w:szCs w:val="24"/>
              </w:rPr>
            </w:pPr>
            <w:r>
              <w:rPr>
                <w:szCs w:val="24"/>
              </w:rPr>
              <w:t xml:space="preserve">+370 </w:t>
            </w:r>
            <w:r w:rsidR="003F6B90" w:rsidRPr="005A18AE">
              <w:rPr>
                <w:szCs w:val="24"/>
              </w:rPr>
              <w:t>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EF375F" w:rsidRDefault="00D5646B">
            <w:pPr>
              <w:jc w:val="center"/>
              <w:rPr>
                <w:kern w:val="2"/>
                <w:szCs w:val="24"/>
              </w:rPr>
            </w:pPr>
            <w:r w:rsidRPr="00EF375F">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5A5832" w14:paraId="7764308C" w14:textId="77777777">
        <w:tc>
          <w:tcPr>
            <w:tcW w:w="2808" w:type="dxa"/>
            <w:vMerge w:val="restart"/>
          </w:tcPr>
          <w:p w14:paraId="711EF287" w14:textId="3662C067" w:rsidR="005A5832" w:rsidRPr="00AC24FA" w:rsidRDefault="00A10867">
            <w:pPr>
              <w:rPr>
                <w:b/>
                <w:bCs/>
                <w:kern w:val="2"/>
                <w:szCs w:val="24"/>
              </w:rPr>
            </w:pPr>
            <w:r>
              <w:rPr>
                <w:b/>
                <w:bCs/>
                <w:kern w:val="2"/>
                <w:szCs w:val="24"/>
              </w:rPr>
              <w:t>1.2. Tiekėjas</w:t>
            </w: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415488BE" w:rsidR="005A5832" w:rsidRPr="002E5DE7" w:rsidRDefault="002E5DE7" w:rsidP="002E5DE7">
            <w:pPr>
              <w:jc w:val="center"/>
            </w:pPr>
            <w:r>
              <w:rPr>
                <w:rStyle w:val="fontstyle01"/>
              </w:rPr>
              <w:t>UAB „</w:t>
            </w:r>
            <w:r w:rsidR="00A9590E">
              <w:rPr>
                <w:rStyle w:val="fontstyle01"/>
              </w:rPr>
              <w:t>Werfen LT</w:t>
            </w:r>
            <w:r>
              <w:rPr>
                <w:rStyle w:val="fontstyle01"/>
              </w:rPr>
              <w:t>“</w:t>
            </w: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6F8890E0" w:rsidR="005A5832" w:rsidRPr="002E5DE7" w:rsidRDefault="00A9590E" w:rsidP="002E5DE7">
            <w:pPr>
              <w:jc w:val="center"/>
            </w:pPr>
            <w:r>
              <w:t>110413888</w:t>
            </w: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029F58CC" w:rsidR="005A5832" w:rsidRPr="002E5DE7" w:rsidRDefault="00F13FB7" w:rsidP="002E5DE7">
            <w:pPr>
              <w:jc w:val="center"/>
            </w:pPr>
            <w:r>
              <w:rPr>
                <w:rStyle w:val="fontstyle01"/>
              </w:rPr>
              <w:t>B. Brazdžionio</w:t>
            </w:r>
            <w:r w:rsidR="002E5DE7">
              <w:rPr>
                <w:rStyle w:val="fontstyle01"/>
              </w:rPr>
              <w:t xml:space="preserve"> g. 2</w:t>
            </w:r>
            <w:r>
              <w:rPr>
                <w:rStyle w:val="fontstyle01"/>
              </w:rPr>
              <w:t>5A</w:t>
            </w:r>
            <w:r w:rsidR="002E5DE7">
              <w:rPr>
                <w:rStyle w:val="fontstyle01"/>
              </w:rPr>
              <w:t>, LT-</w:t>
            </w:r>
            <w:r>
              <w:rPr>
                <w:rStyle w:val="fontstyle01"/>
              </w:rPr>
              <w:t>48184, Kaunas</w:t>
            </w: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Pr="00D07A82" w:rsidRDefault="00A10867">
            <w:pPr>
              <w:rPr>
                <w:kern w:val="2"/>
                <w:szCs w:val="24"/>
              </w:rPr>
            </w:pPr>
            <w:r w:rsidRPr="00D07A82">
              <w:rPr>
                <w:kern w:val="2"/>
                <w:szCs w:val="24"/>
              </w:rPr>
              <w:t>1.2.4. PVM mokėtojo kodas</w:t>
            </w:r>
          </w:p>
        </w:tc>
        <w:tc>
          <w:tcPr>
            <w:tcW w:w="3510" w:type="dxa"/>
          </w:tcPr>
          <w:p w14:paraId="0F561431" w14:textId="732B7FC0" w:rsidR="005A5832" w:rsidRPr="002E5DE7" w:rsidRDefault="004D13EA" w:rsidP="002E5DE7">
            <w:pPr>
              <w:jc w:val="center"/>
            </w:pPr>
            <w:r>
              <w:t>LT10314888</w:t>
            </w: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Pr="00D07A82" w:rsidRDefault="00A10867">
            <w:pPr>
              <w:rPr>
                <w:kern w:val="2"/>
                <w:szCs w:val="24"/>
              </w:rPr>
            </w:pPr>
            <w:r w:rsidRPr="00D07A82">
              <w:rPr>
                <w:kern w:val="2"/>
                <w:szCs w:val="24"/>
              </w:rPr>
              <w:t>1.2.5. Atsiskaitomoji sąskaita</w:t>
            </w:r>
          </w:p>
        </w:tc>
        <w:tc>
          <w:tcPr>
            <w:tcW w:w="3510" w:type="dxa"/>
          </w:tcPr>
          <w:p w14:paraId="512A87EA" w14:textId="040EB9DB" w:rsidR="005A5832" w:rsidRPr="002E5DE7" w:rsidRDefault="004D13EA" w:rsidP="002E5DE7">
            <w:pPr>
              <w:jc w:val="center"/>
            </w:pPr>
            <w:r>
              <w:t>LT</w:t>
            </w:r>
            <w:r w:rsidR="00D07A82">
              <w:t>57 7044 0600 0771 6877</w:t>
            </w: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Pr="00D07A82" w:rsidRDefault="00A10867">
            <w:pPr>
              <w:rPr>
                <w:kern w:val="2"/>
                <w:szCs w:val="24"/>
              </w:rPr>
            </w:pPr>
            <w:r w:rsidRPr="00D07A82">
              <w:rPr>
                <w:kern w:val="2"/>
                <w:szCs w:val="24"/>
              </w:rPr>
              <w:t>1.2.6. Bankas, banko kodas</w:t>
            </w:r>
          </w:p>
        </w:tc>
        <w:tc>
          <w:tcPr>
            <w:tcW w:w="3510" w:type="dxa"/>
          </w:tcPr>
          <w:p w14:paraId="53BF499D" w14:textId="716882A5" w:rsidR="005A5832" w:rsidRPr="002E5DE7" w:rsidRDefault="00D07A82" w:rsidP="002E5DE7">
            <w:pPr>
              <w:jc w:val="center"/>
            </w:pPr>
            <w:r>
              <w:t xml:space="preserve">AB SEB bankas, banko kodas </w:t>
            </w:r>
            <w:r w:rsidRPr="00D07A82">
              <w:t>70440</w:t>
            </w: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Pr="00D07A82" w:rsidRDefault="00A10867">
            <w:pPr>
              <w:rPr>
                <w:kern w:val="2"/>
                <w:szCs w:val="24"/>
              </w:rPr>
            </w:pPr>
            <w:r w:rsidRPr="00D07A82">
              <w:rPr>
                <w:kern w:val="2"/>
                <w:szCs w:val="24"/>
              </w:rPr>
              <w:t>1.2.7. Telefonas</w:t>
            </w:r>
          </w:p>
        </w:tc>
        <w:tc>
          <w:tcPr>
            <w:tcW w:w="3510" w:type="dxa"/>
          </w:tcPr>
          <w:p w14:paraId="60EDB536" w14:textId="322F4E4B" w:rsidR="005A5832" w:rsidRPr="002E5DE7" w:rsidRDefault="00D07A82" w:rsidP="002E5DE7">
            <w:pPr>
              <w:jc w:val="center"/>
            </w:pPr>
            <w:r w:rsidRPr="00D07A82">
              <w:t>+370 37 313157</w:t>
            </w: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Pr="00D07A82" w:rsidRDefault="00A10867">
            <w:pPr>
              <w:rPr>
                <w:kern w:val="2"/>
                <w:szCs w:val="24"/>
              </w:rPr>
            </w:pPr>
            <w:r w:rsidRPr="00D07A82">
              <w:rPr>
                <w:kern w:val="2"/>
                <w:szCs w:val="24"/>
              </w:rPr>
              <w:t>1.2.8. El. paštas</w:t>
            </w:r>
          </w:p>
        </w:tc>
        <w:tc>
          <w:tcPr>
            <w:tcW w:w="3510" w:type="dxa"/>
          </w:tcPr>
          <w:p w14:paraId="3AD89FFF" w14:textId="5B3C2D37" w:rsidR="005A5832" w:rsidRPr="002E5DE7" w:rsidRDefault="004D13EA" w:rsidP="002E5DE7">
            <w:pPr>
              <w:jc w:val="center"/>
            </w:pPr>
            <w:r>
              <w:t>werfenlt@werfen.com</w:t>
            </w: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217310E8" w:rsidR="005A5832" w:rsidRPr="002E5DE7" w:rsidRDefault="00F13FB7" w:rsidP="002E5DE7">
            <w:pPr>
              <w:jc w:val="center"/>
            </w:pPr>
            <w:r>
              <w:rPr>
                <w:rStyle w:val="fontstyle01"/>
              </w:rPr>
              <w:t>Šarūnas Saudargas</w:t>
            </w: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3E99AC02" w:rsidR="005A5832" w:rsidRPr="002E5DE7" w:rsidRDefault="002E5DE7" w:rsidP="002E5DE7">
            <w:pPr>
              <w:jc w:val="center"/>
            </w:pPr>
            <w:r>
              <w:rPr>
                <w:rStyle w:val="fontstyle01"/>
              </w:rPr>
              <w:t>UAB „</w:t>
            </w:r>
            <w:r w:rsidR="00F13FB7">
              <w:rPr>
                <w:rStyle w:val="fontstyle01"/>
              </w:rPr>
              <w:t>Werfen LT</w:t>
            </w:r>
            <w:r>
              <w:rPr>
                <w:rStyle w:val="fontstyle01"/>
              </w:rPr>
              <w:t>”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lastRenderedPageBreak/>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15668F98" w:rsidR="00AD169E" w:rsidRPr="00997F76" w:rsidRDefault="00B13623" w:rsidP="00076A1E">
            <w:pPr>
              <w:tabs>
                <w:tab w:val="left" w:pos="0"/>
                <w:tab w:val="left" w:pos="142"/>
                <w:tab w:val="left" w:pos="360"/>
                <w:tab w:val="left" w:pos="567"/>
                <w:tab w:val="left" w:pos="851"/>
                <w:tab w:val="left" w:pos="993"/>
                <w:tab w:val="left" w:pos="1134"/>
                <w:tab w:val="left" w:pos="1276"/>
              </w:tabs>
              <w:contextualSpacing/>
              <w:jc w:val="both"/>
              <w:rPr>
                <w:i/>
                <w:iCs/>
              </w:rPr>
            </w:pPr>
            <w:r w:rsidRPr="002A54A1">
              <w:rPr>
                <w:i/>
                <w:iCs/>
                <w:szCs w:val="24"/>
              </w:rPr>
              <w:t xml:space="preserve">Klinikinių tyrimų skyriaus Bakteriologinių tyrimų poskyrio l.e.p. vedėja Jekaterina Sinotova, tel. +370 5 210 5496, el.p. </w:t>
            </w:r>
            <w:hyperlink r:id="rId10" w:history="1">
              <w:r w:rsidRPr="002A54A1">
                <w:rPr>
                  <w:rStyle w:val="Hyperlink"/>
                  <w:i/>
                  <w:iCs/>
                  <w:szCs w:val="24"/>
                </w:rPr>
                <w:t>jekaterina.sinotova@nvspl.lt</w:t>
              </w:r>
            </w:hyperlink>
          </w:p>
        </w:tc>
      </w:tr>
      <w:tr w:rsidR="005A5832" w14:paraId="17A4E02F" w14:textId="77777777">
        <w:trPr>
          <w:trHeight w:val="300"/>
        </w:trPr>
        <w:tc>
          <w:tcPr>
            <w:tcW w:w="2704" w:type="dxa"/>
            <w:gridSpan w:val="2"/>
          </w:tcPr>
          <w:p w14:paraId="146E8BAE" w14:textId="77777777" w:rsidR="005A5832" w:rsidRPr="00D07A82" w:rsidRDefault="00A10867">
            <w:pPr>
              <w:rPr>
                <w:b/>
                <w:bCs/>
                <w:kern w:val="2"/>
                <w:szCs w:val="24"/>
              </w:rPr>
            </w:pPr>
            <w:r w:rsidRPr="00D07A82">
              <w:rPr>
                <w:b/>
                <w:bCs/>
                <w:kern w:val="2"/>
                <w:szCs w:val="24"/>
              </w:rPr>
              <w:t>2.2. Tiekėjo kontaktiniai asmenys, atsakingi už Sutarties vykdymą</w:t>
            </w:r>
          </w:p>
        </w:tc>
        <w:tc>
          <w:tcPr>
            <w:tcW w:w="6831" w:type="dxa"/>
            <w:gridSpan w:val="2"/>
          </w:tcPr>
          <w:p w14:paraId="6FF1505D" w14:textId="31A1EC42" w:rsidR="005A5832" w:rsidRPr="00D07A82" w:rsidRDefault="00D07A82" w:rsidP="002E5DE7">
            <w:pPr>
              <w:jc w:val="both"/>
              <w:rPr>
                <w:i/>
                <w:iCs/>
                <w:lang w:val="en-GB"/>
              </w:rPr>
            </w:pPr>
            <w:r>
              <w:rPr>
                <w:i/>
                <w:iCs/>
              </w:rPr>
              <w:t xml:space="preserve">Pardavimų vadybininkė Daiva Adomavičienė, tel. </w:t>
            </w:r>
            <w:r>
              <w:rPr>
                <w:i/>
                <w:iCs/>
                <w:lang w:val="en-GB"/>
              </w:rPr>
              <w:t xml:space="preserve">+370 37 313157, el. p. </w:t>
            </w:r>
            <w:hyperlink r:id="rId11" w:history="1">
              <w:r w:rsidRPr="00E04A82">
                <w:rPr>
                  <w:rStyle w:val="Hyperlink"/>
                  <w:i/>
                  <w:iCs/>
                  <w:lang w:val="en-GB"/>
                </w:rPr>
                <w:t>dadomavicien@werfen.com</w:t>
              </w:r>
            </w:hyperlink>
            <w:r>
              <w:rPr>
                <w:i/>
                <w:iCs/>
                <w:lang w:val="en-GB"/>
              </w:rPr>
              <w:t xml:space="preserve"> </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AB4585">
        <w:trPr>
          <w:trHeight w:val="313"/>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167CD4DA" w:rsidR="005A5832" w:rsidRDefault="00D4293B">
            <w:pPr>
              <w:rPr>
                <w:kern w:val="2"/>
                <w:szCs w:val="24"/>
              </w:rPr>
            </w:pPr>
            <w:r w:rsidRPr="000D0461">
              <w:t>748484</w:t>
            </w:r>
            <w:r>
              <w:t xml:space="preserve"> (ID: 419791)</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26666F7" w14:textId="488FFA46" w:rsidR="005A5832" w:rsidRDefault="00A10867">
            <w:pPr>
              <w:rPr>
                <w:i/>
                <w:iCs/>
                <w:szCs w:val="24"/>
              </w:rPr>
            </w:pPr>
            <w:r w:rsidRPr="008F64FC">
              <w:rPr>
                <w:kern w:val="2"/>
                <w:szCs w:val="24"/>
              </w:rPr>
              <w:t xml:space="preserve">Tiekėjas pagal atskirą užsakymą įsipareigoja pristatyti Prekes ne vėliau kaip </w:t>
            </w:r>
            <w:r w:rsidRPr="00D94726">
              <w:rPr>
                <w:kern w:val="2"/>
                <w:szCs w:val="24"/>
              </w:rPr>
              <w:t xml:space="preserve">per </w:t>
            </w:r>
            <w:r w:rsidR="006E6E5B" w:rsidRPr="00D94726">
              <w:rPr>
                <w:b/>
                <w:bCs/>
                <w:kern w:val="2"/>
                <w:szCs w:val="24"/>
              </w:rPr>
              <w:t>14</w:t>
            </w:r>
            <w:r w:rsidR="0012060D" w:rsidRPr="00D94726">
              <w:rPr>
                <w:b/>
                <w:bCs/>
                <w:kern w:val="2"/>
                <w:szCs w:val="24"/>
              </w:rPr>
              <w:t xml:space="preserve"> (</w:t>
            </w:r>
            <w:r w:rsidR="006E6E5B" w:rsidRPr="00D94726">
              <w:rPr>
                <w:b/>
                <w:bCs/>
                <w:kern w:val="2"/>
                <w:szCs w:val="24"/>
              </w:rPr>
              <w:t>keturiolika</w:t>
            </w:r>
            <w:r w:rsidR="00413D6B" w:rsidRPr="00D94726">
              <w:rPr>
                <w:b/>
                <w:bCs/>
                <w:kern w:val="2"/>
                <w:szCs w:val="24"/>
              </w:rPr>
              <w:t xml:space="preserve">) </w:t>
            </w:r>
            <w:r w:rsidR="003256B5" w:rsidRPr="00D94726">
              <w:rPr>
                <w:kern w:val="2"/>
                <w:szCs w:val="24"/>
              </w:rPr>
              <w:t>kalendorinių</w:t>
            </w:r>
            <w:r w:rsidR="0012060D" w:rsidRPr="00D94726">
              <w:rPr>
                <w:kern w:val="2"/>
                <w:szCs w:val="24"/>
              </w:rPr>
              <w:t xml:space="preserve"> dienų</w:t>
            </w:r>
            <w:r w:rsidRPr="00D94726">
              <w:rPr>
                <w:kern w:val="2"/>
                <w:szCs w:val="24"/>
              </w:rPr>
              <w:t xml:space="preserve"> nuo</w:t>
            </w:r>
            <w:r w:rsidRPr="008F64FC">
              <w:rPr>
                <w:kern w:val="2"/>
                <w:szCs w:val="24"/>
              </w:rPr>
              <w:t xml:space="preserve"> užsakymo pateikimo dienos šiuo adresu:</w:t>
            </w:r>
            <w:r w:rsidR="0012060D" w:rsidRPr="008F64FC">
              <w:rPr>
                <w:kern w:val="2"/>
                <w:szCs w:val="24"/>
              </w:rPr>
              <w:t xml:space="preserve"> </w:t>
            </w:r>
            <w:r w:rsidR="0012060D" w:rsidRPr="008F64FC">
              <w:rPr>
                <w:i/>
                <w:iCs/>
                <w:szCs w:val="24"/>
              </w:rPr>
              <w:t>Žolyno g. 36, Vilnius.</w:t>
            </w:r>
          </w:p>
          <w:p w14:paraId="06D967B3" w14:textId="77777777" w:rsidR="00C87388" w:rsidRDefault="00C87388">
            <w:pPr>
              <w:rPr>
                <w:i/>
                <w:iCs/>
                <w:kern w:val="2"/>
                <w:szCs w:val="24"/>
              </w:rPr>
            </w:pPr>
          </w:p>
          <w:p w14:paraId="1599D723" w14:textId="4BB877FF" w:rsidR="003E013A" w:rsidRPr="00147B50" w:rsidRDefault="00C87388" w:rsidP="00A91BCB">
            <w:pPr>
              <w:jc w:val="both"/>
              <w:rPr>
                <w:kern w:val="2"/>
                <w:szCs w:val="24"/>
                <w:u w:val="single"/>
              </w:rPr>
            </w:pPr>
            <w:r w:rsidRPr="00147B50">
              <w:rPr>
                <w:kern w:val="2"/>
                <w:szCs w:val="24"/>
                <w:u w:val="single"/>
              </w:rPr>
              <w:t>Jeigu tiekėjas siūlo įrangą panaudos būdu, ją turi pristatyti šiuo adresu</w:t>
            </w:r>
            <w:r w:rsidR="003E013A" w:rsidRPr="00147B50">
              <w:rPr>
                <w:kern w:val="2"/>
                <w:szCs w:val="24"/>
                <w:u w:val="single"/>
              </w:rPr>
              <w:t>:</w:t>
            </w:r>
          </w:p>
          <w:p w14:paraId="0F686730" w14:textId="0CC6209D" w:rsidR="003E013A" w:rsidRPr="003E013A" w:rsidRDefault="003E013A">
            <w:pPr>
              <w:rPr>
                <w:kern w:val="2"/>
                <w:szCs w:val="24"/>
              </w:rPr>
            </w:pPr>
            <w:r w:rsidRPr="004C7EF8">
              <w:rPr>
                <w:b/>
                <w:bCs/>
                <w:kern w:val="2"/>
                <w:szCs w:val="24"/>
              </w:rPr>
              <w:t>1 p.d.</w:t>
            </w:r>
            <w:r w:rsidRPr="003E013A">
              <w:rPr>
                <w:kern w:val="2"/>
                <w:szCs w:val="24"/>
              </w:rPr>
              <w:t xml:space="preserve"> – Gėlių g. 9, Vilnius, I aukštas;</w:t>
            </w:r>
          </w:p>
          <w:p w14:paraId="0385173E" w14:textId="368F89FF" w:rsidR="003E013A" w:rsidRPr="003E013A" w:rsidRDefault="003E013A">
            <w:pPr>
              <w:rPr>
                <w:kern w:val="2"/>
                <w:szCs w:val="24"/>
              </w:rPr>
            </w:pPr>
            <w:r w:rsidRPr="004C7EF8">
              <w:rPr>
                <w:b/>
                <w:bCs/>
                <w:kern w:val="2"/>
                <w:szCs w:val="24"/>
              </w:rPr>
              <w:t>2 p.d.</w:t>
            </w:r>
            <w:r w:rsidRPr="003E013A">
              <w:rPr>
                <w:kern w:val="2"/>
                <w:szCs w:val="24"/>
              </w:rPr>
              <w:t xml:space="preserve"> – Žolyno g. 36, Vilnius, II aukštas (yra liftas);</w:t>
            </w:r>
          </w:p>
          <w:p w14:paraId="3DB1E775" w14:textId="293BB6C6" w:rsidR="00C87388" w:rsidRPr="003E013A" w:rsidRDefault="003E013A">
            <w:pPr>
              <w:rPr>
                <w:kern w:val="2"/>
                <w:szCs w:val="24"/>
                <w:highlight w:val="cyan"/>
              </w:rPr>
            </w:pPr>
            <w:r w:rsidRPr="004C7EF8">
              <w:rPr>
                <w:b/>
                <w:bCs/>
                <w:kern w:val="2"/>
                <w:szCs w:val="24"/>
              </w:rPr>
              <w:t>3-7 p.d.</w:t>
            </w:r>
            <w:r w:rsidRPr="003E013A">
              <w:rPr>
                <w:kern w:val="2"/>
                <w:szCs w:val="24"/>
              </w:rPr>
              <w:t xml:space="preserve"> - Žolyno g. 36, Vilnius, III aukštas (yra liftas).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lastRenderedPageBreak/>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0435507F" w:rsidR="005A5832" w:rsidRDefault="00E44661" w:rsidP="00EC235B">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w:t>
            </w:r>
            <w:r w:rsidR="00EC235B">
              <w:rPr>
                <w:b/>
                <w:bCs/>
                <w:kern w:val="2"/>
                <w:szCs w:val="24"/>
              </w:rPr>
              <w:t>a</w:t>
            </w:r>
          </w:p>
        </w:tc>
        <w:tc>
          <w:tcPr>
            <w:tcW w:w="6831" w:type="dxa"/>
            <w:gridSpan w:val="2"/>
          </w:tcPr>
          <w:p w14:paraId="7D5846E0" w14:textId="763FC9FA" w:rsidR="005A5832" w:rsidRPr="00997C1C" w:rsidRDefault="00A10867" w:rsidP="00294E6A">
            <w:pPr>
              <w:jc w:val="both"/>
              <w:rPr>
                <w:kern w:val="2"/>
                <w:szCs w:val="24"/>
              </w:rPr>
            </w:pPr>
            <w:r w:rsidRPr="00997C1C">
              <w:rPr>
                <w:kern w:val="2"/>
                <w:szCs w:val="24"/>
              </w:rPr>
              <w:t xml:space="preserve">Pradinės Sutarties vertė yra </w:t>
            </w:r>
            <w:r w:rsidR="00293279" w:rsidRPr="00B750A3">
              <w:rPr>
                <w:b/>
                <w:bCs/>
                <w:kern w:val="2"/>
                <w:szCs w:val="24"/>
              </w:rPr>
              <w:t>29700</w:t>
            </w:r>
            <w:r w:rsidR="005E7ECE" w:rsidRPr="00B750A3">
              <w:rPr>
                <w:b/>
                <w:bCs/>
                <w:kern w:val="2"/>
                <w:szCs w:val="24"/>
              </w:rPr>
              <w:t>,00</w:t>
            </w:r>
            <w:r w:rsidR="005E7ECE">
              <w:rPr>
                <w:kern w:val="2"/>
                <w:szCs w:val="24"/>
              </w:rPr>
              <w:t xml:space="preserve"> </w:t>
            </w:r>
            <w:r w:rsidRPr="00997C1C">
              <w:rPr>
                <w:kern w:val="2"/>
                <w:szCs w:val="24"/>
              </w:rPr>
              <w:t xml:space="preserve">Eur </w:t>
            </w:r>
            <w:r w:rsidRPr="00997C1C">
              <w:rPr>
                <w:color w:val="4472C4"/>
                <w:kern w:val="2"/>
                <w:szCs w:val="24"/>
              </w:rPr>
              <w:t>(</w:t>
            </w:r>
            <w:r w:rsidR="000E478E">
              <w:rPr>
                <w:color w:val="4472C4"/>
                <w:kern w:val="2"/>
                <w:szCs w:val="24"/>
              </w:rPr>
              <w:t xml:space="preserve">dvidešimt devyni tūkstančiai </w:t>
            </w:r>
            <w:r w:rsidR="004D02B9">
              <w:rPr>
                <w:color w:val="4472C4"/>
                <w:kern w:val="2"/>
                <w:szCs w:val="24"/>
              </w:rPr>
              <w:t>septyni</w:t>
            </w:r>
            <w:r w:rsidR="000E478E">
              <w:rPr>
                <w:color w:val="4472C4"/>
                <w:kern w:val="2"/>
                <w:szCs w:val="24"/>
              </w:rPr>
              <w:t xml:space="preserve"> šimtai Eur 00 ct</w:t>
            </w:r>
            <w:r w:rsidRPr="00997C1C">
              <w:rPr>
                <w:color w:val="4472C4"/>
                <w:kern w:val="2"/>
                <w:szCs w:val="24"/>
              </w:rPr>
              <w:t>)</w:t>
            </w:r>
            <w:r w:rsidRPr="00997C1C">
              <w:rPr>
                <w:kern w:val="2"/>
                <w:szCs w:val="24"/>
              </w:rPr>
              <w:t xml:space="preserve"> be PVM.</w:t>
            </w:r>
          </w:p>
          <w:p w14:paraId="3EA3F636" w14:textId="5896D8F9" w:rsidR="005A5832" w:rsidRPr="00997C1C" w:rsidRDefault="00A10867">
            <w:pPr>
              <w:rPr>
                <w:kern w:val="2"/>
                <w:szCs w:val="24"/>
              </w:rPr>
            </w:pPr>
            <w:r w:rsidRPr="00997C1C">
              <w:rPr>
                <w:kern w:val="2"/>
                <w:szCs w:val="24"/>
              </w:rPr>
              <w:t>PVM sudaro</w:t>
            </w:r>
            <w:r w:rsidR="000E478E">
              <w:rPr>
                <w:kern w:val="2"/>
                <w:szCs w:val="24"/>
              </w:rPr>
              <w:t xml:space="preserve"> </w:t>
            </w:r>
            <w:r w:rsidR="004D02B9" w:rsidRPr="00B750A3">
              <w:rPr>
                <w:b/>
                <w:bCs/>
                <w:kern w:val="2"/>
                <w:szCs w:val="24"/>
              </w:rPr>
              <w:t>1485,00</w:t>
            </w:r>
            <w:r w:rsidRPr="00997C1C">
              <w:rPr>
                <w:kern w:val="2"/>
                <w:szCs w:val="24"/>
              </w:rPr>
              <w:t xml:space="preserve"> Eur </w:t>
            </w:r>
            <w:r w:rsidRPr="00997C1C">
              <w:rPr>
                <w:color w:val="4472C4"/>
                <w:kern w:val="2"/>
                <w:szCs w:val="24"/>
              </w:rPr>
              <w:t>(</w:t>
            </w:r>
            <w:r w:rsidR="000E478E">
              <w:rPr>
                <w:color w:val="4472C4"/>
                <w:kern w:val="2"/>
                <w:szCs w:val="24"/>
              </w:rPr>
              <w:t>tūkstan</w:t>
            </w:r>
            <w:r w:rsidR="004D02B9">
              <w:rPr>
                <w:color w:val="4472C4"/>
                <w:kern w:val="2"/>
                <w:szCs w:val="24"/>
              </w:rPr>
              <w:t>tis</w:t>
            </w:r>
            <w:r w:rsidR="000E478E">
              <w:rPr>
                <w:color w:val="4472C4"/>
                <w:kern w:val="2"/>
                <w:szCs w:val="24"/>
              </w:rPr>
              <w:t xml:space="preserve"> </w:t>
            </w:r>
            <w:r w:rsidR="004D02B9">
              <w:rPr>
                <w:color w:val="4472C4"/>
                <w:kern w:val="2"/>
                <w:szCs w:val="24"/>
              </w:rPr>
              <w:t>keturi</w:t>
            </w:r>
            <w:r w:rsidR="000E478E">
              <w:rPr>
                <w:color w:val="4472C4"/>
                <w:kern w:val="2"/>
                <w:szCs w:val="24"/>
              </w:rPr>
              <w:t xml:space="preserve"> šimtai </w:t>
            </w:r>
            <w:r w:rsidR="004D02B9">
              <w:rPr>
                <w:color w:val="4472C4"/>
                <w:kern w:val="2"/>
                <w:szCs w:val="24"/>
              </w:rPr>
              <w:t>aštuoniasdešimt penki</w:t>
            </w:r>
            <w:r w:rsidR="000E478E">
              <w:rPr>
                <w:color w:val="4472C4"/>
                <w:kern w:val="2"/>
                <w:szCs w:val="24"/>
              </w:rPr>
              <w:t xml:space="preserve"> Eur 00 ct</w:t>
            </w:r>
            <w:r w:rsidRPr="00997C1C">
              <w:rPr>
                <w:color w:val="4472C4"/>
                <w:kern w:val="2"/>
                <w:szCs w:val="24"/>
              </w:rPr>
              <w:t>)</w:t>
            </w:r>
            <w:r w:rsidRPr="00997C1C">
              <w:rPr>
                <w:kern w:val="2"/>
                <w:szCs w:val="24"/>
              </w:rPr>
              <w:t>.</w:t>
            </w:r>
          </w:p>
          <w:p w14:paraId="332952C1" w14:textId="0326481F" w:rsidR="005A5832" w:rsidRPr="00997C1C" w:rsidRDefault="00A10867">
            <w:pPr>
              <w:rPr>
                <w:kern w:val="2"/>
                <w:szCs w:val="24"/>
              </w:rPr>
            </w:pPr>
            <w:r w:rsidRPr="00997C1C">
              <w:rPr>
                <w:kern w:val="2"/>
                <w:szCs w:val="24"/>
              </w:rPr>
              <w:t xml:space="preserve">Sutarties </w:t>
            </w:r>
            <w:r w:rsidRPr="003B6840">
              <w:rPr>
                <w:kern w:val="2"/>
                <w:szCs w:val="24"/>
              </w:rPr>
              <w:t xml:space="preserve">kaina yra </w:t>
            </w:r>
            <w:r w:rsidR="00293279">
              <w:rPr>
                <w:b/>
                <w:bCs/>
                <w:color w:val="000000"/>
                <w:szCs w:val="24"/>
              </w:rPr>
              <w:t>3</w:t>
            </w:r>
            <w:r w:rsidR="00293279">
              <w:rPr>
                <w:b/>
                <w:bCs/>
              </w:rPr>
              <w:t>1185</w:t>
            </w:r>
            <w:r w:rsidR="003B6840" w:rsidRPr="003B6840">
              <w:rPr>
                <w:b/>
                <w:bCs/>
                <w:color w:val="000000"/>
                <w:szCs w:val="24"/>
              </w:rPr>
              <w:t xml:space="preserve">,00 </w:t>
            </w:r>
            <w:r w:rsidRPr="003B6840">
              <w:rPr>
                <w:kern w:val="2"/>
                <w:szCs w:val="24"/>
              </w:rPr>
              <w:t>Eur</w:t>
            </w:r>
            <w:r w:rsidRPr="00997C1C">
              <w:rPr>
                <w:kern w:val="2"/>
                <w:szCs w:val="24"/>
              </w:rPr>
              <w:t xml:space="preserve"> </w:t>
            </w:r>
            <w:r w:rsidRPr="00997C1C">
              <w:rPr>
                <w:color w:val="4472C4"/>
                <w:kern w:val="2"/>
                <w:szCs w:val="24"/>
              </w:rPr>
              <w:t>(</w:t>
            </w:r>
            <w:r w:rsidR="004D02B9">
              <w:rPr>
                <w:color w:val="4472C4"/>
                <w:kern w:val="2"/>
                <w:szCs w:val="24"/>
              </w:rPr>
              <w:t>trisdešimt vienas tūkstantis šimtas aštuon</w:t>
            </w:r>
            <w:r w:rsidR="0017160E">
              <w:rPr>
                <w:color w:val="4472C4"/>
                <w:kern w:val="2"/>
                <w:szCs w:val="24"/>
              </w:rPr>
              <w:t xml:space="preserve">iasdešimt </w:t>
            </w:r>
            <w:r w:rsidR="004D02B9">
              <w:rPr>
                <w:color w:val="4472C4"/>
                <w:kern w:val="2"/>
                <w:szCs w:val="24"/>
              </w:rPr>
              <w:t>penki</w:t>
            </w:r>
            <w:r w:rsidR="0017160E">
              <w:rPr>
                <w:color w:val="4472C4"/>
                <w:kern w:val="2"/>
                <w:szCs w:val="24"/>
              </w:rPr>
              <w:t xml:space="preserve"> Eur 00 ct</w:t>
            </w:r>
            <w:r w:rsidRPr="00997C1C">
              <w:rPr>
                <w:color w:val="4472C4"/>
                <w:kern w:val="2"/>
                <w:szCs w:val="24"/>
              </w:rPr>
              <w:t>)</w:t>
            </w:r>
            <w:r w:rsidR="0017160E">
              <w:rPr>
                <w:color w:val="4472C4"/>
                <w:kern w:val="2"/>
                <w:szCs w:val="24"/>
              </w:rPr>
              <w:t xml:space="preserve"> </w:t>
            </w:r>
            <w:r w:rsidRPr="00997C1C">
              <w:rPr>
                <w:kern w:val="2"/>
                <w:szCs w:val="24"/>
              </w:rPr>
              <w:t>su PVM.</w:t>
            </w:r>
          </w:p>
          <w:p w14:paraId="065283EE" w14:textId="41C0E4C9" w:rsidR="005A5832" w:rsidRPr="00997C1C" w:rsidRDefault="00A10867">
            <w:pPr>
              <w:rPr>
                <w:color w:val="000000"/>
                <w:kern w:val="2"/>
                <w:szCs w:val="24"/>
              </w:rPr>
            </w:pPr>
            <w:r w:rsidRPr="00997C1C">
              <w:rPr>
                <w:color w:val="000000"/>
                <w:kern w:val="2"/>
                <w:szCs w:val="24"/>
              </w:rPr>
              <w:t xml:space="preserve">Šioje Sutartyje Pradinės Sutarties vertė yra lygi 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997C1C">
              <w:rPr>
                <w:color w:val="4472C4"/>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 xml:space="preserve">5.3.4. Sutarties įkainių peržiūra dėl kainų lygio </w:t>
            </w:r>
            <w:r>
              <w:rPr>
                <w:b/>
                <w:bCs/>
                <w:kern w:val="2"/>
                <w:szCs w:val="24"/>
              </w:rPr>
              <w:lastRenderedPageBreak/>
              <w:t>pokyčio pagal Prekių grupių kainų pokyčius</w:t>
            </w:r>
          </w:p>
        </w:tc>
        <w:tc>
          <w:tcPr>
            <w:tcW w:w="6831" w:type="dxa"/>
            <w:gridSpan w:val="2"/>
          </w:tcPr>
          <w:p w14:paraId="7893DB32" w14:textId="00F2B9AC" w:rsidR="005A5832" w:rsidRDefault="00A10867">
            <w:pPr>
              <w:rPr>
                <w:kern w:val="2"/>
                <w:szCs w:val="24"/>
              </w:rPr>
            </w:pPr>
            <w:r>
              <w:rPr>
                <w:kern w:val="2"/>
                <w:szCs w:val="24"/>
              </w:rPr>
              <w:lastRenderedPageBreak/>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A07D6">
        <w:trPr>
          <w:trHeight w:val="1163"/>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 xml:space="preserve">6.3. </w:t>
            </w:r>
            <w:r w:rsidRPr="0030452C">
              <w:rPr>
                <w:b/>
                <w:bCs/>
                <w:kern w:val="2"/>
                <w:szCs w:val="24"/>
              </w:rPr>
              <w:t>Prekių galiojimas</w:t>
            </w:r>
          </w:p>
        </w:tc>
        <w:tc>
          <w:tcPr>
            <w:tcW w:w="6831" w:type="dxa"/>
            <w:gridSpan w:val="2"/>
          </w:tcPr>
          <w:p w14:paraId="2FAAF539" w14:textId="336F35F8" w:rsidR="00D776FF" w:rsidRDefault="002B69A6">
            <w:pPr>
              <w:rPr>
                <w:kern w:val="2"/>
                <w:szCs w:val="24"/>
              </w:rPr>
            </w:pPr>
            <w:r>
              <w:rPr>
                <w:kern w:val="2"/>
                <w:szCs w:val="24"/>
              </w:rPr>
              <w:t xml:space="preserve">1 p.d. - </w:t>
            </w:r>
            <w:r w:rsidR="008B72FF">
              <w:rPr>
                <w:kern w:val="2"/>
                <w:szCs w:val="24"/>
              </w:rPr>
              <w:t>r</w:t>
            </w:r>
            <w:r w:rsidRPr="002B69A6">
              <w:rPr>
                <w:kern w:val="2"/>
                <w:szCs w:val="24"/>
              </w:rPr>
              <w:t xml:space="preserve">eagentų galiojimo terminas ne trumpesnis kaip </w:t>
            </w:r>
            <w:r w:rsidR="00912D24">
              <w:rPr>
                <w:kern w:val="2"/>
                <w:szCs w:val="24"/>
              </w:rPr>
              <w:t>4</w:t>
            </w:r>
            <w:r w:rsidRPr="002B69A6">
              <w:rPr>
                <w:kern w:val="2"/>
                <w:szCs w:val="24"/>
              </w:rPr>
              <w:t xml:space="preserve"> mėnesiai nuo pristatymo dienos</w:t>
            </w:r>
            <w:r>
              <w:rPr>
                <w:kern w:val="2"/>
                <w:szCs w:val="24"/>
              </w:rPr>
              <w:t>;</w:t>
            </w:r>
          </w:p>
          <w:p w14:paraId="0A553763" w14:textId="369209B4" w:rsidR="002B69A6" w:rsidRDefault="002B69A6">
            <w:pPr>
              <w:rPr>
                <w:kern w:val="2"/>
                <w:szCs w:val="24"/>
              </w:rPr>
            </w:pPr>
            <w:r>
              <w:rPr>
                <w:kern w:val="2"/>
                <w:szCs w:val="24"/>
              </w:rPr>
              <w:t xml:space="preserve">2 p.d. - </w:t>
            </w:r>
            <w:r w:rsidR="008B72FF">
              <w:rPr>
                <w:kern w:val="2"/>
                <w:szCs w:val="24"/>
              </w:rPr>
              <w:t>r</w:t>
            </w:r>
            <w:r w:rsidRPr="002B69A6">
              <w:rPr>
                <w:kern w:val="2"/>
                <w:szCs w:val="24"/>
              </w:rPr>
              <w:t xml:space="preserve">eagentų galiojimo terminas ne trumpesnis kaip </w:t>
            </w:r>
            <w:r w:rsidR="006F50D5">
              <w:rPr>
                <w:kern w:val="2"/>
                <w:szCs w:val="24"/>
              </w:rPr>
              <w:t>6</w:t>
            </w:r>
            <w:r w:rsidRPr="002B69A6">
              <w:rPr>
                <w:kern w:val="2"/>
                <w:szCs w:val="24"/>
              </w:rPr>
              <w:t xml:space="preserve"> mėnesiai nuo pristatymo dienos</w:t>
            </w:r>
            <w:r>
              <w:rPr>
                <w:kern w:val="2"/>
                <w:szCs w:val="24"/>
              </w:rPr>
              <w:t>;</w:t>
            </w:r>
          </w:p>
          <w:p w14:paraId="541D89D0" w14:textId="372B7BF5" w:rsidR="002B69A6" w:rsidRDefault="002B69A6">
            <w:pPr>
              <w:rPr>
                <w:kern w:val="2"/>
                <w:szCs w:val="24"/>
              </w:rPr>
            </w:pPr>
            <w:r>
              <w:rPr>
                <w:kern w:val="2"/>
                <w:szCs w:val="24"/>
              </w:rPr>
              <w:t xml:space="preserve">3 p.d. - </w:t>
            </w:r>
            <w:r w:rsidR="001F27F3">
              <w:rPr>
                <w:kern w:val="2"/>
                <w:szCs w:val="24"/>
              </w:rPr>
              <w:t>r</w:t>
            </w:r>
            <w:r w:rsidR="001F27F3" w:rsidRPr="001F27F3">
              <w:rPr>
                <w:kern w:val="2"/>
                <w:szCs w:val="24"/>
              </w:rPr>
              <w:t xml:space="preserve">eagentų galiojimo terminas ne trumpesnis kaip </w:t>
            </w:r>
            <w:r w:rsidR="00530A20">
              <w:rPr>
                <w:kern w:val="2"/>
                <w:szCs w:val="24"/>
              </w:rPr>
              <w:t>6</w:t>
            </w:r>
            <w:r w:rsidR="001F27F3" w:rsidRPr="001F27F3">
              <w:rPr>
                <w:kern w:val="2"/>
                <w:szCs w:val="24"/>
              </w:rPr>
              <w:t xml:space="preserve"> mėnesiai nuo pristatymo dienos</w:t>
            </w:r>
            <w:r w:rsidR="001F27F3">
              <w:rPr>
                <w:kern w:val="2"/>
                <w:szCs w:val="24"/>
              </w:rPr>
              <w:t>;</w:t>
            </w:r>
          </w:p>
          <w:p w14:paraId="4F3B31D8" w14:textId="77777777" w:rsidR="001F27F3" w:rsidRDefault="001F27F3">
            <w:pPr>
              <w:rPr>
                <w:kern w:val="2"/>
                <w:szCs w:val="24"/>
              </w:rPr>
            </w:pPr>
            <w:r>
              <w:rPr>
                <w:kern w:val="2"/>
                <w:szCs w:val="24"/>
              </w:rPr>
              <w:t xml:space="preserve">4 p.d. - </w:t>
            </w:r>
            <w:r w:rsidR="00795015">
              <w:rPr>
                <w:kern w:val="2"/>
                <w:szCs w:val="24"/>
              </w:rPr>
              <w:t>r</w:t>
            </w:r>
            <w:r w:rsidR="00795015" w:rsidRPr="00795015">
              <w:rPr>
                <w:kern w:val="2"/>
                <w:szCs w:val="24"/>
              </w:rPr>
              <w:t>eagentų galiojimo terminas ne trumpesnis kaip 6 mėnesiai nuo pristatymo dienos</w:t>
            </w:r>
            <w:r w:rsidR="00795015">
              <w:rPr>
                <w:kern w:val="2"/>
                <w:szCs w:val="24"/>
              </w:rPr>
              <w:t>;</w:t>
            </w:r>
          </w:p>
          <w:p w14:paraId="7659CC8A" w14:textId="72A43384" w:rsidR="00795015" w:rsidRDefault="00795015">
            <w:pPr>
              <w:rPr>
                <w:kern w:val="2"/>
                <w:szCs w:val="24"/>
              </w:rPr>
            </w:pPr>
            <w:r>
              <w:rPr>
                <w:kern w:val="2"/>
                <w:szCs w:val="24"/>
              </w:rPr>
              <w:t xml:space="preserve">5 p.d. - </w:t>
            </w:r>
            <w:r w:rsidR="0035104E">
              <w:rPr>
                <w:kern w:val="2"/>
                <w:szCs w:val="24"/>
              </w:rPr>
              <w:t>r</w:t>
            </w:r>
            <w:r w:rsidR="0035104E" w:rsidRPr="0035104E">
              <w:rPr>
                <w:kern w:val="2"/>
                <w:szCs w:val="24"/>
              </w:rPr>
              <w:t xml:space="preserve">eagentų galiojimo terminas ne trumpesnis kaip </w:t>
            </w:r>
            <w:r w:rsidR="00366F72">
              <w:rPr>
                <w:kern w:val="2"/>
                <w:szCs w:val="24"/>
              </w:rPr>
              <w:t>6</w:t>
            </w:r>
            <w:r w:rsidR="0035104E" w:rsidRPr="0035104E">
              <w:rPr>
                <w:kern w:val="2"/>
                <w:szCs w:val="24"/>
              </w:rPr>
              <w:t xml:space="preserve"> mėnesiai nuo pristatymo dienos</w:t>
            </w:r>
            <w:r w:rsidR="00E07587">
              <w:rPr>
                <w:kern w:val="2"/>
                <w:szCs w:val="24"/>
              </w:rPr>
              <w:t>;</w:t>
            </w:r>
          </w:p>
          <w:p w14:paraId="753C958D" w14:textId="7A623E04" w:rsidR="00E07587" w:rsidRDefault="00E07587" w:rsidP="00E07587">
            <w:pPr>
              <w:rPr>
                <w:kern w:val="2"/>
                <w:szCs w:val="24"/>
              </w:rPr>
            </w:pPr>
            <w:r>
              <w:rPr>
                <w:kern w:val="2"/>
                <w:szCs w:val="24"/>
              </w:rPr>
              <w:t>6 p.d. – r</w:t>
            </w:r>
            <w:r w:rsidRPr="0035104E">
              <w:rPr>
                <w:kern w:val="2"/>
                <w:szCs w:val="24"/>
              </w:rPr>
              <w:t xml:space="preserve">eagentų galiojimo terminas ne trumpesnis kaip </w:t>
            </w:r>
            <w:r w:rsidR="00A96615">
              <w:rPr>
                <w:kern w:val="2"/>
                <w:szCs w:val="24"/>
              </w:rPr>
              <w:t>6</w:t>
            </w:r>
            <w:r w:rsidRPr="0035104E">
              <w:rPr>
                <w:kern w:val="2"/>
                <w:szCs w:val="24"/>
              </w:rPr>
              <w:t xml:space="preserve"> mėnesiai nuo pristatymo dienos</w:t>
            </w:r>
            <w:r>
              <w:rPr>
                <w:kern w:val="2"/>
                <w:szCs w:val="24"/>
              </w:rPr>
              <w:t>;</w:t>
            </w:r>
          </w:p>
          <w:p w14:paraId="33F1AA37" w14:textId="326E60C1" w:rsidR="00E07587" w:rsidRPr="00A95F85" w:rsidRDefault="00E07587">
            <w:pPr>
              <w:rPr>
                <w:kern w:val="2"/>
                <w:szCs w:val="24"/>
              </w:rPr>
            </w:pPr>
            <w:r>
              <w:rPr>
                <w:kern w:val="2"/>
                <w:szCs w:val="24"/>
              </w:rPr>
              <w:t>7 p.d. - r</w:t>
            </w:r>
            <w:r w:rsidRPr="0035104E">
              <w:rPr>
                <w:kern w:val="2"/>
                <w:szCs w:val="24"/>
              </w:rPr>
              <w:t xml:space="preserve">eagentų galiojimo terminas ne trumpesnis kaip </w:t>
            </w:r>
            <w:r w:rsidR="008E1EA9">
              <w:rPr>
                <w:kern w:val="2"/>
                <w:szCs w:val="24"/>
              </w:rPr>
              <w:t>6</w:t>
            </w:r>
            <w:r w:rsidRPr="0035104E">
              <w:rPr>
                <w:kern w:val="2"/>
                <w:szCs w:val="24"/>
              </w:rPr>
              <w:t xml:space="preserve"> mėnesiai nuo pristatymo dienos</w:t>
            </w:r>
            <w:r>
              <w:rPr>
                <w:kern w:val="2"/>
                <w:szCs w:val="24"/>
              </w:rPr>
              <w:t>.</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Pr="004D03E9" w:rsidRDefault="00A10867">
            <w:pPr>
              <w:rPr>
                <w:b/>
                <w:bCs/>
                <w:kern w:val="2"/>
                <w:szCs w:val="24"/>
              </w:rPr>
            </w:pPr>
            <w:r w:rsidRPr="004D03E9">
              <w:rPr>
                <w:b/>
                <w:bCs/>
                <w:kern w:val="2"/>
                <w:szCs w:val="24"/>
              </w:rPr>
              <w:t>Sutarties vykdymui pasitelkiami subtiekėjai ir (ar) specialistai</w:t>
            </w:r>
          </w:p>
        </w:tc>
        <w:tc>
          <w:tcPr>
            <w:tcW w:w="6831" w:type="dxa"/>
            <w:gridSpan w:val="2"/>
          </w:tcPr>
          <w:p w14:paraId="100A011A" w14:textId="39F8417F" w:rsidR="005A5832" w:rsidRPr="004D03E9" w:rsidRDefault="00A10867">
            <w:pPr>
              <w:rPr>
                <w:b/>
                <w:bCs/>
                <w:kern w:val="2"/>
                <w:szCs w:val="24"/>
              </w:rPr>
            </w:pPr>
            <w:r w:rsidRPr="004D03E9">
              <w:rPr>
                <w:kern w:val="2"/>
                <w:szCs w:val="24"/>
              </w:rPr>
              <w:t xml:space="preserve">Sutarties vykdymui pasitelkiami subtiekėjai ir (ar) specialistai yra nurodyti Sutarties priede Nr. </w:t>
            </w:r>
            <w:r w:rsidR="00A528F7" w:rsidRPr="004D03E9">
              <w:rPr>
                <w:kern w:val="2"/>
                <w:szCs w:val="24"/>
              </w:rPr>
              <w:t xml:space="preserve">[3] </w:t>
            </w:r>
            <w:r w:rsidRPr="004D03E9">
              <w:rPr>
                <w:kern w:val="2"/>
                <w:szCs w:val="24"/>
              </w:rPr>
              <w:t>„Sutarties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2A1AE29E"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w:t>
            </w:r>
            <w:r w:rsidR="00F370F5">
              <w:rPr>
                <w:color w:val="000000"/>
                <w:kern w:val="2"/>
                <w:szCs w:val="24"/>
              </w:rPr>
              <w:t xml:space="preserve"> </w:t>
            </w:r>
            <w:r>
              <w:rPr>
                <w:color w:val="000000"/>
                <w:kern w:val="2"/>
                <w:szCs w:val="24"/>
              </w:rPr>
              <w:t>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3BD607A8"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w:t>
            </w:r>
            <w:r>
              <w:rPr>
                <w:b/>
                <w:bCs/>
                <w:kern w:val="2"/>
                <w:szCs w:val="24"/>
              </w:rPr>
              <w:lastRenderedPageBreak/>
              <w:t>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lastRenderedPageBreak/>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943198">
        <w:trPr>
          <w:trHeight w:val="695"/>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56AAEB4D"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w:t>
            </w:r>
            <w:r>
              <w:rPr>
                <w:kern w:val="2"/>
                <w:shd w:val="clear" w:color="auto" w:fill="FFFFFF"/>
              </w:rPr>
              <w:lastRenderedPageBreak/>
              <w:t xml:space="preserve">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689BCABC"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165526">
              <w:rPr>
                <w:kern w:val="2"/>
                <w:szCs w:val="24"/>
              </w:rPr>
              <w:t>20</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9C180A">
        <w:trPr>
          <w:trHeight w:val="1412"/>
        </w:trPr>
        <w:tc>
          <w:tcPr>
            <w:tcW w:w="4788" w:type="dxa"/>
            <w:gridSpan w:val="3"/>
          </w:tcPr>
          <w:p w14:paraId="7F419FA6" w14:textId="5D902C34" w:rsidR="00261184" w:rsidRPr="00261184" w:rsidRDefault="00261184" w:rsidP="005950F9">
            <w:pPr>
              <w:jc w:val="center"/>
              <w:rPr>
                <w:b/>
                <w:bCs/>
              </w:rPr>
            </w:pPr>
            <w:r w:rsidRPr="00261184">
              <w:rPr>
                <w:b/>
                <w:bCs/>
              </w:rPr>
              <w:t>Nacionalinė visuomenės sveikatos priežiūros laboratorija</w:t>
            </w:r>
          </w:p>
          <w:p w14:paraId="37AC883A" w14:textId="2A7C57D0" w:rsidR="00153FBF" w:rsidRDefault="00153FBF" w:rsidP="005950F9">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390714DE" w14:textId="2CA75638" w:rsidR="008210A8" w:rsidRPr="006E03FE" w:rsidRDefault="00847C5E">
            <w:pPr>
              <w:jc w:val="center"/>
              <w:rPr>
                <w:b/>
                <w:bCs/>
                <w:kern w:val="2"/>
                <w:szCs w:val="24"/>
              </w:rPr>
            </w:pPr>
            <w:r w:rsidRPr="006E03FE">
              <w:rPr>
                <w:b/>
                <w:bCs/>
                <w:kern w:val="2"/>
                <w:szCs w:val="24"/>
              </w:rPr>
              <w:t>UAB „</w:t>
            </w:r>
            <w:r w:rsidR="00C8043B">
              <w:rPr>
                <w:b/>
                <w:bCs/>
                <w:kern w:val="2"/>
                <w:szCs w:val="24"/>
              </w:rPr>
              <w:t>Werfen LT</w:t>
            </w:r>
            <w:r w:rsidRPr="006E03FE">
              <w:rPr>
                <w:b/>
                <w:bCs/>
                <w:kern w:val="2"/>
                <w:szCs w:val="24"/>
              </w:rPr>
              <w:t>“</w:t>
            </w:r>
          </w:p>
          <w:p w14:paraId="67CF17FF" w14:textId="77777777" w:rsidR="008210A8" w:rsidRPr="006E03FE" w:rsidRDefault="008210A8" w:rsidP="008210A8">
            <w:pPr>
              <w:rPr>
                <w:kern w:val="2"/>
                <w:szCs w:val="24"/>
              </w:rPr>
            </w:pPr>
          </w:p>
          <w:p w14:paraId="1584397C" w14:textId="4D8C62F8" w:rsidR="005A5832" w:rsidRPr="006E03FE" w:rsidRDefault="00C8043B">
            <w:pPr>
              <w:jc w:val="center"/>
              <w:rPr>
                <w:kern w:val="2"/>
                <w:szCs w:val="24"/>
              </w:rPr>
            </w:pPr>
            <w:r>
              <w:rPr>
                <w:kern w:val="2"/>
                <w:szCs w:val="24"/>
              </w:rPr>
              <w:t>Generalinis d</w:t>
            </w:r>
            <w:r w:rsidR="00B86184" w:rsidRPr="006E03FE">
              <w:rPr>
                <w:kern w:val="2"/>
                <w:szCs w:val="24"/>
              </w:rPr>
              <w:t>irektorius</w:t>
            </w:r>
          </w:p>
          <w:p w14:paraId="64B4EEAC" w14:textId="2C8A5F72" w:rsidR="00B86184" w:rsidRPr="00B86184" w:rsidRDefault="00C8043B">
            <w:pPr>
              <w:jc w:val="center"/>
              <w:rPr>
                <w:kern w:val="2"/>
                <w:szCs w:val="24"/>
              </w:rPr>
            </w:pPr>
            <w:r>
              <w:rPr>
                <w:kern w:val="2"/>
                <w:szCs w:val="24"/>
              </w:rPr>
              <w:t>Šarūnas Saudargas</w:t>
            </w:r>
          </w:p>
        </w:tc>
      </w:tr>
      <w:tr w:rsidR="005A5832" w14:paraId="0B2E258F" w14:textId="77777777">
        <w:tc>
          <w:tcPr>
            <w:tcW w:w="4788" w:type="dxa"/>
            <w:gridSpan w:val="3"/>
          </w:tcPr>
          <w:p w14:paraId="45ED22E7" w14:textId="64125A6D" w:rsidR="005A5832" w:rsidRDefault="00A10867" w:rsidP="00CB1AB9">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1915225F" w:rsidR="005A5832" w:rsidRDefault="00A10867">
      <w:pPr>
        <w:jc w:val="center"/>
        <w:rPr>
          <w:szCs w:val="24"/>
        </w:rPr>
      </w:pPr>
      <w:r>
        <w:rPr>
          <w:color w:val="000000"/>
          <w:szCs w:val="24"/>
        </w:rPr>
        <w:t>______________</w:t>
      </w:r>
    </w:p>
    <w:sectPr w:rsidR="005A5832" w:rsidSect="00A1261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AC2B" w14:textId="77777777" w:rsidR="00837832" w:rsidRDefault="00837832">
      <w:pPr>
        <w:rPr>
          <w:kern w:val="2"/>
          <w:sz w:val="22"/>
          <w:szCs w:val="22"/>
          <w:lang w:val="en-US"/>
        </w:rPr>
      </w:pPr>
      <w:r>
        <w:rPr>
          <w:kern w:val="2"/>
          <w:sz w:val="22"/>
          <w:szCs w:val="22"/>
          <w:lang w:val="en-US"/>
        </w:rPr>
        <w:separator/>
      </w:r>
    </w:p>
  </w:endnote>
  <w:endnote w:type="continuationSeparator" w:id="0">
    <w:p w14:paraId="1AA39593" w14:textId="77777777" w:rsidR="00837832" w:rsidRDefault="00837832">
      <w:pPr>
        <w:rPr>
          <w:kern w:val="2"/>
          <w:sz w:val="22"/>
          <w:szCs w:val="22"/>
          <w:lang w:val="en-US"/>
        </w:rPr>
      </w:pPr>
      <w:r>
        <w:rPr>
          <w:kern w:val="2"/>
          <w:sz w:val="22"/>
          <w:szCs w:val="22"/>
          <w:lang w:val="en-US"/>
        </w:rPr>
        <w:continuationSeparator/>
      </w:r>
    </w:p>
  </w:endnote>
  <w:endnote w:type="continuationNotice" w:id="1">
    <w:p w14:paraId="78467F01" w14:textId="77777777" w:rsidR="00837832" w:rsidRDefault="00837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7E54" w14:textId="77777777" w:rsidR="00837832" w:rsidRDefault="00837832">
      <w:pPr>
        <w:rPr>
          <w:kern w:val="2"/>
          <w:sz w:val="22"/>
          <w:szCs w:val="22"/>
          <w:lang w:val="en-US"/>
        </w:rPr>
      </w:pPr>
      <w:r>
        <w:rPr>
          <w:kern w:val="2"/>
          <w:sz w:val="22"/>
          <w:szCs w:val="22"/>
          <w:lang w:val="en-US"/>
        </w:rPr>
        <w:separator/>
      </w:r>
    </w:p>
  </w:footnote>
  <w:footnote w:type="continuationSeparator" w:id="0">
    <w:p w14:paraId="34D5F3C5" w14:textId="77777777" w:rsidR="00837832" w:rsidRDefault="00837832">
      <w:pPr>
        <w:rPr>
          <w:kern w:val="2"/>
          <w:sz w:val="22"/>
          <w:szCs w:val="22"/>
          <w:lang w:val="en-US"/>
        </w:rPr>
      </w:pPr>
      <w:r>
        <w:rPr>
          <w:kern w:val="2"/>
          <w:sz w:val="22"/>
          <w:szCs w:val="22"/>
          <w:lang w:val="en-US"/>
        </w:rPr>
        <w:continuationSeparator/>
      </w:r>
    </w:p>
  </w:footnote>
  <w:footnote w:type="continuationNotice" w:id="1">
    <w:p w14:paraId="7D79FDEE" w14:textId="77777777" w:rsidR="00837832" w:rsidRDefault="00837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3558A"/>
    <w:rsid w:val="00041CFF"/>
    <w:rsid w:val="00051A62"/>
    <w:rsid w:val="00053701"/>
    <w:rsid w:val="00066D21"/>
    <w:rsid w:val="00071EF4"/>
    <w:rsid w:val="00076A1E"/>
    <w:rsid w:val="0008338A"/>
    <w:rsid w:val="0008665A"/>
    <w:rsid w:val="000B2345"/>
    <w:rsid w:val="000C1304"/>
    <w:rsid w:val="000D36C0"/>
    <w:rsid w:val="000E478E"/>
    <w:rsid w:val="000E4AEF"/>
    <w:rsid w:val="000F4961"/>
    <w:rsid w:val="00102093"/>
    <w:rsid w:val="00106CEF"/>
    <w:rsid w:val="00113C0D"/>
    <w:rsid w:val="0012060D"/>
    <w:rsid w:val="001223D9"/>
    <w:rsid w:val="0012390D"/>
    <w:rsid w:val="00140C78"/>
    <w:rsid w:val="00147B50"/>
    <w:rsid w:val="00147E3A"/>
    <w:rsid w:val="00153FBF"/>
    <w:rsid w:val="00155B90"/>
    <w:rsid w:val="00156384"/>
    <w:rsid w:val="00156876"/>
    <w:rsid w:val="00165526"/>
    <w:rsid w:val="0017160E"/>
    <w:rsid w:val="00174A1F"/>
    <w:rsid w:val="001A18B0"/>
    <w:rsid w:val="001A3ADC"/>
    <w:rsid w:val="001B11CC"/>
    <w:rsid w:val="001C7656"/>
    <w:rsid w:val="001F0C29"/>
    <w:rsid w:val="001F27A0"/>
    <w:rsid w:val="001F27F3"/>
    <w:rsid w:val="001F3386"/>
    <w:rsid w:val="00207D92"/>
    <w:rsid w:val="0023257F"/>
    <w:rsid w:val="00242C51"/>
    <w:rsid w:val="00246A0A"/>
    <w:rsid w:val="00254661"/>
    <w:rsid w:val="00256B1A"/>
    <w:rsid w:val="002607B3"/>
    <w:rsid w:val="00261184"/>
    <w:rsid w:val="00262511"/>
    <w:rsid w:val="00275252"/>
    <w:rsid w:val="00293279"/>
    <w:rsid w:val="00293CF9"/>
    <w:rsid w:val="00294E6A"/>
    <w:rsid w:val="002A0DCA"/>
    <w:rsid w:val="002A3933"/>
    <w:rsid w:val="002A54A1"/>
    <w:rsid w:val="002B69A6"/>
    <w:rsid w:val="002C08A7"/>
    <w:rsid w:val="002C5D45"/>
    <w:rsid w:val="002D5E3A"/>
    <w:rsid w:val="002D762A"/>
    <w:rsid w:val="002E3456"/>
    <w:rsid w:val="002E5DE7"/>
    <w:rsid w:val="002F0F4A"/>
    <w:rsid w:val="002F3D92"/>
    <w:rsid w:val="00300428"/>
    <w:rsid w:val="0030452C"/>
    <w:rsid w:val="003105CE"/>
    <w:rsid w:val="00313298"/>
    <w:rsid w:val="0031479C"/>
    <w:rsid w:val="00316F84"/>
    <w:rsid w:val="003256B5"/>
    <w:rsid w:val="00335F15"/>
    <w:rsid w:val="00337181"/>
    <w:rsid w:val="0035104E"/>
    <w:rsid w:val="00351700"/>
    <w:rsid w:val="00366F72"/>
    <w:rsid w:val="003700AF"/>
    <w:rsid w:val="00397F1B"/>
    <w:rsid w:val="003A13BD"/>
    <w:rsid w:val="003A7412"/>
    <w:rsid w:val="003A7906"/>
    <w:rsid w:val="003B6840"/>
    <w:rsid w:val="003C1464"/>
    <w:rsid w:val="003D6B28"/>
    <w:rsid w:val="003E013A"/>
    <w:rsid w:val="003E454F"/>
    <w:rsid w:val="003E61BE"/>
    <w:rsid w:val="003F1B2C"/>
    <w:rsid w:val="003F6B90"/>
    <w:rsid w:val="004016F4"/>
    <w:rsid w:val="00413D6B"/>
    <w:rsid w:val="00432799"/>
    <w:rsid w:val="0044049C"/>
    <w:rsid w:val="004435D6"/>
    <w:rsid w:val="00446627"/>
    <w:rsid w:val="00454493"/>
    <w:rsid w:val="0046177E"/>
    <w:rsid w:val="0046315A"/>
    <w:rsid w:val="00470AAC"/>
    <w:rsid w:val="00470F7B"/>
    <w:rsid w:val="00473F36"/>
    <w:rsid w:val="00476009"/>
    <w:rsid w:val="004767E0"/>
    <w:rsid w:val="004902DE"/>
    <w:rsid w:val="004929E1"/>
    <w:rsid w:val="004A452A"/>
    <w:rsid w:val="004A5003"/>
    <w:rsid w:val="004B6246"/>
    <w:rsid w:val="004C27DA"/>
    <w:rsid w:val="004C7EF8"/>
    <w:rsid w:val="004D02B9"/>
    <w:rsid w:val="004D03E9"/>
    <w:rsid w:val="004D13EA"/>
    <w:rsid w:val="004D4375"/>
    <w:rsid w:val="004D7EBA"/>
    <w:rsid w:val="004F4DA1"/>
    <w:rsid w:val="004F7EA1"/>
    <w:rsid w:val="005133BD"/>
    <w:rsid w:val="00514F73"/>
    <w:rsid w:val="0052080B"/>
    <w:rsid w:val="00530A20"/>
    <w:rsid w:val="005476E6"/>
    <w:rsid w:val="00567105"/>
    <w:rsid w:val="00580095"/>
    <w:rsid w:val="005821A9"/>
    <w:rsid w:val="00592E91"/>
    <w:rsid w:val="00593343"/>
    <w:rsid w:val="005947EB"/>
    <w:rsid w:val="005950F9"/>
    <w:rsid w:val="005A052C"/>
    <w:rsid w:val="005A29F5"/>
    <w:rsid w:val="005A5832"/>
    <w:rsid w:val="005A6AF0"/>
    <w:rsid w:val="005B7A1D"/>
    <w:rsid w:val="005C5756"/>
    <w:rsid w:val="005D2DD9"/>
    <w:rsid w:val="005D308C"/>
    <w:rsid w:val="005D354F"/>
    <w:rsid w:val="005E26F4"/>
    <w:rsid w:val="005E4658"/>
    <w:rsid w:val="005E71CA"/>
    <w:rsid w:val="005E7ECE"/>
    <w:rsid w:val="005F1674"/>
    <w:rsid w:val="005F5B23"/>
    <w:rsid w:val="005F7942"/>
    <w:rsid w:val="005F7A5C"/>
    <w:rsid w:val="00604CA3"/>
    <w:rsid w:val="00606883"/>
    <w:rsid w:val="00623DBC"/>
    <w:rsid w:val="00630484"/>
    <w:rsid w:val="00644C31"/>
    <w:rsid w:val="00655F00"/>
    <w:rsid w:val="0065763C"/>
    <w:rsid w:val="00665891"/>
    <w:rsid w:val="0066591E"/>
    <w:rsid w:val="00672905"/>
    <w:rsid w:val="006741B7"/>
    <w:rsid w:val="00686198"/>
    <w:rsid w:val="006935BC"/>
    <w:rsid w:val="006A3289"/>
    <w:rsid w:val="006A459E"/>
    <w:rsid w:val="006B39B9"/>
    <w:rsid w:val="006E03FE"/>
    <w:rsid w:val="006E3063"/>
    <w:rsid w:val="006E6E5B"/>
    <w:rsid w:val="006F02D6"/>
    <w:rsid w:val="006F50D5"/>
    <w:rsid w:val="006F58E7"/>
    <w:rsid w:val="00705CEE"/>
    <w:rsid w:val="007061ED"/>
    <w:rsid w:val="007156F6"/>
    <w:rsid w:val="00725C6D"/>
    <w:rsid w:val="007448A2"/>
    <w:rsid w:val="00745596"/>
    <w:rsid w:val="00747609"/>
    <w:rsid w:val="00750CE9"/>
    <w:rsid w:val="0075207D"/>
    <w:rsid w:val="00762BC5"/>
    <w:rsid w:val="00764D38"/>
    <w:rsid w:val="00765EF2"/>
    <w:rsid w:val="00770126"/>
    <w:rsid w:val="00775BE9"/>
    <w:rsid w:val="00776394"/>
    <w:rsid w:val="007839D7"/>
    <w:rsid w:val="00795015"/>
    <w:rsid w:val="007A789D"/>
    <w:rsid w:val="007B08CB"/>
    <w:rsid w:val="007B2FCB"/>
    <w:rsid w:val="007D0BCA"/>
    <w:rsid w:val="007D2F2C"/>
    <w:rsid w:val="007E1C9A"/>
    <w:rsid w:val="0081087B"/>
    <w:rsid w:val="00811A7D"/>
    <w:rsid w:val="00812A54"/>
    <w:rsid w:val="008173DC"/>
    <w:rsid w:val="008210A8"/>
    <w:rsid w:val="008212A8"/>
    <w:rsid w:val="00827A14"/>
    <w:rsid w:val="0083179C"/>
    <w:rsid w:val="008372F0"/>
    <w:rsid w:val="00837832"/>
    <w:rsid w:val="00847C5E"/>
    <w:rsid w:val="00847DE0"/>
    <w:rsid w:val="00850519"/>
    <w:rsid w:val="008513D9"/>
    <w:rsid w:val="00852174"/>
    <w:rsid w:val="008608D2"/>
    <w:rsid w:val="00865A2E"/>
    <w:rsid w:val="00867B07"/>
    <w:rsid w:val="008840D1"/>
    <w:rsid w:val="00884612"/>
    <w:rsid w:val="00887C04"/>
    <w:rsid w:val="0089350F"/>
    <w:rsid w:val="008A62DD"/>
    <w:rsid w:val="008B72FF"/>
    <w:rsid w:val="008D0F49"/>
    <w:rsid w:val="008E0A0D"/>
    <w:rsid w:val="008E1EA9"/>
    <w:rsid w:val="008E3BDB"/>
    <w:rsid w:val="008E5325"/>
    <w:rsid w:val="008F3D10"/>
    <w:rsid w:val="008F4511"/>
    <w:rsid w:val="008F64FC"/>
    <w:rsid w:val="008F70A4"/>
    <w:rsid w:val="009041B1"/>
    <w:rsid w:val="00906F67"/>
    <w:rsid w:val="00907BC7"/>
    <w:rsid w:val="00912D24"/>
    <w:rsid w:val="00920B35"/>
    <w:rsid w:val="00930A13"/>
    <w:rsid w:val="00941CC8"/>
    <w:rsid w:val="00943198"/>
    <w:rsid w:val="0095131A"/>
    <w:rsid w:val="00952911"/>
    <w:rsid w:val="0095416E"/>
    <w:rsid w:val="00954D6E"/>
    <w:rsid w:val="009576BB"/>
    <w:rsid w:val="00960570"/>
    <w:rsid w:val="009713F7"/>
    <w:rsid w:val="0097161A"/>
    <w:rsid w:val="00981274"/>
    <w:rsid w:val="00981CA9"/>
    <w:rsid w:val="00987336"/>
    <w:rsid w:val="009904D5"/>
    <w:rsid w:val="00990FBA"/>
    <w:rsid w:val="00997C1C"/>
    <w:rsid w:val="00997F76"/>
    <w:rsid w:val="009C180A"/>
    <w:rsid w:val="009D0A24"/>
    <w:rsid w:val="009D28A7"/>
    <w:rsid w:val="009D4BA4"/>
    <w:rsid w:val="009D4CAD"/>
    <w:rsid w:val="009F0F76"/>
    <w:rsid w:val="009F569D"/>
    <w:rsid w:val="009F5B79"/>
    <w:rsid w:val="009F7AA2"/>
    <w:rsid w:val="00A03021"/>
    <w:rsid w:val="00A10867"/>
    <w:rsid w:val="00A11CCF"/>
    <w:rsid w:val="00A12619"/>
    <w:rsid w:val="00A143F0"/>
    <w:rsid w:val="00A21DBA"/>
    <w:rsid w:val="00A30179"/>
    <w:rsid w:val="00A3042C"/>
    <w:rsid w:val="00A35759"/>
    <w:rsid w:val="00A37A3D"/>
    <w:rsid w:val="00A528F7"/>
    <w:rsid w:val="00A56E8E"/>
    <w:rsid w:val="00A73886"/>
    <w:rsid w:val="00A76D77"/>
    <w:rsid w:val="00A86EF2"/>
    <w:rsid w:val="00A90234"/>
    <w:rsid w:val="00A91BCB"/>
    <w:rsid w:val="00A9248C"/>
    <w:rsid w:val="00A9590E"/>
    <w:rsid w:val="00A95F85"/>
    <w:rsid w:val="00A96615"/>
    <w:rsid w:val="00A974F6"/>
    <w:rsid w:val="00AA209F"/>
    <w:rsid w:val="00AA2D5B"/>
    <w:rsid w:val="00AA710E"/>
    <w:rsid w:val="00AB4585"/>
    <w:rsid w:val="00AB6773"/>
    <w:rsid w:val="00AC1422"/>
    <w:rsid w:val="00AC24FA"/>
    <w:rsid w:val="00AC3188"/>
    <w:rsid w:val="00AC4B85"/>
    <w:rsid w:val="00AD169E"/>
    <w:rsid w:val="00AE4C53"/>
    <w:rsid w:val="00AE61A4"/>
    <w:rsid w:val="00AF15A1"/>
    <w:rsid w:val="00AF5CEF"/>
    <w:rsid w:val="00AF60F3"/>
    <w:rsid w:val="00AF745A"/>
    <w:rsid w:val="00B0254B"/>
    <w:rsid w:val="00B050AF"/>
    <w:rsid w:val="00B11825"/>
    <w:rsid w:val="00B1235D"/>
    <w:rsid w:val="00B13623"/>
    <w:rsid w:val="00B14570"/>
    <w:rsid w:val="00B20846"/>
    <w:rsid w:val="00B21251"/>
    <w:rsid w:val="00B64782"/>
    <w:rsid w:val="00B6787A"/>
    <w:rsid w:val="00B750A3"/>
    <w:rsid w:val="00B86184"/>
    <w:rsid w:val="00B86852"/>
    <w:rsid w:val="00B91AAC"/>
    <w:rsid w:val="00B91E56"/>
    <w:rsid w:val="00B932E9"/>
    <w:rsid w:val="00B96CE0"/>
    <w:rsid w:val="00BA007A"/>
    <w:rsid w:val="00BA0230"/>
    <w:rsid w:val="00BA455F"/>
    <w:rsid w:val="00BA6506"/>
    <w:rsid w:val="00BB4536"/>
    <w:rsid w:val="00BB506F"/>
    <w:rsid w:val="00BB6EEF"/>
    <w:rsid w:val="00BE06E7"/>
    <w:rsid w:val="00C067E7"/>
    <w:rsid w:val="00C17814"/>
    <w:rsid w:val="00C2316C"/>
    <w:rsid w:val="00C25E41"/>
    <w:rsid w:val="00C35CB8"/>
    <w:rsid w:val="00C42CEF"/>
    <w:rsid w:val="00C50923"/>
    <w:rsid w:val="00C50A66"/>
    <w:rsid w:val="00C53585"/>
    <w:rsid w:val="00C6094B"/>
    <w:rsid w:val="00C625DA"/>
    <w:rsid w:val="00C74B4C"/>
    <w:rsid w:val="00C800E3"/>
    <w:rsid w:val="00C8043B"/>
    <w:rsid w:val="00C87388"/>
    <w:rsid w:val="00C91C26"/>
    <w:rsid w:val="00C921A5"/>
    <w:rsid w:val="00C92337"/>
    <w:rsid w:val="00C965B5"/>
    <w:rsid w:val="00CA6A53"/>
    <w:rsid w:val="00CA7D5B"/>
    <w:rsid w:val="00CB1AB9"/>
    <w:rsid w:val="00CB3EFA"/>
    <w:rsid w:val="00CD259B"/>
    <w:rsid w:val="00CD31C3"/>
    <w:rsid w:val="00CE518B"/>
    <w:rsid w:val="00CF6189"/>
    <w:rsid w:val="00D021F5"/>
    <w:rsid w:val="00D07A82"/>
    <w:rsid w:val="00D07D8C"/>
    <w:rsid w:val="00D10F72"/>
    <w:rsid w:val="00D16A84"/>
    <w:rsid w:val="00D174C9"/>
    <w:rsid w:val="00D35761"/>
    <w:rsid w:val="00D36C99"/>
    <w:rsid w:val="00D370DC"/>
    <w:rsid w:val="00D37DFA"/>
    <w:rsid w:val="00D4293B"/>
    <w:rsid w:val="00D43CE4"/>
    <w:rsid w:val="00D503DB"/>
    <w:rsid w:val="00D5434B"/>
    <w:rsid w:val="00D5646B"/>
    <w:rsid w:val="00D61F09"/>
    <w:rsid w:val="00D66CCD"/>
    <w:rsid w:val="00D776FF"/>
    <w:rsid w:val="00D82C87"/>
    <w:rsid w:val="00D86F58"/>
    <w:rsid w:val="00D94131"/>
    <w:rsid w:val="00D94726"/>
    <w:rsid w:val="00D97FE0"/>
    <w:rsid w:val="00DA07D6"/>
    <w:rsid w:val="00DA3DA7"/>
    <w:rsid w:val="00DB3B37"/>
    <w:rsid w:val="00DB521D"/>
    <w:rsid w:val="00DD5379"/>
    <w:rsid w:val="00DD6183"/>
    <w:rsid w:val="00DF021E"/>
    <w:rsid w:val="00E03494"/>
    <w:rsid w:val="00E07587"/>
    <w:rsid w:val="00E1075C"/>
    <w:rsid w:val="00E36187"/>
    <w:rsid w:val="00E36F75"/>
    <w:rsid w:val="00E44661"/>
    <w:rsid w:val="00E526BB"/>
    <w:rsid w:val="00E5570B"/>
    <w:rsid w:val="00E568C1"/>
    <w:rsid w:val="00E61505"/>
    <w:rsid w:val="00E671F6"/>
    <w:rsid w:val="00E733B1"/>
    <w:rsid w:val="00E85E86"/>
    <w:rsid w:val="00E93A7B"/>
    <w:rsid w:val="00E958C9"/>
    <w:rsid w:val="00E9768F"/>
    <w:rsid w:val="00EA1DBA"/>
    <w:rsid w:val="00EC235B"/>
    <w:rsid w:val="00ED02CB"/>
    <w:rsid w:val="00ED1A93"/>
    <w:rsid w:val="00EE092E"/>
    <w:rsid w:val="00EE1D11"/>
    <w:rsid w:val="00EE4B6B"/>
    <w:rsid w:val="00EF0270"/>
    <w:rsid w:val="00EF375F"/>
    <w:rsid w:val="00EF4383"/>
    <w:rsid w:val="00F04FD6"/>
    <w:rsid w:val="00F12F9E"/>
    <w:rsid w:val="00F13FB7"/>
    <w:rsid w:val="00F17056"/>
    <w:rsid w:val="00F176DA"/>
    <w:rsid w:val="00F35012"/>
    <w:rsid w:val="00F36FE7"/>
    <w:rsid w:val="00F370F5"/>
    <w:rsid w:val="00F423B2"/>
    <w:rsid w:val="00F678B2"/>
    <w:rsid w:val="00F72051"/>
    <w:rsid w:val="00F77C1C"/>
    <w:rsid w:val="00F84098"/>
    <w:rsid w:val="00F9022E"/>
    <w:rsid w:val="00FB356B"/>
    <w:rsid w:val="00FB5258"/>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2A54A1"/>
  </w:style>
  <w:style w:type="character" w:customStyle="1" w:styleId="fontstyle01">
    <w:name w:val="fontstyle01"/>
    <w:basedOn w:val="DefaultParagraphFont"/>
    <w:rsid w:val="002E5DE7"/>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E61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155001264">
      <w:bodyDiv w:val="1"/>
      <w:marLeft w:val="0"/>
      <w:marRight w:val="0"/>
      <w:marTop w:val="0"/>
      <w:marBottom w:val="0"/>
      <w:divBdr>
        <w:top w:val="none" w:sz="0" w:space="0" w:color="auto"/>
        <w:left w:val="none" w:sz="0" w:space="0" w:color="auto"/>
        <w:bottom w:val="none" w:sz="0" w:space="0" w:color="auto"/>
        <w:right w:val="none" w:sz="0" w:space="0" w:color="auto"/>
      </w:divBdr>
    </w:div>
    <w:div w:id="297149700">
      <w:bodyDiv w:val="1"/>
      <w:marLeft w:val="0"/>
      <w:marRight w:val="0"/>
      <w:marTop w:val="0"/>
      <w:marBottom w:val="0"/>
      <w:divBdr>
        <w:top w:val="none" w:sz="0" w:space="0" w:color="auto"/>
        <w:left w:val="none" w:sz="0" w:space="0" w:color="auto"/>
        <w:bottom w:val="none" w:sz="0" w:space="0" w:color="auto"/>
        <w:right w:val="none" w:sz="0" w:space="0" w:color="auto"/>
      </w:divBdr>
    </w:div>
    <w:div w:id="663123712">
      <w:bodyDiv w:val="1"/>
      <w:marLeft w:val="0"/>
      <w:marRight w:val="0"/>
      <w:marTop w:val="0"/>
      <w:marBottom w:val="0"/>
      <w:divBdr>
        <w:top w:val="none" w:sz="0" w:space="0" w:color="auto"/>
        <w:left w:val="none" w:sz="0" w:space="0" w:color="auto"/>
        <w:bottom w:val="none" w:sz="0" w:space="0" w:color="auto"/>
        <w:right w:val="none" w:sz="0" w:space="0" w:color="auto"/>
      </w:divBdr>
    </w:div>
    <w:div w:id="741488208">
      <w:bodyDiv w:val="1"/>
      <w:marLeft w:val="0"/>
      <w:marRight w:val="0"/>
      <w:marTop w:val="0"/>
      <w:marBottom w:val="0"/>
      <w:divBdr>
        <w:top w:val="none" w:sz="0" w:space="0" w:color="auto"/>
        <w:left w:val="none" w:sz="0" w:space="0" w:color="auto"/>
        <w:bottom w:val="none" w:sz="0" w:space="0" w:color="auto"/>
        <w:right w:val="none" w:sz="0" w:space="0" w:color="auto"/>
      </w:divBdr>
    </w:div>
    <w:div w:id="84320491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40205512">
      <w:bodyDiv w:val="1"/>
      <w:marLeft w:val="0"/>
      <w:marRight w:val="0"/>
      <w:marTop w:val="0"/>
      <w:marBottom w:val="0"/>
      <w:divBdr>
        <w:top w:val="none" w:sz="0" w:space="0" w:color="auto"/>
        <w:left w:val="none" w:sz="0" w:space="0" w:color="auto"/>
        <w:bottom w:val="none" w:sz="0" w:space="0" w:color="auto"/>
        <w:right w:val="none" w:sz="0" w:space="0" w:color="auto"/>
      </w:divBdr>
    </w:div>
    <w:div w:id="1135487379">
      <w:bodyDiv w:val="1"/>
      <w:marLeft w:val="0"/>
      <w:marRight w:val="0"/>
      <w:marTop w:val="0"/>
      <w:marBottom w:val="0"/>
      <w:divBdr>
        <w:top w:val="none" w:sz="0" w:space="0" w:color="auto"/>
        <w:left w:val="none" w:sz="0" w:space="0" w:color="auto"/>
        <w:bottom w:val="none" w:sz="0" w:space="0" w:color="auto"/>
        <w:right w:val="none" w:sz="0" w:space="0" w:color="auto"/>
      </w:divBdr>
    </w:div>
    <w:div w:id="1163276906">
      <w:bodyDiv w:val="1"/>
      <w:marLeft w:val="0"/>
      <w:marRight w:val="0"/>
      <w:marTop w:val="0"/>
      <w:marBottom w:val="0"/>
      <w:divBdr>
        <w:top w:val="none" w:sz="0" w:space="0" w:color="auto"/>
        <w:left w:val="none" w:sz="0" w:space="0" w:color="auto"/>
        <w:bottom w:val="none" w:sz="0" w:space="0" w:color="auto"/>
        <w:right w:val="none" w:sz="0" w:space="0" w:color="auto"/>
      </w:divBdr>
    </w:div>
    <w:div w:id="1194883408">
      <w:bodyDiv w:val="1"/>
      <w:marLeft w:val="0"/>
      <w:marRight w:val="0"/>
      <w:marTop w:val="0"/>
      <w:marBottom w:val="0"/>
      <w:divBdr>
        <w:top w:val="none" w:sz="0" w:space="0" w:color="auto"/>
        <w:left w:val="none" w:sz="0" w:space="0" w:color="auto"/>
        <w:bottom w:val="none" w:sz="0" w:space="0" w:color="auto"/>
        <w:right w:val="none" w:sz="0" w:space="0" w:color="auto"/>
      </w:divBdr>
    </w:div>
    <w:div w:id="1314220185">
      <w:bodyDiv w:val="1"/>
      <w:marLeft w:val="0"/>
      <w:marRight w:val="0"/>
      <w:marTop w:val="0"/>
      <w:marBottom w:val="0"/>
      <w:divBdr>
        <w:top w:val="none" w:sz="0" w:space="0" w:color="auto"/>
        <w:left w:val="none" w:sz="0" w:space="0" w:color="auto"/>
        <w:bottom w:val="none" w:sz="0" w:space="0" w:color="auto"/>
        <w:right w:val="none" w:sz="0" w:space="0" w:color="auto"/>
      </w:divBdr>
    </w:div>
    <w:div w:id="21418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domavicien@werfen.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ekaterina.sinotova@nvsp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Sondra Makarauskiene</cp:lastModifiedBy>
  <cp:revision>3</cp:revision>
  <dcterms:created xsi:type="dcterms:W3CDTF">2025-02-14T14:16:00Z</dcterms:created>
  <dcterms:modified xsi:type="dcterms:W3CDTF">2025-02-14T14:33:00Z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