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80B5" w14:textId="0CBE8D13" w:rsidR="004F76B7" w:rsidRDefault="004F76B7" w:rsidP="004F76B7">
      <w:pPr>
        <w:spacing w:line="276" w:lineRule="auto"/>
        <w:jc w:val="center"/>
        <w:rPr>
          <w:b/>
          <w:color w:val="auto"/>
        </w:rPr>
      </w:pPr>
      <w:r>
        <w:rPr>
          <w:b/>
        </w:rPr>
        <w:t xml:space="preserve">PRIEŠGAISRINĖS APSAUGOS IR GELBĖJIMO DEPARTAMENTO PRIE VIDAUS REIKALŲ MINISTERIJOS KLAIPĖDOS PRIEŠGAISRINĖS GELBĖJIMO VALDYBOS </w:t>
      </w:r>
      <w:r>
        <w:rPr>
          <w:b/>
          <w:color w:val="auto"/>
        </w:rPr>
        <w:t xml:space="preserve">PADALINIŲ IR TERITORINIŲ STRUKTŪRINIŲ PADALINIŲ </w:t>
      </w:r>
      <w:r w:rsidR="00B57FDC">
        <w:rPr>
          <w:b/>
          <w:color w:val="auto"/>
        </w:rPr>
        <w:t>TRANSPORTO PRIEMONIŲ PRIVALOMOSIOS TECHNINĖS APŽIŪROS PASLAUGŲ</w:t>
      </w:r>
      <w:r>
        <w:rPr>
          <w:rFonts w:ascii="Liberation Serif" w:eastAsia="SimSun" w:hAnsi="Liberation Serif" w:cs="Mangal"/>
          <w:b/>
          <w:caps/>
          <w:color w:val="auto"/>
          <w:kern w:val="3"/>
          <w:lang w:eastAsia="ru-RU"/>
        </w:rPr>
        <w:t xml:space="preserve"> </w:t>
      </w:r>
      <w:r>
        <w:rPr>
          <w:b/>
        </w:rPr>
        <w:t>PIRKIMO 2025-2026 METAMS TECHNINĖ SPECIFIKACIJA</w:t>
      </w:r>
    </w:p>
    <w:p w14:paraId="176DD15A" w14:textId="77777777" w:rsidR="007217BB" w:rsidRPr="007217BB" w:rsidRDefault="007217BB" w:rsidP="00D22A9D">
      <w:pPr>
        <w:spacing w:line="276" w:lineRule="auto"/>
        <w:ind w:firstLine="0"/>
        <w:jc w:val="center"/>
        <w:rPr>
          <w:b/>
        </w:rPr>
      </w:pPr>
    </w:p>
    <w:p w14:paraId="6B0522DD" w14:textId="77777777" w:rsidR="007217BB" w:rsidRPr="007217BB" w:rsidRDefault="007217BB" w:rsidP="00D22A9D">
      <w:pPr>
        <w:numPr>
          <w:ilvl w:val="0"/>
          <w:numId w:val="6"/>
        </w:numPr>
        <w:tabs>
          <w:tab w:val="left" w:pos="284"/>
        </w:tabs>
        <w:spacing w:line="276" w:lineRule="auto"/>
        <w:ind w:firstLine="0"/>
        <w:contextualSpacing/>
        <w:jc w:val="center"/>
        <w:rPr>
          <w:rFonts w:eastAsia="Times New Roman"/>
          <w:b/>
        </w:rPr>
      </w:pPr>
      <w:r w:rsidRPr="007217BB">
        <w:rPr>
          <w:rFonts w:eastAsia="Times New Roman"/>
          <w:b/>
        </w:rPr>
        <w:t>BENDROJI DALIS</w:t>
      </w:r>
    </w:p>
    <w:p w14:paraId="3F1768D4" w14:textId="77777777" w:rsidR="007217BB" w:rsidRPr="007217BB" w:rsidRDefault="007217BB" w:rsidP="00D22A9D">
      <w:pPr>
        <w:spacing w:line="276" w:lineRule="auto"/>
        <w:jc w:val="center"/>
        <w:rPr>
          <w:b/>
        </w:rPr>
      </w:pPr>
    </w:p>
    <w:p w14:paraId="001D6044" w14:textId="74603BFB" w:rsidR="007217BB" w:rsidRPr="007217BB" w:rsidRDefault="007217BB" w:rsidP="001D43E5">
      <w:pPr>
        <w:numPr>
          <w:ilvl w:val="0"/>
          <w:numId w:val="5"/>
        </w:numPr>
        <w:tabs>
          <w:tab w:val="left" w:pos="567"/>
          <w:tab w:val="left" w:pos="851"/>
        </w:tabs>
        <w:ind w:firstLine="567"/>
        <w:contextualSpacing/>
        <w:rPr>
          <w:rFonts w:eastAsia="Times New Roman"/>
        </w:rPr>
      </w:pPr>
      <w:r w:rsidRPr="007217BB">
        <w:rPr>
          <w:rFonts w:eastAsia="Times New Roman"/>
        </w:rPr>
        <w:t xml:space="preserve">Perkančioji organizacija – Priešgaisrinės apsaugos ir gelbėjimo departamento prie Vidaus reikalų ministerijos (toliau – PAGD prie VRM) </w:t>
      </w:r>
      <w:r>
        <w:rPr>
          <w:rFonts w:eastAsia="Times New Roman"/>
        </w:rPr>
        <w:t>Klaipėdos</w:t>
      </w:r>
      <w:r w:rsidRPr="007217BB">
        <w:rPr>
          <w:rFonts w:eastAsia="Times New Roman"/>
        </w:rPr>
        <w:t xml:space="preserve"> priešgaisrinė gelbėjimo valdyba (toliau – </w:t>
      </w:r>
      <w:r>
        <w:rPr>
          <w:rFonts w:eastAsia="Times New Roman"/>
        </w:rPr>
        <w:t>Klaipėdos</w:t>
      </w:r>
      <w:r w:rsidRPr="007217BB">
        <w:rPr>
          <w:rFonts w:eastAsia="Times New Roman"/>
        </w:rPr>
        <w:t xml:space="preserve"> PGV) numato  pirkti </w:t>
      </w:r>
      <w:r w:rsidR="00B57FDC">
        <w:rPr>
          <w:rFonts w:eastAsia="Times New Roman"/>
        </w:rPr>
        <w:t>privalomosios techninės apžiūros paslaugas</w:t>
      </w:r>
      <w:r w:rsidRPr="007217BB">
        <w:rPr>
          <w:rFonts w:eastAsia="Times New Roman"/>
        </w:rPr>
        <w:t xml:space="preserve"> (toliau – </w:t>
      </w:r>
      <w:r w:rsidR="00B57FDC">
        <w:rPr>
          <w:rFonts w:eastAsia="Times New Roman"/>
        </w:rPr>
        <w:t>Paslaugos</w:t>
      </w:r>
      <w:r w:rsidRPr="007217BB">
        <w:rPr>
          <w:rFonts w:eastAsia="Times New Roman"/>
        </w:rPr>
        <w:t>)</w:t>
      </w:r>
      <w:r w:rsidR="007B4AD8">
        <w:rPr>
          <w:rFonts w:eastAsia="Times New Roman"/>
        </w:rPr>
        <w:t xml:space="preserve"> 202</w:t>
      </w:r>
      <w:r w:rsidR="008F4884">
        <w:rPr>
          <w:rFonts w:eastAsia="Times New Roman"/>
        </w:rPr>
        <w:t>5</w:t>
      </w:r>
      <w:r w:rsidR="007B4AD8">
        <w:rPr>
          <w:rFonts w:eastAsia="Times New Roman"/>
        </w:rPr>
        <w:t>-202</w:t>
      </w:r>
      <w:r w:rsidR="008F4884">
        <w:rPr>
          <w:rFonts w:eastAsia="Times New Roman"/>
        </w:rPr>
        <w:t>6</w:t>
      </w:r>
      <w:r w:rsidR="007B4AD8">
        <w:rPr>
          <w:rFonts w:eastAsia="Times New Roman"/>
        </w:rPr>
        <w:t xml:space="preserve"> metams</w:t>
      </w:r>
      <w:r w:rsidRPr="007217BB">
        <w:rPr>
          <w:rFonts w:eastAsia="Times New Roman"/>
        </w:rPr>
        <w:t>.</w:t>
      </w:r>
    </w:p>
    <w:p w14:paraId="0202BC9D" w14:textId="27389CD2" w:rsidR="007217BB" w:rsidRDefault="007217BB" w:rsidP="001D43E5">
      <w:pPr>
        <w:numPr>
          <w:ilvl w:val="0"/>
          <w:numId w:val="5"/>
        </w:numPr>
        <w:tabs>
          <w:tab w:val="left" w:pos="567"/>
          <w:tab w:val="left" w:pos="851"/>
        </w:tabs>
        <w:ind w:firstLine="567"/>
        <w:contextualSpacing/>
        <w:rPr>
          <w:rFonts w:eastAsia="Times New Roman"/>
        </w:rPr>
      </w:pPr>
      <w:r w:rsidRPr="007217BB">
        <w:rPr>
          <w:rFonts w:eastAsia="Times New Roman"/>
        </w:rPr>
        <w:t xml:space="preserve">Pirkimo kodas pagal Bendrąjį viešųjų pirkimų žodyną (toliau – BVPŽ) </w:t>
      </w:r>
      <w:r w:rsidR="00B57FDC">
        <w:rPr>
          <w:rFonts w:eastAsia="Times New Roman"/>
          <w:bCs/>
          <w:lang w:eastAsia="lt-LT"/>
        </w:rPr>
        <w:t>71630000-3</w:t>
      </w:r>
      <w:r w:rsidR="00E677ED" w:rsidRPr="00E677ED">
        <w:rPr>
          <w:rFonts w:eastAsia="Times New Roman"/>
          <w:bCs/>
          <w:lang w:eastAsia="lt-LT"/>
        </w:rPr>
        <w:t xml:space="preserve"> </w:t>
      </w:r>
      <w:r w:rsidR="00BB6E69">
        <w:rPr>
          <w:rFonts w:eastAsia="Times New Roman"/>
          <w:lang w:eastAsia="lt-LT"/>
        </w:rPr>
        <w:t>(</w:t>
      </w:r>
      <w:r w:rsidR="00B57FDC">
        <w:rPr>
          <w:rFonts w:eastAsia="Times New Roman"/>
          <w:lang w:eastAsia="lt-LT"/>
        </w:rPr>
        <w:t>Techninio inspektavimo ir tikrinimo paslaugos</w:t>
      </w:r>
      <w:r w:rsidR="00BB6E69">
        <w:rPr>
          <w:rFonts w:eastAsia="Times New Roman"/>
          <w:lang w:eastAsia="lt-LT"/>
        </w:rPr>
        <w:t>)</w:t>
      </w:r>
      <w:r w:rsidRPr="007217BB">
        <w:rPr>
          <w:rFonts w:eastAsia="Times New Roman"/>
          <w:lang w:eastAsia="lt-LT"/>
        </w:rPr>
        <w:t xml:space="preserve">. </w:t>
      </w:r>
      <w:r w:rsidR="00B57FDC">
        <w:rPr>
          <w:rFonts w:eastAsia="Times New Roman"/>
          <w:lang w:eastAsia="lt-LT"/>
        </w:rPr>
        <w:t xml:space="preserve">Pirkimo būdas – </w:t>
      </w:r>
      <w:r w:rsidR="002E2AB2">
        <w:rPr>
          <w:rFonts w:eastAsia="Times New Roman"/>
          <w:lang w:eastAsia="lt-LT"/>
        </w:rPr>
        <w:t>M</w:t>
      </w:r>
      <w:r w:rsidR="00B57FDC">
        <w:rPr>
          <w:rFonts w:eastAsia="Times New Roman"/>
          <w:lang w:eastAsia="lt-LT"/>
        </w:rPr>
        <w:t>ažos vertės pirkimas kai už paslaugas apmokama teritorinio struktūrinio padalinio lėšomis.</w:t>
      </w:r>
    </w:p>
    <w:p w14:paraId="290096CF" w14:textId="1B24C981" w:rsidR="00B57FDC" w:rsidRDefault="00B57FDC" w:rsidP="001D43E5">
      <w:pPr>
        <w:numPr>
          <w:ilvl w:val="0"/>
          <w:numId w:val="5"/>
        </w:numPr>
        <w:tabs>
          <w:tab w:val="left" w:pos="567"/>
          <w:tab w:val="left" w:pos="851"/>
        </w:tabs>
        <w:ind w:firstLine="567"/>
        <w:contextualSpacing/>
        <w:rPr>
          <w:rFonts w:eastAsia="Times New Roman"/>
        </w:rPr>
      </w:pPr>
      <w:r>
        <w:rPr>
          <w:rFonts w:eastAsia="Times New Roman"/>
        </w:rPr>
        <w:t xml:space="preserve"> Preliminarus privalomajai techninei apžiūrai pateikiamų transporto priemonių skaičius.</w:t>
      </w:r>
    </w:p>
    <w:tbl>
      <w:tblPr>
        <w:tblStyle w:val="Lentelstinklelis"/>
        <w:tblW w:w="0" w:type="auto"/>
        <w:tblInd w:w="927" w:type="dxa"/>
        <w:tblLook w:val="04A0" w:firstRow="1" w:lastRow="0" w:firstColumn="1" w:lastColumn="0" w:noHBand="0" w:noVBand="1"/>
      </w:tblPr>
      <w:tblGrid>
        <w:gridCol w:w="816"/>
        <w:gridCol w:w="3655"/>
        <w:gridCol w:w="2110"/>
        <w:gridCol w:w="2120"/>
      </w:tblGrid>
      <w:tr w:rsidR="00636CC9" w14:paraId="339BDFC8" w14:textId="0565D521" w:rsidTr="00617E1C">
        <w:tc>
          <w:tcPr>
            <w:tcW w:w="816" w:type="dxa"/>
          </w:tcPr>
          <w:p w14:paraId="6619159E" w14:textId="2FB4E92F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Eil.nr.</w:t>
            </w:r>
          </w:p>
        </w:tc>
        <w:tc>
          <w:tcPr>
            <w:tcW w:w="3655" w:type="dxa"/>
          </w:tcPr>
          <w:p w14:paraId="6B5F466E" w14:textId="0EF6304A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Transporto priemonės klasė</w:t>
            </w:r>
          </w:p>
        </w:tc>
        <w:tc>
          <w:tcPr>
            <w:tcW w:w="2110" w:type="dxa"/>
          </w:tcPr>
          <w:p w14:paraId="411DE9B7" w14:textId="31FC8118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Mato vnt.</w:t>
            </w:r>
          </w:p>
        </w:tc>
        <w:tc>
          <w:tcPr>
            <w:tcW w:w="2120" w:type="dxa"/>
          </w:tcPr>
          <w:p w14:paraId="2EAE03FE" w14:textId="31E189AF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Kiekis</w:t>
            </w:r>
          </w:p>
        </w:tc>
      </w:tr>
      <w:tr w:rsidR="00636CC9" w14:paraId="44CEBBB0" w14:textId="64DBF92B" w:rsidTr="00617E1C">
        <w:tc>
          <w:tcPr>
            <w:tcW w:w="816" w:type="dxa"/>
          </w:tcPr>
          <w:p w14:paraId="7DE4CE60" w14:textId="2D59F90A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655" w:type="dxa"/>
          </w:tcPr>
          <w:p w14:paraId="4DCE2718" w14:textId="24CDD50C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2110" w:type="dxa"/>
          </w:tcPr>
          <w:p w14:paraId="78BEA50C" w14:textId="601DDBC4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65F2D4EA" w14:textId="37562C1D" w:rsidR="00B57FDC" w:rsidRDefault="00636CC9" w:rsidP="00B57FDC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 w:rsidR="00636CC9" w14:paraId="56459984" w14:textId="2FDEFD3C" w:rsidTr="00617E1C">
        <w:tc>
          <w:tcPr>
            <w:tcW w:w="816" w:type="dxa"/>
          </w:tcPr>
          <w:p w14:paraId="4A03325E" w14:textId="5B7B7DE0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655" w:type="dxa"/>
          </w:tcPr>
          <w:p w14:paraId="77B01B68" w14:textId="3BF290B4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2110" w:type="dxa"/>
          </w:tcPr>
          <w:p w14:paraId="3A186E20" w14:textId="0034AF5A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18A5B3AD" w14:textId="7FE716EB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36CC9" w14:paraId="36BF3C42" w14:textId="27EAB543" w:rsidTr="00617E1C">
        <w:tc>
          <w:tcPr>
            <w:tcW w:w="816" w:type="dxa"/>
          </w:tcPr>
          <w:p w14:paraId="471F3944" w14:textId="2350F9CA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655" w:type="dxa"/>
          </w:tcPr>
          <w:p w14:paraId="13E4B727" w14:textId="76383066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N1</w:t>
            </w:r>
          </w:p>
        </w:tc>
        <w:tc>
          <w:tcPr>
            <w:tcW w:w="2110" w:type="dxa"/>
          </w:tcPr>
          <w:p w14:paraId="485317A7" w14:textId="0037CB27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723894C4" w14:textId="5F673306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636CC9" w14:paraId="66ED9B85" w14:textId="7FB023B4" w:rsidTr="00617E1C">
        <w:tc>
          <w:tcPr>
            <w:tcW w:w="816" w:type="dxa"/>
          </w:tcPr>
          <w:p w14:paraId="61777A9A" w14:textId="26E8013B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655" w:type="dxa"/>
          </w:tcPr>
          <w:p w14:paraId="3FA762DA" w14:textId="42038A47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N2</w:t>
            </w:r>
          </w:p>
        </w:tc>
        <w:tc>
          <w:tcPr>
            <w:tcW w:w="2110" w:type="dxa"/>
          </w:tcPr>
          <w:p w14:paraId="1388172B" w14:textId="777934E4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23569E03" w14:textId="151D5E8D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36CC9" w14:paraId="1857DB2A" w14:textId="4CF8A90A" w:rsidTr="00617E1C">
        <w:tc>
          <w:tcPr>
            <w:tcW w:w="816" w:type="dxa"/>
          </w:tcPr>
          <w:p w14:paraId="4474216C" w14:textId="39F71536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655" w:type="dxa"/>
          </w:tcPr>
          <w:p w14:paraId="3632F97D" w14:textId="5915624E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N3</w:t>
            </w:r>
          </w:p>
        </w:tc>
        <w:tc>
          <w:tcPr>
            <w:tcW w:w="2110" w:type="dxa"/>
          </w:tcPr>
          <w:p w14:paraId="5C99EE4D" w14:textId="7FEEFB87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7A79B733" w14:textId="5F58E277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</w:tr>
      <w:tr w:rsidR="00636CC9" w14:paraId="69DADEEF" w14:textId="2A76262D" w:rsidTr="00617E1C">
        <w:tc>
          <w:tcPr>
            <w:tcW w:w="816" w:type="dxa"/>
          </w:tcPr>
          <w:p w14:paraId="6FC9976D" w14:textId="25B5A78A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655" w:type="dxa"/>
          </w:tcPr>
          <w:p w14:paraId="23C3153A" w14:textId="70DA014D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O1</w:t>
            </w:r>
          </w:p>
        </w:tc>
        <w:tc>
          <w:tcPr>
            <w:tcW w:w="2110" w:type="dxa"/>
          </w:tcPr>
          <w:p w14:paraId="0E1229D1" w14:textId="0E34727E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11A34F90" w14:textId="213676A6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636CC9" w14:paraId="529C6655" w14:textId="412FF82A" w:rsidTr="00617E1C">
        <w:tc>
          <w:tcPr>
            <w:tcW w:w="816" w:type="dxa"/>
          </w:tcPr>
          <w:p w14:paraId="0CA776E1" w14:textId="40135A9D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655" w:type="dxa"/>
          </w:tcPr>
          <w:p w14:paraId="0F88597A" w14:textId="62D7ACE3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O2</w:t>
            </w:r>
          </w:p>
        </w:tc>
        <w:tc>
          <w:tcPr>
            <w:tcW w:w="2110" w:type="dxa"/>
          </w:tcPr>
          <w:p w14:paraId="7CDD5896" w14:textId="0D18F669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68504D94" w14:textId="41727155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636CC9" w14:paraId="6ED690C1" w14:textId="62A8CA74" w:rsidTr="00617E1C">
        <w:tc>
          <w:tcPr>
            <w:tcW w:w="816" w:type="dxa"/>
          </w:tcPr>
          <w:p w14:paraId="11D106BF" w14:textId="5208CDBC" w:rsidR="00636CC9" w:rsidRDefault="00617E1C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636CC9">
              <w:rPr>
                <w:rFonts w:eastAsia="Times New Roman"/>
              </w:rPr>
              <w:t>.</w:t>
            </w:r>
          </w:p>
        </w:tc>
        <w:tc>
          <w:tcPr>
            <w:tcW w:w="3655" w:type="dxa"/>
          </w:tcPr>
          <w:p w14:paraId="1AFC86C9" w14:textId="47363FD9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L7</w:t>
            </w:r>
          </w:p>
        </w:tc>
        <w:tc>
          <w:tcPr>
            <w:tcW w:w="2110" w:type="dxa"/>
          </w:tcPr>
          <w:p w14:paraId="64CB85BD" w14:textId="7BA73FEC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 w:rsidRPr="008D4C5F">
              <w:rPr>
                <w:rFonts w:eastAsia="Times New Roman"/>
              </w:rPr>
              <w:t>Vnt.</w:t>
            </w:r>
          </w:p>
        </w:tc>
        <w:tc>
          <w:tcPr>
            <w:tcW w:w="2120" w:type="dxa"/>
          </w:tcPr>
          <w:p w14:paraId="006BC1E0" w14:textId="1A5BD34B" w:rsidR="00636CC9" w:rsidRDefault="00636CC9" w:rsidP="00636CC9">
            <w:pPr>
              <w:tabs>
                <w:tab w:val="left" w:pos="567"/>
                <w:tab w:val="left" w:pos="851"/>
              </w:tabs>
              <w:ind w:firstLine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6863D1E4" w14:textId="2FC1EBFA" w:rsidR="00636CC9" w:rsidRDefault="002E49F8" w:rsidP="00636CC9">
      <w:pPr>
        <w:ind w:firstLine="720"/>
      </w:pPr>
      <w:r>
        <w:t xml:space="preserve">  </w:t>
      </w:r>
      <w:r w:rsidR="00636CC9">
        <w:t xml:space="preserve">Nurodytų transporto priemonių kiekis gali keistis </w:t>
      </w:r>
      <w:r w:rsidR="002E2AB2">
        <w:t>Klaipėdos PGV</w:t>
      </w:r>
      <w:r w:rsidR="00636CC9">
        <w:t xml:space="preserve"> įsigijus ar nurašius transporto priemonę.</w:t>
      </w:r>
    </w:p>
    <w:p w14:paraId="30CD0F84" w14:textId="3D86B3B5" w:rsidR="00DD73D1" w:rsidRPr="00D31A73" w:rsidRDefault="002E49F8" w:rsidP="00DD73D1">
      <w:pPr>
        <w:spacing w:line="276" w:lineRule="auto"/>
        <w:ind w:firstLine="720"/>
        <w:rPr>
          <w:rFonts w:eastAsia="Times New Roman"/>
        </w:rPr>
      </w:pPr>
      <w:r>
        <w:rPr>
          <w:rFonts w:eastAsia="Times New Roman"/>
          <w:b/>
          <w:bCs/>
        </w:rPr>
        <w:t xml:space="preserve">  </w:t>
      </w:r>
      <w:r w:rsidR="00636CC9" w:rsidRPr="00636CC9">
        <w:rPr>
          <w:rFonts w:eastAsia="Times New Roman"/>
          <w:b/>
          <w:bCs/>
        </w:rPr>
        <w:t>4</w:t>
      </w:r>
      <w:r w:rsidR="00636CC9" w:rsidRPr="00D31A73">
        <w:rPr>
          <w:rFonts w:eastAsia="Times New Roman"/>
          <w:b/>
          <w:bCs/>
        </w:rPr>
        <w:t>.</w:t>
      </w:r>
      <w:r w:rsidR="00636CC9" w:rsidRPr="00D31A73">
        <w:rPr>
          <w:rFonts w:eastAsia="Times New Roman"/>
        </w:rPr>
        <w:t xml:space="preserve"> </w:t>
      </w:r>
      <w:r w:rsidR="00DD73D1" w:rsidRPr="00D31A73">
        <w:rPr>
          <w:rFonts w:eastAsia="Times New Roman"/>
        </w:rPr>
        <w:t>Už  Paslaugas taikomos  Lietuvos transporto saugos administracijos  direktoriaus</w:t>
      </w:r>
      <w:r w:rsidR="00DD73D1">
        <w:rPr>
          <w:rFonts w:eastAsia="Times New Roman"/>
        </w:rPr>
        <w:t xml:space="preserve"> 2024 m. balandžio 16 d.</w:t>
      </w:r>
      <w:r w:rsidR="00DD73D1" w:rsidRPr="00D31A73">
        <w:rPr>
          <w:rFonts w:eastAsia="Times New Roman"/>
        </w:rPr>
        <w:t xml:space="preserve"> </w:t>
      </w:r>
      <w:r w:rsidR="00DD73D1">
        <w:rPr>
          <w:rFonts w:eastAsia="Times New Roman"/>
        </w:rPr>
        <w:t xml:space="preserve">įsakymu  </w:t>
      </w:r>
      <w:proofErr w:type="spellStart"/>
      <w:r w:rsidR="00DD73D1">
        <w:rPr>
          <w:rFonts w:eastAsia="Times New Roman"/>
        </w:rPr>
        <w:t>Nr</w:t>
      </w:r>
      <w:proofErr w:type="spellEnd"/>
      <w:r w:rsidR="00DD73D1">
        <w:rPr>
          <w:rFonts w:eastAsia="Times New Roman"/>
        </w:rPr>
        <w:t xml:space="preserve">  2BE-59 dėl Lietuvos transporto saugos administracijos direktoriaus </w:t>
      </w:r>
      <w:r w:rsidR="00DD73D1" w:rsidRPr="00D31A73">
        <w:rPr>
          <w:rFonts w:eastAsia="Times New Roman"/>
        </w:rPr>
        <w:t>202</w:t>
      </w:r>
      <w:r w:rsidR="00DD73D1">
        <w:rPr>
          <w:rFonts w:eastAsia="Times New Roman"/>
        </w:rPr>
        <w:t>0</w:t>
      </w:r>
      <w:r w:rsidR="00DD73D1" w:rsidRPr="00D31A73">
        <w:rPr>
          <w:rFonts w:eastAsia="Times New Roman"/>
        </w:rPr>
        <w:t xml:space="preserve"> m. </w:t>
      </w:r>
      <w:r w:rsidR="00DD73D1">
        <w:rPr>
          <w:rFonts w:eastAsia="Times New Roman"/>
        </w:rPr>
        <w:t>gruodžio</w:t>
      </w:r>
      <w:r w:rsidR="00DD73D1" w:rsidRPr="00D31A73">
        <w:rPr>
          <w:rFonts w:eastAsia="Times New Roman"/>
        </w:rPr>
        <w:t xml:space="preserve"> 1</w:t>
      </w:r>
      <w:r w:rsidR="00DD73D1">
        <w:rPr>
          <w:rFonts w:eastAsia="Times New Roman"/>
        </w:rPr>
        <w:t>0</w:t>
      </w:r>
      <w:r w:rsidR="00DD73D1" w:rsidRPr="00D31A73">
        <w:rPr>
          <w:rFonts w:eastAsia="Times New Roman"/>
        </w:rPr>
        <w:t xml:space="preserve"> d. įsakym</w:t>
      </w:r>
      <w:r w:rsidR="00DD73D1">
        <w:rPr>
          <w:rFonts w:eastAsia="Times New Roman"/>
        </w:rPr>
        <w:t>o</w:t>
      </w:r>
      <w:r w:rsidR="00DD73D1" w:rsidRPr="00D31A73">
        <w:rPr>
          <w:rFonts w:eastAsia="Times New Roman"/>
        </w:rPr>
        <w:t xml:space="preserve">  Nr. 2BE-</w:t>
      </w:r>
      <w:r w:rsidR="00DD73D1">
        <w:rPr>
          <w:rFonts w:eastAsia="Times New Roman"/>
        </w:rPr>
        <w:t>405</w:t>
      </w:r>
      <w:r w:rsidR="00DD73D1" w:rsidRPr="00D31A73">
        <w:rPr>
          <w:rFonts w:eastAsia="Times New Roman"/>
        </w:rPr>
        <w:t xml:space="preserve"> </w:t>
      </w:r>
      <w:r w:rsidR="00DD73D1">
        <w:rPr>
          <w:rFonts w:eastAsia="Times New Roman"/>
        </w:rPr>
        <w:t xml:space="preserve">„Dėl maksimalių kainų su PVM už motorinių transporto priemonių ir jų priekabų privalomosios techninės apžiūros atlikimą sąrašo patvirtinimo“ pakeitimo </w:t>
      </w:r>
      <w:r w:rsidR="00DD73D1" w:rsidRPr="00D31A73">
        <w:rPr>
          <w:rFonts w:eastAsia="Times New Roman"/>
        </w:rPr>
        <w:t>patvirtintos</w:t>
      </w:r>
      <w:r w:rsidR="00DD73D1">
        <w:rPr>
          <w:rFonts w:eastAsia="Times New Roman"/>
        </w:rPr>
        <w:t>,</w:t>
      </w:r>
      <w:r w:rsidR="00DD73D1" w:rsidRPr="00D31A73">
        <w:rPr>
          <w:rFonts w:eastAsia="Times New Roman"/>
        </w:rPr>
        <w:t xml:space="preserve"> Paslaugų atlikimo dieną galiojančios Paslaugų atlikimo kainos</w:t>
      </w:r>
      <w:r w:rsidR="00DD73D1">
        <w:rPr>
          <w:rFonts w:eastAsia="Times New Roman"/>
        </w:rPr>
        <w:t xml:space="preserve">, pateikta techninės specifikacijos </w:t>
      </w:r>
      <w:r w:rsidR="00DD73D1" w:rsidRPr="00703F80">
        <w:rPr>
          <w:rFonts w:eastAsia="Times New Roman"/>
          <w:i/>
          <w:iCs/>
        </w:rPr>
        <w:t>1 priede</w:t>
      </w:r>
      <w:r w:rsidR="00DD73D1" w:rsidRPr="00D31A73">
        <w:rPr>
          <w:rFonts w:eastAsia="Times New Roman"/>
        </w:rPr>
        <w:t xml:space="preserve">. </w:t>
      </w:r>
    </w:p>
    <w:p w14:paraId="0847B1F9" w14:textId="73A8F114" w:rsidR="00636CC9" w:rsidRDefault="002E49F8" w:rsidP="00636CC9">
      <w:pPr>
        <w:spacing w:line="276" w:lineRule="auto"/>
        <w:ind w:firstLine="720"/>
        <w:rPr>
          <w:rFonts w:eastAsia="Times New Roman"/>
        </w:rPr>
      </w:pPr>
      <w:r>
        <w:rPr>
          <w:rFonts w:eastAsia="Times New Roman"/>
          <w:b/>
          <w:bCs/>
        </w:rPr>
        <w:t xml:space="preserve"> </w:t>
      </w:r>
      <w:r w:rsidR="00636CC9" w:rsidRPr="002E49F8">
        <w:rPr>
          <w:rFonts w:eastAsia="Times New Roman"/>
          <w:b/>
          <w:bCs/>
        </w:rPr>
        <w:t>5</w:t>
      </w:r>
      <w:r w:rsidR="00636CC9">
        <w:rPr>
          <w:rFonts w:eastAsia="Times New Roman"/>
        </w:rPr>
        <w:t>. Paslaug</w:t>
      </w:r>
      <w:r w:rsidR="002E2AB2">
        <w:rPr>
          <w:rFonts w:eastAsia="Times New Roman"/>
        </w:rPr>
        <w:t>ų</w:t>
      </w:r>
      <w:r w:rsidR="00636CC9">
        <w:rPr>
          <w:rFonts w:eastAsia="Times New Roman"/>
        </w:rPr>
        <w:t xml:space="preserve"> teikėjas turi </w:t>
      </w:r>
      <w:r w:rsidR="002E2AB2">
        <w:rPr>
          <w:rFonts w:eastAsia="Times New Roman"/>
        </w:rPr>
        <w:t xml:space="preserve">turėti galimybę </w:t>
      </w:r>
      <w:r w:rsidR="00636CC9">
        <w:rPr>
          <w:rFonts w:eastAsia="Times New Roman"/>
        </w:rPr>
        <w:t xml:space="preserve">teikti </w:t>
      </w:r>
      <w:r w:rsidR="002E2AB2">
        <w:rPr>
          <w:rFonts w:eastAsia="Times New Roman"/>
        </w:rPr>
        <w:t xml:space="preserve">Paslaugas </w:t>
      </w:r>
      <w:r w:rsidR="00636CC9">
        <w:rPr>
          <w:rFonts w:eastAsia="Times New Roman"/>
        </w:rPr>
        <w:t>šiuose miestuose: Klaipėda, Kretinga, Šilutė, Šilalė, Gargždai.</w:t>
      </w:r>
    </w:p>
    <w:p w14:paraId="5877F676" w14:textId="189B5BEC" w:rsidR="00636CC9" w:rsidRPr="00D31A73" w:rsidRDefault="00636CC9" w:rsidP="00636CC9">
      <w:pPr>
        <w:spacing w:line="276" w:lineRule="auto"/>
        <w:ind w:firstLine="720"/>
        <w:rPr>
          <w:rFonts w:eastAsia="Times New Roman"/>
        </w:rPr>
      </w:pPr>
      <w:r w:rsidRPr="00D31A73">
        <w:rPr>
          <w:rFonts w:eastAsia="Times New Roman"/>
        </w:rPr>
        <w:t xml:space="preserve"> </w:t>
      </w:r>
    </w:p>
    <w:p w14:paraId="2DC3A0CB" w14:textId="77777777" w:rsidR="00B57FDC" w:rsidRDefault="00B57FDC" w:rsidP="00B57FDC">
      <w:pPr>
        <w:tabs>
          <w:tab w:val="left" w:pos="567"/>
          <w:tab w:val="left" w:pos="851"/>
        </w:tabs>
        <w:ind w:left="927" w:firstLine="0"/>
        <w:contextualSpacing/>
        <w:rPr>
          <w:rFonts w:eastAsia="Times New Roman"/>
        </w:rPr>
      </w:pPr>
    </w:p>
    <w:p w14:paraId="0EAEF6F1" w14:textId="77777777" w:rsidR="00636CC9" w:rsidRDefault="00636CC9" w:rsidP="00B57FDC">
      <w:pPr>
        <w:tabs>
          <w:tab w:val="left" w:pos="567"/>
          <w:tab w:val="left" w:pos="851"/>
        </w:tabs>
        <w:ind w:left="927" w:firstLine="0"/>
        <w:contextualSpacing/>
        <w:rPr>
          <w:rFonts w:eastAsia="Times New Roman"/>
        </w:rPr>
      </w:pPr>
    </w:p>
    <w:p w14:paraId="320B0BE9" w14:textId="77777777" w:rsid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35378D71" w14:textId="77777777" w:rsid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60A559B8" w14:textId="77777777" w:rsid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39CF7415" w14:textId="77777777" w:rsidR="00157743" w:rsidRDefault="00157743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6068BC91" w14:textId="77777777" w:rsidR="002E2AB2" w:rsidRDefault="002E2AB2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553ADEAD" w14:textId="77777777" w:rsid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7C7D643F" w14:textId="77777777" w:rsidR="00BE702C" w:rsidRDefault="00BE702C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35DD02BD" w14:textId="77777777" w:rsidR="00BE702C" w:rsidRDefault="00BE702C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44283736" w14:textId="77777777" w:rsidR="00BE702C" w:rsidRDefault="00BE702C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49E7BF19" w14:textId="77777777" w:rsidR="00BE702C" w:rsidRDefault="00BE702C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</w:p>
    <w:p w14:paraId="72901F17" w14:textId="55DAE749" w:rsid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</w:pPr>
      <w:r>
        <w:t>1 priedas</w:t>
      </w:r>
    </w:p>
    <w:p w14:paraId="5A6B04F9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PATVIRTINTA</w:t>
      </w:r>
    </w:p>
    <w:p w14:paraId="56AAAA6F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Lietuvos transporto saugos administracijos</w:t>
      </w:r>
    </w:p>
    <w:p w14:paraId="6C594654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direktoriaus 2020 m. gruodžio 10 d. įsakymu</w:t>
      </w:r>
    </w:p>
    <w:p w14:paraId="37EBF4D5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Nr. 2BE-405</w:t>
      </w:r>
    </w:p>
    <w:p w14:paraId="721C7401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(Lietuvos transporto saugos administracijos</w:t>
      </w:r>
    </w:p>
    <w:p w14:paraId="489B4864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direktoriaus 2024 m. balandžio 16 d. įsakymo</w:t>
      </w:r>
    </w:p>
    <w:p w14:paraId="08351240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Nr. 2BE-59</w:t>
      </w:r>
    </w:p>
    <w:p w14:paraId="7709E6A1" w14:textId="77777777" w:rsidR="00636CC9" w:rsidRPr="00636CC9" w:rsidRDefault="00636CC9" w:rsidP="00636CC9">
      <w:pPr>
        <w:ind w:firstLine="4820"/>
        <w:jc w:val="left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redakcija)</w:t>
      </w:r>
    </w:p>
    <w:p w14:paraId="5B1CC0DB" w14:textId="77777777" w:rsidR="00636CC9" w:rsidRPr="00636CC9" w:rsidRDefault="00636CC9" w:rsidP="00DD73D1">
      <w:pPr>
        <w:ind w:firstLine="0"/>
        <w:rPr>
          <w:rFonts w:eastAsia="Times New Roman"/>
          <w:b/>
          <w:bCs/>
          <w:color w:val="auto"/>
          <w:lang w:eastAsia="lt-LT"/>
        </w:rPr>
      </w:pPr>
    </w:p>
    <w:p w14:paraId="791F7390" w14:textId="77777777" w:rsidR="00636CC9" w:rsidRPr="00636CC9" w:rsidRDefault="00636CC9" w:rsidP="00636CC9">
      <w:pPr>
        <w:ind w:firstLine="0"/>
        <w:jc w:val="center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b/>
          <w:bCs/>
          <w:color w:val="auto"/>
          <w:lang w:eastAsia="lt-LT"/>
        </w:rPr>
        <w:t>MAKSIMALIŲ KAINŲ SU PVM UŽ MOTORINIŲ TRANSPORTO PRIEMONIŲ IR JŲ PRIEKABŲ PRIVALOMOSIOS TECHNINĖS APŽIŪROS ATLIKIMĄ SĄRAŠAS</w:t>
      </w:r>
    </w:p>
    <w:p w14:paraId="46A14BA1" w14:textId="77777777" w:rsidR="00636CC9" w:rsidRPr="00636CC9" w:rsidRDefault="00636CC9" w:rsidP="00636CC9">
      <w:pPr>
        <w:ind w:firstLine="1196"/>
        <w:rPr>
          <w:rFonts w:eastAsia="Times New Roman"/>
          <w:color w:val="auto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222"/>
        <w:gridCol w:w="636"/>
        <w:gridCol w:w="830"/>
        <w:gridCol w:w="776"/>
        <w:gridCol w:w="776"/>
        <w:gridCol w:w="776"/>
      </w:tblGrid>
      <w:tr w:rsidR="00636CC9" w:rsidRPr="00636CC9" w14:paraId="4E7C1783" w14:textId="77777777" w:rsidTr="00C10704">
        <w:trPr>
          <w:trHeight w:val="312"/>
        </w:trPr>
        <w:tc>
          <w:tcPr>
            <w:tcW w:w="6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441E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Eil. Nr.</w:t>
            </w:r>
          </w:p>
        </w:tc>
        <w:tc>
          <w:tcPr>
            <w:tcW w:w="52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0A90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Procedūros tipas</w:t>
            </w:r>
          </w:p>
        </w:tc>
        <w:tc>
          <w:tcPr>
            <w:tcW w:w="37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2416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Procedūrų patikros kainų lygiai</w:t>
            </w:r>
          </w:p>
        </w:tc>
      </w:tr>
      <w:tr w:rsidR="00636CC9" w:rsidRPr="00636CC9" w14:paraId="6AD0BBF9" w14:textId="77777777" w:rsidTr="00C10704">
        <w:trPr>
          <w:trHeight w:val="578"/>
        </w:trPr>
        <w:tc>
          <w:tcPr>
            <w:tcW w:w="603" w:type="dxa"/>
            <w:vMerge/>
          </w:tcPr>
          <w:p w14:paraId="099EED49" w14:textId="77777777" w:rsidR="00636CC9" w:rsidRPr="00636CC9" w:rsidRDefault="00636CC9" w:rsidP="00636CC9">
            <w:pPr>
              <w:ind w:firstLine="0"/>
              <w:jc w:val="left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5222" w:type="dxa"/>
            <w:vMerge/>
          </w:tcPr>
          <w:p w14:paraId="3101C431" w14:textId="77777777" w:rsidR="00636CC9" w:rsidRPr="00636CC9" w:rsidRDefault="00636CC9" w:rsidP="00636CC9">
            <w:pPr>
              <w:ind w:firstLine="0"/>
              <w:jc w:val="left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7E5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TA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E997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PTA</w:t>
            </w:r>
            <w:r w:rsidRPr="00636CC9">
              <w:rPr>
                <w:rFonts w:eastAsia="Times New Roman"/>
                <w:b/>
                <w:bCs/>
                <w:color w:val="auto"/>
                <w:vertAlign w:val="superscript"/>
                <w:lang w:eastAsia="lt-LT"/>
              </w:rPr>
              <w:t>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380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PTA</w:t>
            </w:r>
            <w:r w:rsidRPr="00636CC9">
              <w:rPr>
                <w:rFonts w:eastAsia="Times New Roman"/>
                <w:b/>
                <w:bCs/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74E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PTA</w:t>
            </w:r>
            <w:r w:rsidRPr="00636CC9">
              <w:rPr>
                <w:rFonts w:eastAsia="Times New Roman"/>
                <w:b/>
                <w:bCs/>
                <w:color w:val="auto"/>
                <w:vertAlign w:val="superscript"/>
                <w:lang w:eastAsia="lt-LT"/>
              </w:rPr>
              <w:t>3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4818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b/>
                <w:bCs/>
                <w:color w:val="auto"/>
                <w:lang w:eastAsia="lt-LT"/>
              </w:rPr>
              <w:t>PTA</w:t>
            </w:r>
            <w:r w:rsidRPr="00636CC9">
              <w:rPr>
                <w:rFonts w:eastAsia="Times New Roman"/>
                <w:b/>
                <w:bCs/>
                <w:color w:val="auto"/>
                <w:vertAlign w:val="superscript"/>
                <w:lang w:eastAsia="lt-LT"/>
              </w:rPr>
              <w:t>4</w:t>
            </w:r>
          </w:p>
        </w:tc>
      </w:tr>
      <w:tr w:rsidR="00636CC9" w:rsidRPr="00636CC9" w14:paraId="297888CD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37F1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F562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1</w:t>
            </w:r>
            <w:r w:rsidRPr="00636CC9">
              <w:rPr>
                <w:rFonts w:eastAsia="Times New Roman"/>
                <w:color w:val="auto"/>
                <w:lang w:eastAsia="lt-LT"/>
              </w:rPr>
              <w:t>, 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3</w:t>
            </w:r>
            <w:r w:rsidRPr="00636CC9">
              <w:rPr>
                <w:rFonts w:eastAsia="Times New Roman"/>
                <w:color w:val="auto"/>
                <w:lang w:eastAsia="lt-LT"/>
              </w:rPr>
              <w:t>  klasės mopedų ir motociklų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B2D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11,2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D2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1,7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5F67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2,9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E8E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E05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5,7</w:t>
            </w:r>
          </w:p>
        </w:tc>
      </w:tr>
      <w:tr w:rsidR="00636CC9" w:rsidRPr="00636CC9" w14:paraId="0B892C40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03D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2.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4DBD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2</w:t>
            </w:r>
            <w:r w:rsidRPr="00636CC9">
              <w:rPr>
                <w:rFonts w:eastAsia="Times New Roman"/>
                <w:color w:val="auto"/>
                <w:lang w:eastAsia="lt-LT"/>
              </w:rPr>
              <w:t>, 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4</w:t>
            </w:r>
            <w:r w:rsidRPr="00636CC9">
              <w:rPr>
                <w:rFonts w:eastAsia="Times New Roman"/>
                <w:color w:val="auto"/>
                <w:lang w:eastAsia="lt-LT"/>
              </w:rPr>
              <w:t>, 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5</w:t>
            </w:r>
            <w:r w:rsidRPr="00636CC9">
              <w:rPr>
                <w:rFonts w:eastAsia="Times New Roman"/>
                <w:color w:val="auto"/>
                <w:lang w:eastAsia="lt-LT"/>
              </w:rPr>
              <w:t>, 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6</w:t>
            </w:r>
            <w:r w:rsidRPr="00636CC9">
              <w:rPr>
                <w:rFonts w:eastAsia="Times New Roman"/>
                <w:color w:val="auto"/>
                <w:lang w:eastAsia="lt-LT"/>
              </w:rPr>
              <w:t>, L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7</w:t>
            </w:r>
            <w:r w:rsidRPr="00636CC9">
              <w:rPr>
                <w:rFonts w:eastAsia="Times New Roman"/>
                <w:color w:val="auto"/>
                <w:lang w:eastAsia="lt-LT"/>
              </w:rPr>
              <w:t>  klasės mopedų ir motociklų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33B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17,2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98A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2,4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F579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4,4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E78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48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8,7</w:t>
            </w:r>
          </w:p>
        </w:tc>
      </w:tr>
      <w:tr w:rsidR="00636CC9" w:rsidRPr="00636CC9" w14:paraId="028ABC4F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51BE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3.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AC3B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M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1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transporto priemonių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34D7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23,0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FB0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8DD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6,0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525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8,2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D127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11,5</w:t>
            </w:r>
          </w:p>
        </w:tc>
      </w:tr>
      <w:tr w:rsidR="00636CC9" w:rsidRPr="00636CC9" w14:paraId="0B9C8BC9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CED6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4.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9AB2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M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2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mažųjų autobusų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7CE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26,5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56E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3,8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CEB5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6,9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DA16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9,5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39D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13,2</w:t>
            </w:r>
          </w:p>
        </w:tc>
      </w:tr>
      <w:tr w:rsidR="00636CC9" w:rsidRPr="00636CC9" w14:paraId="2AE3D1EC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FDA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5.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09A8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M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3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autobusų, troleibusų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32FE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37,6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269E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5,2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6E6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9,7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AB6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13,6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7E0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18,9</w:t>
            </w:r>
          </w:p>
        </w:tc>
      </w:tr>
      <w:tr w:rsidR="00636CC9" w:rsidRPr="00636CC9" w14:paraId="7DEF13F7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1C7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6.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7B0A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M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3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sujungtų autobusų, troleibusų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1F1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42,7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0030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6,0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FFD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11,1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A84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15,3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8959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21,3</w:t>
            </w:r>
          </w:p>
        </w:tc>
      </w:tr>
      <w:tr w:rsidR="00636CC9" w:rsidRPr="00636CC9" w14:paraId="6C283C74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D581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7.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898E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N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1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krovininių transporto priemonių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08A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23,5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5A2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F97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1066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8,4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D75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11,7</w:t>
            </w:r>
          </w:p>
        </w:tc>
      </w:tr>
      <w:tr w:rsidR="00636CC9" w:rsidRPr="00636CC9" w14:paraId="65B9B7B2" w14:textId="77777777" w:rsidTr="00C10704">
        <w:trPr>
          <w:trHeight w:val="51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1BE9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8.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9787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N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2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krovininių transporto priemonių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06B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30,0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3B55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E7F9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7,9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08D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10,8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ABC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15,0</w:t>
            </w:r>
          </w:p>
        </w:tc>
      </w:tr>
      <w:tr w:rsidR="00636CC9" w:rsidRPr="00636CC9" w14:paraId="6AC773FD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046D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9.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9E7D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N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3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krovininių transporto priemonių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19E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42,7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4307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6,0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F6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11,1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46C9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15,3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43D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21,3</w:t>
            </w:r>
          </w:p>
        </w:tc>
      </w:tr>
      <w:tr w:rsidR="00636CC9" w:rsidRPr="00636CC9" w14:paraId="611A63D8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90A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10.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CF5A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O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1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transporto priemonių priekabų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AAB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8,6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909E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B83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0660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3,0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609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4,3</w:t>
            </w:r>
          </w:p>
        </w:tc>
      </w:tr>
      <w:tr w:rsidR="00636CC9" w:rsidRPr="00636CC9" w14:paraId="2D9CA4D2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47B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11.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D136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O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2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DD4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15,1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023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F97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3,9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F8A5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5,3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895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7,5</w:t>
            </w:r>
          </w:p>
        </w:tc>
      </w:tr>
      <w:tr w:rsidR="00636CC9" w:rsidRPr="00636CC9" w14:paraId="472A2B0C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CF33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12.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B93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O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3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073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29,0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A43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07E0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7,5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03E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10,4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75F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14,6</w:t>
            </w:r>
          </w:p>
        </w:tc>
      </w:tr>
      <w:tr w:rsidR="00636CC9" w:rsidRPr="00636CC9" w14:paraId="5BEA1C85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7C8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13.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6721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O</w:t>
            </w:r>
            <w:r w:rsidRPr="00636CC9">
              <w:rPr>
                <w:rFonts w:eastAsia="Times New Roman"/>
                <w:color w:val="auto"/>
                <w:vertAlign w:val="subscript"/>
                <w:lang w:eastAsia="lt-LT"/>
              </w:rPr>
              <w:t>4</w:t>
            </w:r>
            <w:r w:rsidRPr="00636CC9">
              <w:rPr>
                <w:rFonts w:eastAsia="Times New Roman"/>
                <w:color w:val="auto"/>
                <w:lang w:eastAsia="lt-LT"/>
              </w:rPr>
              <w:t> klasės transporto priemonių priekabų (puspriekabių)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1DC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35,5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1FE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4,9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F5D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9,2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4A0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12,8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608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17,8</w:t>
            </w:r>
          </w:p>
        </w:tc>
      </w:tr>
      <w:tr w:rsidR="00636CC9" w:rsidRPr="00636CC9" w14:paraId="13289E86" w14:textId="77777777" w:rsidTr="00C10704">
        <w:trPr>
          <w:trHeight w:val="51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EF5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14.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7C7B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Papildoma transporto priemonių, skirtų pavojingiesiems kroviniams vežti,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4F4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10,9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336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1,6</w:t>
            </w:r>
          </w:p>
          <w:p w14:paraId="33B5E3B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(PTA)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A406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564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519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</w:tr>
      <w:tr w:rsidR="00636CC9" w:rsidRPr="00636CC9" w14:paraId="3414F0D3" w14:textId="77777777" w:rsidTr="00C10704">
        <w:trPr>
          <w:trHeight w:val="51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2DD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15.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06B9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Papildoma transporto priemonių, skirtų saugiems kroviniams vežti,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AAB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10,9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2193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1,6</w:t>
            </w:r>
          </w:p>
          <w:p w14:paraId="29BEB7E1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(PTA)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046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208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134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</w:tr>
      <w:tr w:rsidR="00636CC9" w:rsidRPr="00636CC9" w14:paraId="5F6EC6A6" w14:textId="77777777" w:rsidTr="00C10704">
        <w:trPr>
          <w:trHeight w:val="30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A8F1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16.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FAAA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Dujinės maitinimo įrangos techninės būklės patikra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5926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5,9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D75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0,8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7BA7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1,6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74F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2,1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ADA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2,9</w:t>
            </w:r>
          </w:p>
        </w:tc>
      </w:tr>
      <w:tr w:rsidR="00636CC9" w:rsidRPr="00636CC9" w14:paraId="0FDC6B1D" w14:textId="77777777" w:rsidTr="00C10704">
        <w:trPr>
          <w:trHeight w:val="84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B15C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17.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F536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 xml:space="preserve">Papildoma procedūra transporto priemonių dyzeliu varomų variklių išmetamųjų dujų </w:t>
            </w:r>
            <w:proofErr w:type="spellStart"/>
            <w:r w:rsidRPr="00636CC9">
              <w:rPr>
                <w:rFonts w:eastAsia="Times New Roman"/>
                <w:color w:val="auto"/>
                <w:lang w:eastAsia="lt-LT"/>
              </w:rPr>
              <w:t>dūmingumui</w:t>
            </w:r>
            <w:proofErr w:type="spellEnd"/>
            <w:r w:rsidRPr="00636CC9">
              <w:rPr>
                <w:rFonts w:eastAsia="Times New Roman"/>
                <w:color w:val="auto"/>
                <w:lang w:eastAsia="lt-LT"/>
              </w:rPr>
              <w:t xml:space="preserve"> patikrinti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C37A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3,7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F544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1,9</w:t>
            </w:r>
          </w:p>
          <w:p w14:paraId="3D63094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(PTA)</w:t>
            </w: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690D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D34B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A73C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</w:tr>
      <w:tr w:rsidR="00636CC9" w:rsidRPr="00636CC9" w14:paraId="48ED4728" w14:textId="77777777" w:rsidTr="00C10704">
        <w:trPr>
          <w:trHeight w:val="1020"/>
        </w:trPr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E17F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18.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942F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Papildoma procedūra transporto priemonių su pneumatine, hidrauline arba mišria stabdžių sistema darbinių stabdžių sistemos stabdymo efektyvumui patikrinti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C11E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12,1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610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4906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5D73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B855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</w:tr>
      <w:tr w:rsidR="00636CC9" w:rsidRPr="00636CC9" w14:paraId="18FB49A7" w14:textId="77777777" w:rsidTr="00C10704">
        <w:trPr>
          <w:trHeight w:val="669"/>
        </w:trPr>
        <w:tc>
          <w:tcPr>
            <w:tcW w:w="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9ECD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19.</w:t>
            </w:r>
          </w:p>
        </w:tc>
        <w:tc>
          <w:tcPr>
            <w:tcW w:w="5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ED13" w14:textId="77777777" w:rsidR="00636CC9" w:rsidRPr="00636CC9" w:rsidRDefault="00636CC9" w:rsidP="00636CC9">
            <w:pPr>
              <w:ind w:firstLine="0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Papildoma istorinių motorinių transporto priemonių patikra</w:t>
            </w:r>
          </w:p>
        </w:tc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BA22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000000"/>
                <w:szCs w:val="20"/>
              </w:rPr>
              <w:t>91,8</w:t>
            </w:r>
          </w:p>
        </w:tc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8815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45,9</w:t>
            </w:r>
          </w:p>
          <w:p w14:paraId="64A096B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  <w:r w:rsidRPr="00636CC9">
              <w:rPr>
                <w:rFonts w:eastAsia="Times New Roman"/>
                <w:color w:val="auto"/>
                <w:lang w:eastAsia="lt-LT"/>
              </w:rPr>
              <w:t>(PTA)</w:t>
            </w:r>
          </w:p>
        </w:tc>
        <w:tc>
          <w:tcPr>
            <w:tcW w:w="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06CF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22D8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  <w:tc>
          <w:tcPr>
            <w:tcW w:w="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84D3" w14:textId="77777777" w:rsidR="00636CC9" w:rsidRPr="00636CC9" w:rsidRDefault="00636CC9" w:rsidP="00636CC9">
            <w:pPr>
              <w:ind w:firstLine="0"/>
              <w:jc w:val="center"/>
              <w:rPr>
                <w:rFonts w:eastAsia="Times New Roman"/>
                <w:color w:val="auto"/>
                <w:lang w:eastAsia="lt-LT"/>
              </w:rPr>
            </w:pPr>
          </w:p>
        </w:tc>
      </w:tr>
    </w:tbl>
    <w:p w14:paraId="2C716AA6" w14:textId="77777777" w:rsidR="00636CC9" w:rsidRPr="00636CC9" w:rsidRDefault="00636CC9" w:rsidP="00DD73D1">
      <w:pPr>
        <w:ind w:firstLine="0"/>
        <w:rPr>
          <w:rFonts w:eastAsia="Times New Roman"/>
          <w:color w:val="auto"/>
          <w:lang w:eastAsia="lt-LT"/>
        </w:rPr>
      </w:pPr>
    </w:p>
    <w:p w14:paraId="16151BC7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</w:p>
    <w:p w14:paraId="42D760FB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kur</w:t>
      </w:r>
    </w:p>
    <w:p w14:paraId="5BB06628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</w:p>
    <w:p w14:paraId="194BF8BB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TA – procedūros kaina.</w:t>
      </w:r>
    </w:p>
    <w:p w14:paraId="1291DC80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PTA – pakartotinės procedūros kaina, kai yra naudojama tik dalis įrangos ir / ar techninės apžiūros laikas užtrunka ne ilgiau kaip 50 proc. privalomajai techninei apžiūrai skirto laiko.</w:t>
      </w:r>
    </w:p>
    <w:p w14:paraId="00C4E7AE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PTA</w:t>
      </w:r>
      <w:r w:rsidRPr="00636CC9">
        <w:rPr>
          <w:rFonts w:eastAsia="Times New Roman"/>
          <w:color w:val="auto"/>
          <w:vertAlign w:val="superscript"/>
          <w:lang w:eastAsia="lt-LT"/>
        </w:rPr>
        <w:t>1</w:t>
      </w:r>
      <w:r w:rsidRPr="00636CC9">
        <w:rPr>
          <w:rFonts w:eastAsia="Times New Roman"/>
          <w:color w:val="auto"/>
          <w:lang w:eastAsia="lt-LT"/>
        </w:rPr>
        <w:t> – pakartotinės procedūros kaina, kai vizuali apžiūra atliekama nesinaudojant apžiūros linija, sudaro 14 proc. privalomosios techninės apžiūros procedūros kainos.</w:t>
      </w:r>
    </w:p>
    <w:p w14:paraId="1CF8B523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PTA</w:t>
      </w:r>
      <w:r w:rsidRPr="00636CC9">
        <w:rPr>
          <w:rFonts w:eastAsia="Times New Roman"/>
          <w:color w:val="auto"/>
          <w:vertAlign w:val="superscript"/>
          <w:lang w:eastAsia="lt-LT"/>
        </w:rPr>
        <w:t>2</w:t>
      </w:r>
      <w:r w:rsidRPr="00636CC9">
        <w:rPr>
          <w:rFonts w:eastAsia="Times New Roman"/>
          <w:color w:val="auto"/>
          <w:lang w:eastAsia="lt-LT"/>
        </w:rPr>
        <w:t xml:space="preserve"> – pakartotinės procedūros kaina, kai reikia naudoti vieną kontrolinę (technologinę) įrangą (stabdžių stendą, apžiūros duobę arba keltuvą, šviesų reguliavimo tikrinimo prietaisą, dujų analizatorių arba </w:t>
      </w:r>
      <w:proofErr w:type="spellStart"/>
      <w:r w:rsidRPr="00636CC9">
        <w:rPr>
          <w:rFonts w:eastAsia="Times New Roman"/>
          <w:color w:val="auto"/>
          <w:lang w:eastAsia="lt-LT"/>
        </w:rPr>
        <w:t>dūmingumo</w:t>
      </w:r>
      <w:proofErr w:type="spellEnd"/>
      <w:r w:rsidRPr="00636CC9">
        <w:rPr>
          <w:rFonts w:eastAsia="Times New Roman"/>
          <w:color w:val="auto"/>
          <w:lang w:eastAsia="lt-LT"/>
        </w:rPr>
        <w:t xml:space="preserve"> matavimo prietaisą), sudaro 26 proc. privalomosios techninės apžiūros procedūros kainos. Tikrinant dujinę maitinimo įrangą taikoma, kai reikia naudoti dujų nuotėkio ieškiklį, dujų analizatorių, apžiūros duobę arba keltuvą.</w:t>
      </w:r>
    </w:p>
    <w:p w14:paraId="0C49B8AA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PTA</w:t>
      </w:r>
      <w:r w:rsidRPr="00636CC9">
        <w:rPr>
          <w:rFonts w:eastAsia="Times New Roman"/>
          <w:color w:val="auto"/>
          <w:vertAlign w:val="superscript"/>
          <w:lang w:eastAsia="lt-LT"/>
        </w:rPr>
        <w:t>3</w:t>
      </w:r>
      <w:r w:rsidRPr="00636CC9">
        <w:rPr>
          <w:rFonts w:eastAsia="Times New Roman"/>
          <w:color w:val="auto"/>
          <w:lang w:eastAsia="lt-LT"/>
        </w:rPr>
        <w:t xml:space="preserve"> – pakartotinės procedūros kaina, kai reikia naudoti dviejų rūšių kontrolinę (technologinę) įrangą (stabdžių stendą, apžiūros duobę arba keltuvą, šviesų reguliavimo tikrinimo prietaisą, dujų analizatorių arba </w:t>
      </w:r>
      <w:proofErr w:type="spellStart"/>
      <w:r w:rsidRPr="00636CC9">
        <w:rPr>
          <w:rFonts w:eastAsia="Times New Roman"/>
          <w:color w:val="auto"/>
          <w:lang w:eastAsia="lt-LT"/>
        </w:rPr>
        <w:t>dūmingumo</w:t>
      </w:r>
      <w:proofErr w:type="spellEnd"/>
      <w:r w:rsidRPr="00636CC9">
        <w:rPr>
          <w:rFonts w:eastAsia="Times New Roman"/>
          <w:color w:val="auto"/>
          <w:lang w:eastAsia="lt-LT"/>
        </w:rPr>
        <w:t xml:space="preserve"> matavimo prietaisą), sudaro 36 proc. privalomosios techninės apžiūros procedūros kainos. Tikrinant dujinę maitinimo įrangą taikoma, kai reikia naudoti dujų nuotėkio ieškiklį, dujų analizatorių, apžiūros duobę arba keltuvą.</w:t>
      </w:r>
    </w:p>
    <w:p w14:paraId="033E128A" w14:textId="77777777" w:rsidR="00636CC9" w:rsidRPr="00636CC9" w:rsidRDefault="00636CC9" w:rsidP="00636CC9">
      <w:pPr>
        <w:ind w:firstLine="1134"/>
        <w:rPr>
          <w:rFonts w:eastAsia="Times New Roman"/>
          <w:color w:val="auto"/>
          <w:lang w:eastAsia="lt-LT"/>
        </w:rPr>
      </w:pPr>
      <w:r w:rsidRPr="00636CC9">
        <w:rPr>
          <w:rFonts w:eastAsia="Times New Roman"/>
          <w:color w:val="auto"/>
          <w:lang w:eastAsia="lt-LT"/>
        </w:rPr>
        <w:t>PTA</w:t>
      </w:r>
      <w:r w:rsidRPr="00636CC9">
        <w:rPr>
          <w:rFonts w:eastAsia="Times New Roman"/>
          <w:color w:val="auto"/>
          <w:vertAlign w:val="superscript"/>
          <w:lang w:eastAsia="lt-LT"/>
        </w:rPr>
        <w:t>4</w:t>
      </w:r>
      <w:r w:rsidRPr="00636CC9">
        <w:rPr>
          <w:rFonts w:eastAsia="Times New Roman"/>
          <w:color w:val="auto"/>
          <w:lang w:eastAsia="lt-LT"/>
        </w:rPr>
        <w:t xml:space="preserve"> – pakartotinės procedūros kaina, kai reikia naudoti trijų ir daugiau rūšių kontrolinę (technologinę) įrangą (stabdžių stendą, apžiūros duobę arba keltuvą, šviesų reguliavimo tikrinimo prietaisą, dujų analizatorių arba </w:t>
      </w:r>
      <w:proofErr w:type="spellStart"/>
      <w:r w:rsidRPr="00636CC9">
        <w:rPr>
          <w:rFonts w:eastAsia="Times New Roman"/>
          <w:color w:val="auto"/>
          <w:lang w:eastAsia="lt-LT"/>
        </w:rPr>
        <w:t>dūmingumo</w:t>
      </w:r>
      <w:proofErr w:type="spellEnd"/>
      <w:r w:rsidRPr="00636CC9">
        <w:rPr>
          <w:rFonts w:eastAsia="Times New Roman"/>
          <w:color w:val="auto"/>
          <w:lang w:eastAsia="lt-LT"/>
        </w:rPr>
        <w:t xml:space="preserve"> matavimo prietaisą), sudaro 50 proc.  privalomosios techninės apžiūros procedūros kainos. Tikrinant dujinę maitinimo įrangą taikoma, kai reikia naudoti dujų nuotėkio ieškiklį, dujų analizatorių, apžiūros duobę arba keltuvą.</w:t>
      </w:r>
    </w:p>
    <w:p w14:paraId="18A3AE86" w14:textId="77777777" w:rsidR="00636CC9" w:rsidRPr="00636CC9" w:rsidRDefault="00636CC9" w:rsidP="00D22A9D">
      <w:pPr>
        <w:tabs>
          <w:tab w:val="left" w:pos="851"/>
          <w:tab w:val="center" w:pos="4819"/>
          <w:tab w:val="left" w:pos="6379"/>
          <w:tab w:val="right" w:pos="9638"/>
        </w:tabs>
        <w:ind w:firstLine="0"/>
        <w:jc w:val="left"/>
        <w:rPr>
          <w:lang w:val="en-US"/>
        </w:rPr>
      </w:pPr>
    </w:p>
    <w:sectPr w:rsidR="00636CC9" w:rsidRPr="00636CC9">
      <w:headerReference w:type="default" r:id="rId8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C55E" w14:textId="77777777" w:rsidR="00530EA8" w:rsidRDefault="00530EA8">
      <w:r>
        <w:separator/>
      </w:r>
    </w:p>
  </w:endnote>
  <w:endnote w:type="continuationSeparator" w:id="0">
    <w:p w14:paraId="11C20495" w14:textId="77777777" w:rsidR="00530EA8" w:rsidRDefault="0053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roman"/>
    <w:pitch w:val="variable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C418" w14:textId="77777777" w:rsidR="00530EA8" w:rsidRDefault="00530EA8">
      <w:r>
        <w:separator/>
      </w:r>
    </w:p>
  </w:footnote>
  <w:footnote w:type="continuationSeparator" w:id="0">
    <w:p w14:paraId="784374DD" w14:textId="77777777" w:rsidR="00530EA8" w:rsidRDefault="0053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373840"/>
      <w:docPartObj>
        <w:docPartGallery w:val="Page Numbers (Top of Page)"/>
        <w:docPartUnique/>
      </w:docPartObj>
    </w:sdtPr>
    <w:sdtEndPr/>
    <w:sdtContent>
      <w:p w14:paraId="088535FD" w14:textId="77777777" w:rsidR="00FC7A75" w:rsidRDefault="00187E7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1BAB"/>
    <w:multiLevelType w:val="multilevel"/>
    <w:tmpl w:val="A5E6EF5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C27D5"/>
    <w:multiLevelType w:val="multilevel"/>
    <w:tmpl w:val="AC20E0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9456FD"/>
    <w:multiLevelType w:val="multilevel"/>
    <w:tmpl w:val="FA3A38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D64"/>
    <w:multiLevelType w:val="multilevel"/>
    <w:tmpl w:val="81286A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71563B4"/>
    <w:multiLevelType w:val="multilevel"/>
    <w:tmpl w:val="61A67F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346EC"/>
    <w:multiLevelType w:val="multilevel"/>
    <w:tmpl w:val="20605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9214712">
    <w:abstractNumId w:val="1"/>
  </w:num>
  <w:num w:numId="2" w16cid:durableId="1337345526">
    <w:abstractNumId w:val="2"/>
  </w:num>
  <w:num w:numId="3" w16cid:durableId="1001543928">
    <w:abstractNumId w:val="3"/>
  </w:num>
  <w:num w:numId="4" w16cid:durableId="248776963">
    <w:abstractNumId w:val="5"/>
  </w:num>
  <w:num w:numId="5" w16cid:durableId="1442142767">
    <w:abstractNumId w:val="0"/>
  </w:num>
  <w:num w:numId="6" w16cid:durableId="1774128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5"/>
    <w:rsid w:val="00006CB0"/>
    <w:rsid w:val="00020ADC"/>
    <w:rsid w:val="000236A0"/>
    <w:rsid w:val="00034838"/>
    <w:rsid w:val="00034AAE"/>
    <w:rsid w:val="00057B3C"/>
    <w:rsid w:val="00061A24"/>
    <w:rsid w:val="00073CC7"/>
    <w:rsid w:val="00074BEC"/>
    <w:rsid w:val="000902DF"/>
    <w:rsid w:val="000C369E"/>
    <w:rsid w:val="000F2B2E"/>
    <w:rsid w:val="00104FFC"/>
    <w:rsid w:val="001162E4"/>
    <w:rsid w:val="00157743"/>
    <w:rsid w:val="001636DB"/>
    <w:rsid w:val="00183300"/>
    <w:rsid w:val="00187E7F"/>
    <w:rsid w:val="001B57BD"/>
    <w:rsid w:val="001D43E5"/>
    <w:rsid w:val="001E368F"/>
    <w:rsid w:val="001F6986"/>
    <w:rsid w:val="00200337"/>
    <w:rsid w:val="0023647A"/>
    <w:rsid w:val="00240057"/>
    <w:rsid w:val="002458AC"/>
    <w:rsid w:val="00271DD8"/>
    <w:rsid w:val="002E2AB2"/>
    <w:rsid w:val="002E49F8"/>
    <w:rsid w:val="002E6887"/>
    <w:rsid w:val="002F3A19"/>
    <w:rsid w:val="002F43F3"/>
    <w:rsid w:val="00305465"/>
    <w:rsid w:val="00370C02"/>
    <w:rsid w:val="003721A6"/>
    <w:rsid w:val="00373E40"/>
    <w:rsid w:val="003829D0"/>
    <w:rsid w:val="00383523"/>
    <w:rsid w:val="00384BEF"/>
    <w:rsid w:val="00385CEB"/>
    <w:rsid w:val="003A76F3"/>
    <w:rsid w:val="003F1351"/>
    <w:rsid w:val="0040302B"/>
    <w:rsid w:val="004170C3"/>
    <w:rsid w:val="00433ED6"/>
    <w:rsid w:val="00445300"/>
    <w:rsid w:val="004623DD"/>
    <w:rsid w:val="00497AE7"/>
    <w:rsid w:val="004C1407"/>
    <w:rsid w:val="004C7651"/>
    <w:rsid w:val="004D6CE9"/>
    <w:rsid w:val="004E3A94"/>
    <w:rsid w:val="004F1B2B"/>
    <w:rsid w:val="004F76B7"/>
    <w:rsid w:val="005118C8"/>
    <w:rsid w:val="00511F5D"/>
    <w:rsid w:val="00513D75"/>
    <w:rsid w:val="00527F63"/>
    <w:rsid w:val="00530EA8"/>
    <w:rsid w:val="005349CA"/>
    <w:rsid w:val="00540643"/>
    <w:rsid w:val="00547E29"/>
    <w:rsid w:val="0055149A"/>
    <w:rsid w:val="00575345"/>
    <w:rsid w:val="005B6376"/>
    <w:rsid w:val="005B6F09"/>
    <w:rsid w:val="005C4E48"/>
    <w:rsid w:val="005E10D7"/>
    <w:rsid w:val="00615F85"/>
    <w:rsid w:val="00617E1C"/>
    <w:rsid w:val="00636CC9"/>
    <w:rsid w:val="00651BAB"/>
    <w:rsid w:val="006566D2"/>
    <w:rsid w:val="00663B33"/>
    <w:rsid w:val="0067277A"/>
    <w:rsid w:val="006B6E2B"/>
    <w:rsid w:val="006F55DC"/>
    <w:rsid w:val="00705FED"/>
    <w:rsid w:val="007217BB"/>
    <w:rsid w:val="007344DA"/>
    <w:rsid w:val="00736EF9"/>
    <w:rsid w:val="007718D7"/>
    <w:rsid w:val="00772AC6"/>
    <w:rsid w:val="007B47B0"/>
    <w:rsid w:val="007B4AD8"/>
    <w:rsid w:val="007B5DF2"/>
    <w:rsid w:val="007E5232"/>
    <w:rsid w:val="007E77A0"/>
    <w:rsid w:val="007F17A7"/>
    <w:rsid w:val="007F694A"/>
    <w:rsid w:val="007F76AF"/>
    <w:rsid w:val="008166F2"/>
    <w:rsid w:val="00821200"/>
    <w:rsid w:val="00837B77"/>
    <w:rsid w:val="008865D8"/>
    <w:rsid w:val="008A1B32"/>
    <w:rsid w:val="008B4B05"/>
    <w:rsid w:val="008D76E2"/>
    <w:rsid w:val="008E4D0F"/>
    <w:rsid w:val="008E4DB2"/>
    <w:rsid w:val="008F4884"/>
    <w:rsid w:val="0095647E"/>
    <w:rsid w:val="00977BEF"/>
    <w:rsid w:val="0099086B"/>
    <w:rsid w:val="00996934"/>
    <w:rsid w:val="00997F06"/>
    <w:rsid w:val="009D14C4"/>
    <w:rsid w:val="009E6F31"/>
    <w:rsid w:val="009F06CC"/>
    <w:rsid w:val="009F0BA0"/>
    <w:rsid w:val="009F26A6"/>
    <w:rsid w:val="00A007AB"/>
    <w:rsid w:val="00A14822"/>
    <w:rsid w:val="00A23440"/>
    <w:rsid w:val="00A239C2"/>
    <w:rsid w:val="00A4267E"/>
    <w:rsid w:val="00A57598"/>
    <w:rsid w:val="00A604FE"/>
    <w:rsid w:val="00A64272"/>
    <w:rsid w:val="00A73F2E"/>
    <w:rsid w:val="00AA481B"/>
    <w:rsid w:val="00AB24EE"/>
    <w:rsid w:val="00AB3674"/>
    <w:rsid w:val="00AF5EDF"/>
    <w:rsid w:val="00B139C3"/>
    <w:rsid w:val="00B17C2D"/>
    <w:rsid w:val="00B3620E"/>
    <w:rsid w:val="00B50C35"/>
    <w:rsid w:val="00B53C7E"/>
    <w:rsid w:val="00B57FDC"/>
    <w:rsid w:val="00B717D7"/>
    <w:rsid w:val="00B875A7"/>
    <w:rsid w:val="00B91D79"/>
    <w:rsid w:val="00B92F52"/>
    <w:rsid w:val="00BB0670"/>
    <w:rsid w:val="00BB6E69"/>
    <w:rsid w:val="00BE4801"/>
    <w:rsid w:val="00BE702C"/>
    <w:rsid w:val="00C069D7"/>
    <w:rsid w:val="00C13C1E"/>
    <w:rsid w:val="00C42B84"/>
    <w:rsid w:val="00C51481"/>
    <w:rsid w:val="00C51633"/>
    <w:rsid w:val="00C60DB5"/>
    <w:rsid w:val="00C621CF"/>
    <w:rsid w:val="00C64421"/>
    <w:rsid w:val="00C6754A"/>
    <w:rsid w:val="00C853BA"/>
    <w:rsid w:val="00C9123E"/>
    <w:rsid w:val="00C96000"/>
    <w:rsid w:val="00CA6215"/>
    <w:rsid w:val="00CB18B8"/>
    <w:rsid w:val="00CE0686"/>
    <w:rsid w:val="00D04606"/>
    <w:rsid w:val="00D2049C"/>
    <w:rsid w:val="00D22A9D"/>
    <w:rsid w:val="00D27657"/>
    <w:rsid w:val="00D35B07"/>
    <w:rsid w:val="00D412DD"/>
    <w:rsid w:val="00D43DBF"/>
    <w:rsid w:val="00D526D9"/>
    <w:rsid w:val="00D536C9"/>
    <w:rsid w:val="00D6072B"/>
    <w:rsid w:val="00D640E8"/>
    <w:rsid w:val="00D65F02"/>
    <w:rsid w:val="00D70176"/>
    <w:rsid w:val="00DB134F"/>
    <w:rsid w:val="00DB4B15"/>
    <w:rsid w:val="00DC1FEB"/>
    <w:rsid w:val="00DD01F7"/>
    <w:rsid w:val="00DD73D1"/>
    <w:rsid w:val="00DD783E"/>
    <w:rsid w:val="00DE090B"/>
    <w:rsid w:val="00DF2F71"/>
    <w:rsid w:val="00E17CD3"/>
    <w:rsid w:val="00E41472"/>
    <w:rsid w:val="00E50814"/>
    <w:rsid w:val="00E677ED"/>
    <w:rsid w:val="00E67BEF"/>
    <w:rsid w:val="00E72120"/>
    <w:rsid w:val="00E84F0E"/>
    <w:rsid w:val="00E97822"/>
    <w:rsid w:val="00EA05BC"/>
    <w:rsid w:val="00ED432A"/>
    <w:rsid w:val="00EE1A3C"/>
    <w:rsid w:val="00EE50AA"/>
    <w:rsid w:val="00EF3838"/>
    <w:rsid w:val="00F04CAC"/>
    <w:rsid w:val="00F114CF"/>
    <w:rsid w:val="00F31C89"/>
    <w:rsid w:val="00F569E9"/>
    <w:rsid w:val="00F6328A"/>
    <w:rsid w:val="00F64EAB"/>
    <w:rsid w:val="00F75923"/>
    <w:rsid w:val="00F76AA7"/>
    <w:rsid w:val="00F77957"/>
    <w:rsid w:val="00F87D05"/>
    <w:rsid w:val="00FA295D"/>
    <w:rsid w:val="00FA680D"/>
    <w:rsid w:val="00FC7A75"/>
    <w:rsid w:val="00FE0FAF"/>
    <w:rsid w:val="00FE5B7E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D45"/>
  <w15:docId w15:val="{87F4AE68-BA5F-4B23-985D-CF355B3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7F01"/>
    <w:pPr>
      <w:ind w:firstLine="709"/>
      <w:jc w:val="both"/>
    </w:pPr>
    <w:rPr>
      <w:rFonts w:ascii="Times New Roman" w:eastAsia="Arial Unicode MS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rsid w:val="00E07F01"/>
    <w:rPr>
      <w:rFonts w:cs="Times New Roman"/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7F01"/>
    <w:rPr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E07F01"/>
    <w:rPr>
      <w:rFonts w:eastAsia="Times New Roman"/>
      <w:sz w:val="24"/>
      <w:szCs w:val="24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E07F01"/>
    <w:rPr>
      <w:rFonts w:ascii="Times New Roman" w:eastAsia="Arial Unicode MS" w:hAnsi="Times New Roman" w:cs="Times New Roman"/>
      <w:color w:val="00000A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/>
      <w:b/>
      <w:color w:val="00000A"/>
    </w:rPr>
  </w:style>
  <w:style w:type="character" w:customStyle="1" w:styleId="ListLabel2">
    <w:name w:val="ListLabel 2"/>
    <w:qFormat/>
    <w:rPr>
      <w:i/>
      <w:highlight w:val="white"/>
    </w:rPr>
  </w:style>
  <w:style w:type="character" w:customStyle="1" w:styleId="ListLabel3">
    <w:name w:val="ListLabel 3"/>
    <w:qFormat/>
    <w:rPr>
      <w:rFonts w:ascii="Times New Roman" w:hAnsi="Times New Roman"/>
      <w:b/>
      <w:color w:val="00000A"/>
    </w:rPr>
  </w:style>
  <w:style w:type="character" w:customStyle="1" w:styleId="ListLabel4">
    <w:name w:val="ListLabel 4"/>
    <w:qFormat/>
    <w:rPr>
      <w:i/>
    </w:rPr>
  </w:style>
  <w:style w:type="character" w:customStyle="1" w:styleId="Numeravimosimboliai">
    <w:name w:val="Numeravimo simboliai"/>
    <w:qFormat/>
  </w:style>
  <w:style w:type="character" w:customStyle="1" w:styleId="ListLabel5">
    <w:name w:val="ListLabel 5"/>
    <w:qFormat/>
    <w:rPr>
      <w:rFonts w:ascii="Times New Roman" w:hAnsi="Times New Roman"/>
      <w:b/>
      <w:color w:val="00000A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rFonts w:ascii="Times New Roman" w:hAnsi="Times New Roman"/>
      <w:b/>
      <w:color w:val="00000A"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rFonts w:ascii="Times New Roman" w:hAnsi="Times New Roman"/>
      <w:b/>
      <w:color w:val="00000A"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rFonts w:ascii="Times New Roman" w:hAnsi="Times New Roman"/>
      <w:b/>
      <w:color w:val="00000A"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rFonts w:ascii="Times New Roman" w:hAnsi="Times New Roman"/>
      <w:b/>
      <w:color w:val="00000A"/>
    </w:rPr>
  </w:style>
  <w:style w:type="character" w:customStyle="1" w:styleId="ListLabel14">
    <w:name w:val="ListLabel 14"/>
    <w:qFormat/>
    <w:rPr>
      <w:i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Body2">
    <w:name w:val="Body 2"/>
    <w:qFormat/>
    <w:rsid w:val="00E07F01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4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E07F0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paragraph" w:styleId="Sraopastraipa">
    <w:name w:val="List Paragraph"/>
    <w:basedOn w:val="prastasis"/>
    <w:link w:val="SraopastraipaDiagrama"/>
    <w:uiPriority w:val="34"/>
    <w:qFormat/>
    <w:rsid w:val="00E07F01"/>
    <w:pPr>
      <w:ind w:left="720"/>
      <w:contextualSpacing/>
    </w:pPr>
    <w:rPr>
      <w:rFonts w:asciiTheme="minorHAnsi" w:eastAsia="Times New Roman" w:hAnsiTheme="minorHAnsi" w:cstheme="minorBidi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E07F0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D14C4"/>
    <w:rPr>
      <w:rFonts w:ascii="Times New Roman" w:eastAsia="Helvetica Neue UltraLight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AB1D-495F-49BA-90E5-D38B5198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3604</Words>
  <Characters>2055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Asta_</dc:creator>
  <cp:lastModifiedBy>Laura Valauskienė</cp:lastModifiedBy>
  <cp:revision>2</cp:revision>
  <dcterms:created xsi:type="dcterms:W3CDTF">2025-03-10T07:18:00Z</dcterms:created>
  <dcterms:modified xsi:type="dcterms:W3CDTF">2025-03-10T07:18:00Z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