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94BE" w14:textId="77777777" w:rsidR="00E32A73" w:rsidRPr="009313BA" w:rsidRDefault="00E32A73" w:rsidP="00E32A73">
      <w:pPr>
        <w:ind w:left="-709"/>
        <w:jc w:val="both"/>
        <w:rPr>
          <w:lang w:val="lt-LT"/>
        </w:rPr>
      </w:pPr>
      <w:r w:rsidRPr="009313BA">
        <w:rPr>
          <w:lang w:val="lt-LT"/>
        </w:rPr>
        <w:t xml:space="preserve">Pirkimo dokumentų </w:t>
      </w:r>
    </w:p>
    <w:p w14:paraId="11A21A2A" w14:textId="77777777" w:rsidR="00E32A73" w:rsidRPr="009313BA" w:rsidRDefault="00E32A73" w:rsidP="00E32A73">
      <w:pPr>
        <w:ind w:left="-709"/>
        <w:jc w:val="both"/>
        <w:rPr>
          <w:lang w:val="lt-LT"/>
        </w:rPr>
      </w:pPr>
      <w:r w:rsidRPr="009313BA">
        <w:rPr>
          <w:lang w:val="lt-LT"/>
        </w:rPr>
        <w:t xml:space="preserve">1 priedas </w:t>
      </w:r>
    </w:p>
    <w:p w14:paraId="12D26845" w14:textId="77777777" w:rsidR="00E32A73" w:rsidRPr="009313BA" w:rsidRDefault="00E32A73" w:rsidP="00E32A73">
      <w:pPr>
        <w:ind w:left="-709"/>
        <w:jc w:val="both"/>
        <w:rPr>
          <w:lang w:val="lt-LT"/>
        </w:rPr>
      </w:pPr>
      <w:r w:rsidRPr="009313BA">
        <w:rPr>
          <w:lang w:val="lt-LT"/>
        </w:rPr>
        <w:t>TECHNINĖ SPECIFIKACIJA</w:t>
      </w:r>
    </w:p>
    <w:p w14:paraId="2CF6DC96" w14:textId="77777777" w:rsidR="00E32A73" w:rsidRPr="009313BA" w:rsidRDefault="00E32A73" w:rsidP="00E32A73">
      <w:pPr>
        <w:ind w:left="-709"/>
        <w:jc w:val="both"/>
        <w:rPr>
          <w:lang w:val="lt-LT"/>
        </w:rPr>
      </w:pPr>
    </w:p>
    <w:p w14:paraId="543ADFE1" w14:textId="77777777" w:rsidR="00383D2C" w:rsidRDefault="003F176C" w:rsidP="00E63820">
      <w:pPr>
        <w:ind w:left="-706"/>
        <w:jc w:val="both"/>
        <w:rPr>
          <w:lang w:val="lt-LT"/>
        </w:rPr>
      </w:pPr>
      <w:r w:rsidRPr="009313BA">
        <w:rPr>
          <w:lang w:val="lt-LT"/>
        </w:rPr>
        <w:t>VšĮ „</w:t>
      </w:r>
      <w:r w:rsidR="00E32A73" w:rsidRPr="009313BA">
        <w:rPr>
          <w:lang w:val="lt-LT"/>
        </w:rPr>
        <w:t>Centrinė projektų valdymo agentūra</w:t>
      </w:r>
      <w:r w:rsidRPr="009313BA">
        <w:rPr>
          <w:lang w:val="lt-LT"/>
        </w:rPr>
        <w:t>“</w:t>
      </w:r>
      <w:r w:rsidR="00E32A73" w:rsidRPr="009313BA">
        <w:rPr>
          <w:lang w:val="lt-LT"/>
        </w:rPr>
        <w:t xml:space="preserve"> </w:t>
      </w:r>
      <w:r w:rsidR="00636F5E" w:rsidRPr="009313BA">
        <w:rPr>
          <w:lang w:val="lt-LT"/>
        </w:rPr>
        <w:t xml:space="preserve">(CPVA) </w:t>
      </w:r>
      <w:r w:rsidR="00E32A73" w:rsidRPr="009313BA">
        <w:rPr>
          <w:lang w:val="lt-LT"/>
        </w:rPr>
        <w:t xml:space="preserve">iš Patikos fondo finansuoja Europos humanitarinį universitetą (EHU). Pirkimo tikslas - </w:t>
      </w:r>
      <w:r w:rsidR="00E32A73" w:rsidRPr="009313BA">
        <w:rPr>
          <w:b/>
          <w:bCs/>
          <w:lang w:val="lt-LT"/>
        </w:rPr>
        <w:t xml:space="preserve">įsigyti audito paslaugą EHU </w:t>
      </w:r>
      <w:r w:rsidR="002E1295" w:rsidRPr="009313BA">
        <w:rPr>
          <w:b/>
          <w:bCs/>
          <w:lang w:val="lt-LT"/>
        </w:rPr>
        <w:t>patirtų faktinių išlaidų</w:t>
      </w:r>
      <w:r w:rsidR="002E1295" w:rsidRPr="009313BA">
        <w:rPr>
          <w:lang w:val="lt-LT"/>
        </w:rPr>
        <w:t xml:space="preserve"> (angl. actual costs), </w:t>
      </w:r>
      <w:r w:rsidR="002E1295" w:rsidRPr="009313BA">
        <w:rPr>
          <w:b/>
          <w:bCs/>
          <w:lang w:val="lt-LT"/>
        </w:rPr>
        <w:t>finansuojamų iš EHU Patikos fondo,</w:t>
      </w:r>
      <w:r w:rsidR="002E1295" w:rsidRPr="009313BA">
        <w:rPr>
          <w:lang w:val="lt-LT"/>
        </w:rPr>
        <w:t xml:space="preserve"> dalį už 2023 10 01 – 2024 09 30</w:t>
      </w:r>
      <w:r w:rsidR="0019690E" w:rsidRPr="009313BA">
        <w:rPr>
          <w:lang w:val="lt-LT"/>
        </w:rPr>
        <w:t xml:space="preserve"> pagal CPVA ir EHU sutartį</w:t>
      </w:r>
      <w:r w:rsidR="00214C80" w:rsidRPr="009313BA">
        <w:rPr>
          <w:lang w:val="lt-LT"/>
        </w:rPr>
        <w:t xml:space="preserve"> „</w:t>
      </w:r>
      <w:r w:rsidR="00383D2C">
        <w:rPr>
          <w:lang w:val="lt-LT"/>
        </w:rPr>
        <w:t>2024/4-14-2</w:t>
      </w:r>
      <w:r w:rsidR="00214C80" w:rsidRPr="009313BA">
        <w:rPr>
          <w:lang w:val="lt-LT"/>
        </w:rPr>
        <w:t>“ (</w:t>
      </w:r>
      <w:r w:rsidR="00214C80" w:rsidRPr="009313BA">
        <w:rPr>
          <w:b/>
          <w:bCs/>
          <w:lang w:val="lt-LT"/>
        </w:rPr>
        <w:t>toliau – GC2</w:t>
      </w:r>
      <w:r w:rsidR="00214C80" w:rsidRPr="009313BA">
        <w:rPr>
          <w:lang w:val="lt-LT"/>
        </w:rPr>
        <w:t>)</w:t>
      </w:r>
      <w:r w:rsidR="002E1295" w:rsidRPr="009313BA">
        <w:rPr>
          <w:lang w:val="lt-LT"/>
        </w:rPr>
        <w:t xml:space="preserve"> laikotarpį</w:t>
      </w:r>
      <w:r w:rsidR="00524636" w:rsidRPr="009313BA">
        <w:rPr>
          <w:lang w:val="lt-LT"/>
        </w:rPr>
        <w:t xml:space="preserve"> bei atitinkamai papildyti konsoliduotą </w:t>
      </w:r>
      <w:r w:rsidR="003B1A2A" w:rsidRPr="009313BA">
        <w:rPr>
          <w:lang w:val="lt-LT"/>
        </w:rPr>
        <w:t xml:space="preserve">audito ataskaitą, kurios pirminė versija parengta pagal </w:t>
      </w:r>
      <w:r w:rsidR="00636F5E" w:rsidRPr="009313BA">
        <w:rPr>
          <w:lang w:val="lt-LT"/>
        </w:rPr>
        <w:t xml:space="preserve">CPVA ir </w:t>
      </w:r>
      <w:r w:rsidR="00431709" w:rsidRPr="009313BA">
        <w:rPr>
          <w:lang w:val="lt-LT"/>
        </w:rPr>
        <w:t>paslaugos teikėjo</w:t>
      </w:r>
      <w:r w:rsidR="00636F5E" w:rsidRPr="009313BA">
        <w:rPr>
          <w:lang w:val="lt-LT"/>
        </w:rPr>
        <w:t xml:space="preserve"> </w:t>
      </w:r>
      <w:r w:rsidR="003B1A2A" w:rsidRPr="009313BA">
        <w:rPr>
          <w:lang w:val="lt-LT"/>
        </w:rPr>
        <w:t xml:space="preserve">sutartį </w:t>
      </w:r>
      <w:r w:rsidR="00636F5E" w:rsidRPr="009313BA">
        <w:rPr>
          <w:lang w:val="lt-LT"/>
        </w:rPr>
        <w:t>Nr. 2024_4-1-592</w:t>
      </w:r>
      <w:r w:rsidR="001E3939" w:rsidRPr="009313BA">
        <w:rPr>
          <w:lang w:val="lt-LT"/>
        </w:rPr>
        <w:t xml:space="preserve">. </w:t>
      </w:r>
    </w:p>
    <w:p w14:paraId="654DFAF6" w14:textId="063256DC" w:rsidR="002E1295" w:rsidRPr="009313BA" w:rsidRDefault="001E3939" w:rsidP="00E63820">
      <w:pPr>
        <w:ind w:left="-706"/>
        <w:jc w:val="both"/>
        <w:rPr>
          <w:lang w:val="lt-LT"/>
        </w:rPr>
      </w:pPr>
      <w:r w:rsidRPr="009313BA">
        <w:rPr>
          <w:lang w:val="lt-LT"/>
        </w:rPr>
        <w:t>Paslaugų apimtis:</w:t>
      </w:r>
      <w:r w:rsidR="00466C54" w:rsidRPr="009313BA">
        <w:rPr>
          <w:lang w:val="lt-LT"/>
        </w:rPr>
        <w:t xml:space="preserve"> </w:t>
      </w:r>
    </w:p>
    <w:p w14:paraId="725A277C" w14:textId="3E4FCCDA" w:rsidR="00431709" w:rsidRPr="00A26CA4" w:rsidRDefault="001E3939" w:rsidP="00E32A73">
      <w:pPr>
        <w:pStyle w:val="ListParagraph"/>
        <w:numPr>
          <w:ilvl w:val="0"/>
          <w:numId w:val="1"/>
        </w:numPr>
        <w:jc w:val="both"/>
        <w:rPr>
          <w:lang w:val="lt-LT"/>
        </w:rPr>
      </w:pPr>
      <w:r w:rsidRPr="009313BA">
        <w:rPr>
          <w:lang w:val="lt-LT"/>
        </w:rPr>
        <w:t xml:space="preserve">Paslaugų teikėjas </w:t>
      </w:r>
      <w:r w:rsidR="0019690E" w:rsidRPr="009313BA">
        <w:rPr>
          <w:lang w:val="lt-LT"/>
        </w:rPr>
        <w:t xml:space="preserve">turi </w:t>
      </w:r>
      <w:r w:rsidR="00787CA1" w:rsidRPr="009313BA">
        <w:rPr>
          <w:lang w:val="lt-LT"/>
        </w:rPr>
        <w:t>patikrinti</w:t>
      </w:r>
      <w:r w:rsidR="0019690E" w:rsidRPr="009313BA">
        <w:rPr>
          <w:lang w:val="lt-LT"/>
        </w:rPr>
        <w:t xml:space="preserve"> </w:t>
      </w:r>
      <w:r w:rsidR="00B12BA2" w:rsidRPr="009313BA">
        <w:rPr>
          <w:lang w:val="lt-LT"/>
        </w:rPr>
        <w:t>GC2 atnaujintoje Galutinėje ataskaitoje (pateiks EHU) dekla</w:t>
      </w:r>
      <w:r w:rsidR="00860FCF" w:rsidRPr="009313BA">
        <w:rPr>
          <w:lang w:val="lt-LT"/>
        </w:rPr>
        <w:t>ruojamas faktiškai patirtas išlaidas (</w:t>
      </w:r>
      <w:r w:rsidR="00860FCF" w:rsidRPr="00A26CA4">
        <w:rPr>
          <w:lang w:val="lt-LT"/>
        </w:rPr>
        <w:t>actual cost) pagal GC2 biudžeto (ir</w:t>
      </w:r>
      <w:r w:rsidR="00383D2C" w:rsidRPr="00A26CA4">
        <w:rPr>
          <w:lang w:val="lt-LT"/>
        </w:rPr>
        <w:t xml:space="preserve"> EHU</w:t>
      </w:r>
      <w:r w:rsidR="00860FCF" w:rsidRPr="00A26CA4">
        <w:rPr>
          <w:lang w:val="lt-LT"/>
        </w:rPr>
        <w:t xml:space="preserve"> galutinės ataskaitos) eilutes Nr. </w:t>
      </w:r>
      <w:r w:rsidR="00821186" w:rsidRPr="00A26CA4">
        <w:rPr>
          <w:lang w:val="lt-LT"/>
        </w:rPr>
        <w:t>6.3 ir 6.5</w:t>
      </w:r>
      <w:r w:rsidR="00787CA1" w:rsidRPr="00A26CA4">
        <w:rPr>
          <w:lang w:val="lt-LT"/>
        </w:rPr>
        <w:t xml:space="preserve"> ta apimtimi, kuri</w:t>
      </w:r>
      <w:r w:rsidR="00810298" w:rsidRPr="00A26CA4">
        <w:rPr>
          <w:lang w:val="lt-LT"/>
        </w:rPr>
        <w:t xml:space="preserve"> reikalaujama pagal PRAG nuostatas.</w:t>
      </w:r>
    </w:p>
    <w:p w14:paraId="500EC234" w14:textId="33C963FB" w:rsidR="002E1295" w:rsidRPr="00A26CA4" w:rsidRDefault="00E32A73" w:rsidP="00E32A73">
      <w:pPr>
        <w:pStyle w:val="ListParagraph"/>
        <w:numPr>
          <w:ilvl w:val="0"/>
          <w:numId w:val="1"/>
        </w:numPr>
        <w:jc w:val="both"/>
        <w:rPr>
          <w:b/>
          <w:bCs/>
          <w:lang w:val="lt-LT"/>
        </w:rPr>
      </w:pPr>
      <w:r w:rsidRPr="00A26CA4">
        <w:rPr>
          <w:lang w:val="lt-LT"/>
        </w:rPr>
        <w:t xml:space="preserve">Paslaugos teikėjas turi </w:t>
      </w:r>
      <w:r w:rsidR="00431709" w:rsidRPr="00A26CA4">
        <w:rPr>
          <w:lang w:val="lt-LT"/>
        </w:rPr>
        <w:t>atnaujinti</w:t>
      </w:r>
      <w:r w:rsidR="00FB2A57" w:rsidRPr="00A26CA4">
        <w:rPr>
          <w:lang w:val="lt-LT"/>
        </w:rPr>
        <w:t xml:space="preserve"> ankstesnės sutarties Nr. 2024_4-1-592 pagrindu pa</w:t>
      </w:r>
      <w:r w:rsidR="00933170" w:rsidRPr="00A26CA4">
        <w:rPr>
          <w:lang w:val="lt-LT"/>
        </w:rPr>
        <w:t xml:space="preserve">rengtą GC2 </w:t>
      </w:r>
      <w:r w:rsidRPr="00A26CA4">
        <w:rPr>
          <w:lang w:val="lt-LT"/>
        </w:rPr>
        <w:t>lėšų panaudojimo iš EHU Patikos Fondo audito ataskaitą (atskira ataskaita anglų k.</w:t>
      </w:r>
      <w:r w:rsidR="00933170" w:rsidRPr="00A26CA4">
        <w:rPr>
          <w:lang w:val="lt-LT"/>
        </w:rPr>
        <w:t xml:space="preserve">, </w:t>
      </w:r>
      <w:r w:rsidR="00933170" w:rsidRPr="00A26CA4">
        <w:rPr>
          <w:i/>
          <w:iCs/>
          <w:lang w:val="lt-LT"/>
        </w:rPr>
        <w:t>pridedama</w:t>
      </w:r>
      <w:r w:rsidR="00A26CA4" w:rsidRPr="00A26CA4">
        <w:rPr>
          <w:i/>
          <w:iCs/>
          <w:lang w:val="lt-LT"/>
        </w:rPr>
        <w:t xml:space="preserve"> – priedas nr. 1</w:t>
      </w:r>
      <w:r w:rsidRPr="00A26CA4">
        <w:rPr>
          <w:lang w:val="lt-LT"/>
        </w:rPr>
        <w:t>)</w:t>
      </w:r>
      <w:r w:rsidR="00933170" w:rsidRPr="00A26CA4">
        <w:rPr>
          <w:lang w:val="lt-LT"/>
        </w:rPr>
        <w:t xml:space="preserve"> ir joje įtraukti </w:t>
      </w:r>
      <w:r w:rsidR="000C5543" w:rsidRPr="00A26CA4">
        <w:rPr>
          <w:lang w:val="lt-LT"/>
        </w:rPr>
        <w:t xml:space="preserve">faktiškai patirtų išlaidų patikrinimo rezultatus. Atnaujinta ataskaita turės konsoliduotai apimti ir anksčiau atliktą „unit-cost“ patikrinimą ir naujai atliktą </w:t>
      </w:r>
      <w:r w:rsidR="00383D2C" w:rsidRPr="00A26CA4">
        <w:rPr>
          <w:lang w:val="lt-LT"/>
        </w:rPr>
        <w:t>patirtų faktinių išlaidų (</w:t>
      </w:r>
      <w:r w:rsidR="000C5543" w:rsidRPr="00A26CA4">
        <w:rPr>
          <w:lang w:val="lt-LT"/>
        </w:rPr>
        <w:t>actual cost</w:t>
      </w:r>
      <w:r w:rsidR="00383D2C" w:rsidRPr="00A26CA4">
        <w:rPr>
          <w:lang w:val="lt-LT"/>
        </w:rPr>
        <w:t>)</w:t>
      </w:r>
      <w:r w:rsidR="000C5543" w:rsidRPr="00A26CA4">
        <w:rPr>
          <w:lang w:val="lt-LT"/>
        </w:rPr>
        <w:t xml:space="preserve"> patikrinimą.</w:t>
      </w:r>
    </w:p>
    <w:p w14:paraId="51FEEB7C" w14:textId="04A2724A" w:rsidR="00E32A73" w:rsidRPr="00A26CA4" w:rsidRDefault="00E32A73" w:rsidP="00E32A73">
      <w:pPr>
        <w:pStyle w:val="ListParagraph"/>
        <w:numPr>
          <w:ilvl w:val="0"/>
          <w:numId w:val="1"/>
        </w:numPr>
        <w:jc w:val="both"/>
        <w:rPr>
          <w:b/>
          <w:bCs/>
          <w:lang w:val="lt-LT"/>
        </w:rPr>
      </w:pPr>
      <w:r w:rsidRPr="00A26CA4">
        <w:rPr>
          <w:b/>
          <w:bCs/>
          <w:lang w:val="lt-LT"/>
        </w:rPr>
        <w:t>Audituojama: 7.601.968,04 EUR už 2023 10 01 – 2024 09 30 laikotarpį</w:t>
      </w:r>
      <w:r w:rsidR="001A5F37" w:rsidRPr="00A26CA4">
        <w:rPr>
          <w:b/>
          <w:bCs/>
          <w:lang w:val="lt-LT"/>
        </w:rPr>
        <w:t xml:space="preserve">, iš kurių </w:t>
      </w:r>
      <w:r w:rsidR="00316113" w:rsidRPr="00A26CA4">
        <w:rPr>
          <w:b/>
          <w:bCs/>
          <w:lang w:val="lt-LT"/>
        </w:rPr>
        <w:t xml:space="preserve">tikrinamos </w:t>
      </w:r>
      <w:r w:rsidR="001A5F37" w:rsidRPr="00A26CA4">
        <w:rPr>
          <w:b/>
          <w:bCs/>
          <w:lang w:val="lt-LT"/>
        </w:rPr>
        <w:t xml:space="preserve">faktiškai patirtos išlaidos (actual cost) sudaro </w:t>
      </w:r>
      <w:r w:rsidR="00383D2C" w:rsidRPr="00A26CA4">
        <w:rPr>
          <w:b/>
          <w:bCs/>
          <w:lang w:val="lt-LT"/>
        </w:rPr>
        <w:t xml:space="preserve">486 758,48 </w:t>
      </w:r>
      <w:r w:rsidR="00316113" w:rsidRPr="00A26CA4">
        <w:rPr>
          <w:b/>
          <w:bCs/>
          <w:lang w:val="lt-LT"/>
        </w:rPr>
        <w:t>EUR.</w:t>
      </w:r>
    </w:p>
    <w:p w14:paraId="3B9CDAA0" w14:textId="77777777" w:rsidR="00E32A73" w:rsidRPr="00A26CA4" w:rsidRDefault="00E32A73" w:rsidP="00E32A73">
      <w:pPr>
        <w:pStyle w:val="ListParagraph"/>
        <w:numPr>
          <w:ilvl w:val="0"/>
          <w:numId w:val="1"/>
        </w:numPr>
        <w:jc w:val="both"/>
        <w:rPr>
          <w:b/>
          <w:bCs/>
          <w:lang w:val="lt-LT"/>
        </w:rPr>
      </w:pPr>
      <w:r w:rsidRPr="00A26CA4">
        <w:rPr>
          <w:lang w:val="lt-LT"/>
        </w:rPr>
        <w:t xml:space="preserve">Paslauga turi atitikti PRAG nuostatas: </w:t>
      </w:r>
    </w:p>
    <w:p w14:paraId="0B7BF928" w14:textId="48A2043F" w:rsidR="00E32A73" w:rsidRPr="00A26CA4" w:rsidRDefault="00E32A73" w:rsidP="00E32A73">
      <w:pPr>
        <w:jc w:val="both"/>
        <w:rPr>
          <w:lang w:val="lt-LT"/>
        </w:rPr>
      </w:pPr>
      <w:r w:rsidRPr="00A26CA4">
        <w:rPr>
          <w:lang w:val="lt-LT"/>
        </w:rPr>
        <w:t xml:space="preserve">E3h8a Annex G – Annex VII – Expenditure verification: terms of reference and report of factual findings (Annex VII) with Annexes – </w:t>
      </w:r>
      <w:r w:rsidRPr="00A26CA4">
        <w:rPr>
          <w:i/>
          <w:iCs/>
          <w:lang w:val="lt-LT"/>
        </w:rPr>
        <w:t>pri</w:t>
      </w:r>
      <w:r w:rsidR="00A26CA4" w:rsidRPr="00A26CA4">
        <w:rPr>
          <w:i/>
          <w:iCs/>
          <w:lang w:val="lt-LT"/>
        </w:rPr>
        <w:t>edas nr 2</w:t>
      </w:r>
      <w:r w:rsidRPr="00A26CA4">
        <w:rPr>
          <w:i/>
          <w:iCs/>
          <w:lang w:val="lt-LT"/>
        </w:rPr>
        <w:t>;</w:t>
      </w:r>
    </w:p>
    <w:p w14:paraId="2E121C85" w14:textId="04158C68" w:rsidR="00E32A73" w:rsidRPr="009313BA" w:rsidRDefault="00E32A73" w:rsidP="00E32A73">
      <w:pPr>
        <w:jc w:val="both"/>
        <w:rPr>
          <w:i/>
          <w:iCs/>
          <w:lang w:val="lt-LT"/>
        </w:rPr>
      </w:pPr>
      <w:r w:rsidRPr="00A26CA4">
        <w:rPr>
          <w:lang w:val="lt-LT"/>
        </w:rPr>
        <w:t xml:space="preserve">E3h8b Annex G – Annex VII – Expenditure verification: table of transactions and table of errors (Annex VII) – </w:t>
      </w:r>
      <w:r w:rsidRPr="00A26CA4">
        <w:rPr>
          <w:i/>
          <w:iCs/>
          <w:lang w:val="lt-LT"/>
        </w:rPr>
        <w:t>prideda</w:t>
      </w:r>
      <w:r w:rsidR="00A26CA4" w:rsidRPr="00A26CA4">
        <w:rPr>
          <w:i/>
          <w:iCs/>
          <w:lang w:val="lt-LT"/>
        </w:rPr>
        <w:t>s nr 3</w:t>
      </w:r>
      <w:r w:rsidRPr="00A26CA4">
        <w:rPr>
          <w:i/>
          <w:iCs/>
          <w:lang w:val="lt-LT"/>
        </w:rPr>
        <w:t>.</w:t>
      </w:r>
    </w:p>
    <w:p w14:paraId="07DCDB82" w14:textId="41DAB166" w:rsidR="00E32A73" w:rsidRPr="00C41BAC" w:rsidRDefault="00E32A73" w:rsidP="00E32A73">
      <w:pPr>
        <w:pStyle w:val="ListParagraph"/>
        <w:numPr>
          <w:ilvl w:val="0"/>
          <w:numId w:val="1"/>
        </w:numPr>
        <w:jc w:val="both"/>
        <w:rPr>
          <w:b/>
          <w:bCs/>
          <w:lang w:val="lt-LT"/>
        </w:rPr>
      </w:pPr>
      <w:r w:rsidRPr="00C41BAC">
        <w:rPr>
          <w:b/>
          <w:bCs/>
          <w:lang w:val="lt-LT"/>
        </w:rPr>
        <w:t>Paslaugos atlikimo terminas – iki 2025</w:t>
      </w:r>
      <w:r w:rsidR="00295C4B" w:rsidRPr="00C41BAC">
        <w:rPr>
          <w:b/>
          <w:bCs/>
          <w:lang w:val="lt-LT"/>
        </w:rPr>
        <w:t xml:space="preserve"> 04</w:t>
      </w:r>
      <w:r w:rsidRPr="00C41BAC">
        <w:rPr>
          <w:b/>
          <w:bCs/>
          <w:lang w:val="lt-LT"/>
        </w:rPr>
        <w:t xml:space="preserve"> </w:t>
      </w:r>
      <w:r w:rsidR="00295C4B" w:rsidRPr="00C41BAC">
        <w:rPr>
          <w:b/>
          <w:bCs/>
          <w:lang w:val="lt-LT"/>
        </w:rPr>
        <w:t>14</w:t>
      </w:r>
      <w:r w:rsidRPr="00C41BAC">
        <w:rPr>
          <w:b/>
          <w:bCs/>
          <w:lang w:val="lt-LT"/>
        </w:rPr>
        <w:t xml:space="preserve"> arba 1</w:t>
      </w:r>
      <w:r w:rsidR="00295C4B" w:rsidRPr="00C41BAC">
        <w:rPr>
          <w:b/>
          <w:bCs/>
          <w:lang w:val="lt-LT"/>
        </w:rPr>
        <w:t>0</w:t>
      </w:r>
      <w:r w:rsidRPr="00C41BAC">
        <w:rPr>
          <w:b/>
          <w:bCs/>
          <w:lang w:val="lt-LT"/>
        </w:rPr>
        <w:t xml:space="preserve"> d.d nuo reikalingos auditui dokumentacijos ir informacijos gavimo iš EHU.</w:t>
      </w:r>
      <w:r w:rsidR="003F176C" w:rsidRPr="00C41BAC">
        <w:rPr>
          <w:b/>
          <w:bCs/>
          <w:lang w:val="lt-LT"/>
        </w:rPr>
        <w:t xml:space="preserve"> </w:t>
      </w:r>
    </w:p>
    <w:p w14:paraId="3EDDBEC0" w14:textId="3C56E38D" w:rsidR="00E32A73" w:rsidRPr="009313BA" w:rsidRDefault="00E32A73" w:rsidP="00E32A73">
      <w:pPr>
        <w:pStyle w:val="ListParagraph"/>
        <w:numPr>
          <w:ilvl w:val="0"/>
          <w:numId w:val="1"/>
        </w:numPr>
        <w:tabs>
          <w:tab w:val="left" w:pos="567"/>
        </w:tabs>
        <w:jc w:val="both"/>
        <w:rPr>
          <w:i/>
          <w:lang w:val="lt-LT"/>
        </w:rPr>
      </w:pPr>
      <w:r w:rsidRPr="00C41BAC">
        <w:rPr>
          <w:lang w:val="lt-LT"/>
        </w:rPr>
        <w:t>Sutarties įkaini</w:t>
      </w:r>
      <w:r w:rsidR="008D1473" w:rsidRPr="00C41BAC">
        <w:rPr>
          <w:lang w:val="lt-LT"/>
        </w:rPr>
        <w:t>s</w:t>
      </w:r>
      <w:r w:rsidRPr="00C41BAC">
        <w:rPr>
          <w:lang w:val="lt-LT"/>
        </w:rPr>
        <w:t xml:space="preserve"> užduočiai bus pateikt</w:t>
      </w:r>
      <w:r w:rsidR="008D1473" w:rsidRPr="00C41BAC">
        <w:rPr>
          <w:lang w:val="lt-LT"/>
        </w:rPr>
        <w:t>as</w:t>
      </w:r>
      <w:r w:rsidRPr="00C41BAC">
        <w:rPr>
          <w:lang w:val="lt-LT"/>
        </w:rPr>
        <w:t xml:space="preserve"> Paslaugų teikėjo pasiūlyme. Į Paslaugų kainą turi būti įskaičiuotos visos išlaidos ir visi mokesčiai (įskaitant ir mokestį</w:t>
      </w:r>
      <w:r w:rsidRPr="009313BA">
        <w:rPr>
          <w:lang w:val="lt-LT"/>
        </w:rPr>
        <w:t xml:space="preserve"> už atsiskaitymo dokumentų teikimą naudojantis informacinės sistemos SABIS priemonėmis).</w:t>
      </w:r>
    </w:p>
    <w:p w14:paraId="7DD5F86E" w14:textId="77777777" w:rsidR="00E32A73" w:rsidRPr="009313BA" w:rsidRDefault="00E32A73" w:rsidP="00E32A73">
      <w:pPr>
        <w:ind w:left="-709"/>
        <w:jc w:val="both"/>
        <w:rPr>
          <w:lang w:val="lt-LT"/>
        </w:rPr>
      </w:pPr>
    </w:p>
    <w:p w14:paraId="14A88269" w14:textId="77777777" w:rsidR="00E32A73" w:rsidRPr="009313BA" w:rsidRDefault="00E32A73" w:rsidP="00E32A73">
      <w:pPr>
        <w:tabs>
          <w:tab w:val="left" w:pos="1134"/>
        </w:tabs>
        <w:ind w:left="709"/>
        <w:jc w:val="both"/>
        <w:rPr>
          <w:b/>
          <w:bCs/>
          <w:lang w:val="lt-LT"/>
        </w:rPr>
      </w:pPr>
      <w:r w:rsidRPr="009313BA">
        <w:rPr>
          <w:b/>
          <w:bCs/>
          <w:lang w:val="lt-LT"/>
        </w:rPr>
        <w:t>Tiekėjas turi atitikti lentelėje nurodytus tiekėjo kvalifikacijos reikalavimus:</w:t>
      </w:r>
    </w:p>
    <w:p w14:paraId="1F9F9FBB" w14:textId="77777777" w:rsidR="00E32A73" w:rsidRPr="009313BA" w:rsidRDefault="00E32A73" w:rsidP="00E32A73">
      <w:pPr>
        <w:tabs>
          <w:tab w:val="left" w:pos="1134"/>
        </w:tabs>
        <w:ind w:left="709"/>
        <w:jc w:val="right"/>
        <w:rPr>
          <w:i/>
          <w:lang w:val="lt-LT"/>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5954"/>
      </w:tblGrid>
      <w:tr w:rsidR="00E32A73" w:rsidRPr="009313BA" w14:paraId="2F5DB5CD" w14:textId="77777777" w:rsidTr="002B2141">
        <w:trPr>
          <w:trHeight w:val="144"/>
          <w:tblHeader/>
        </w:trPr>
        <w:tc>
          <w:tcPr>
            <w:tcW w:w="709" w:type="dxa"/>
          </w:tcPr>
          <w:p w14:paraId="49BF9B81" w14:textId="77777777" w:rsidR="00E32A73" w:rsidRPr="009313BA" w:rsidRDefault="00E32A73" w:rsidP="002B2141">
            <w:pPr>
              <w:ind w:left="-108" w:right="-119" w:hanging="4"/>
              <w:jc w:val="center"/>
              <w:rPr>
                <w:b/>
                <w:lang w:val="lt-LT"/>
              </w:rPr>
            </w:pPr>
            <w:r w:rsidRPr="009313BA">
              <w:rPr>
                <w:b/>
                <w:lang w:val="lt-LT"/>
              </w:rPr>
              <w:t>Eil. Nr.</w:t>
            </w:r>
          </w:p>
        </w:tc>
        <w:tc>
          <w:tcPr>
            <w:tcW w:w="3828" w:type="dxa"/>
          </w:tcPr>
          <w:p w14:paraId="56BD8425" w14:textId="77777777" w:rsidR="00E32A73" w:rsidRPr="009313BA" w:rsidRDefault="00E32A73" w:rsidP="002B2141">
            <w:pPr>
              <w:ind w:right="-108"/>
              <w:jc w:val="center"/>
              <w:rPr>
                <w:b/>
                <w:lang w:val="lt-LT"/>
              </w:rPr>
            </w:pPr>
            <w:r w:rsidRPr="009313BA">
              <w:rPr>
                <w:b/>
                <w:lang w:val="lt-LT"/>
              </w:rPr>
              <w:t>Kvalifikaciniai reikalavimai</w:t>
            </w:r>
          </w:p>
        </w:tc>
        <w:tc>
          <w:tcPr>
            <w:tcW w:w="5954" w:type="dxa"/>
          </w:tcPr>
          <w:p w14:paraId="3F8368F1" w14:textId="77777777" w:rsidR="00E32A73" w:rsidRPr="009313BA" w:rsidRDefault="00E32A73" w:rsidP="002B2141">
            <w:pPr>
              <w:jc w:val="center"/>
              <w:rPr>
                <w:b/>
                <w:lang w:val="lt-LT"/>
              </w:rPr>
            </w:pPr>
            <w:r w:rsidRPr="009313BA">
              <w:rPr>
                <w:b/>
                <w:lang w:val="lt-LT"/>
              </w:rPr>
              <w:t>Kvalifikacinius reikalavimus įrodantys dokumentai</w:t>
            </w:r>
          </w:p>
        </w:tc>
      </w:tr>
      <w:tr w:rsidR="00E32A73" w:rsidRPr="00286C40" w14:paraId="4703E6F6" w14:textId="77777777" w:rsidTr="002B2141">
        <w:trPr>
          <w:trHeight w:val="70"/>
        </w:trPr>
        <w:tc>
          <w:tcPr>
            <w:tcW w:w="709" w:type="dxa"/>
            <w:tcBorders>
              <w:bottom w:val="single" w:sz="4" w:space="0" w:color="auto"/>
            </w:tcBorders>
          </w:tcPr>
          <w:p w14:paraId="50E545B8" w14:textId="34C5D8A1" w:rsidR="00E32A73" w:rsidRPr="009313BA" w:rsidRDefault="00FD6B83" w:rsidP="002B2141">
            <w:pPr>
              <w:jc w:val="both"/>
              <w:rPr>
                <w:lang w:val="lt-LT"/>
              </w:rPr>
            </w:pPr>
            <w:r>
              <w:rPr>
                <w:lang w:val="lt-LT"/>
              </w:rPr>
              <w:t>1</w:t>
            </w:r>
            <w:r w:rsidR="00E32A73" w:rsidRPr="009313BA">
              <w:rPr>
                <w:lang w:val="lt-LT"/>
              </w:rPr>
              <w:t>.</w:t>
            </w:r>
          </w:p>
        </w:tc>
        <w:tc>
          <w:tcPr>
            <w:tcW w:w="3828" w:type="dxa"/>
            <w:tcBorders>
              <w:bottom w:val="single" w:sz="4" w:space="0" w:color="auto"/>
            </w:tcBorders>
            <w:shd w:val="clear" w:color="auto" w:fill="FFFFFF" w:themeFill="background1"/>
          </w:tcPr>
          <w:p w14:paraId="06B08FAB" w14:textId="77777777" w:rsidR="00E32A73" w:rsidRPr="009313BA" w:rsidRDefault="00E32A73" w:rsidP="002B2141">
            <w:pPr>
              <w:tabs>
                <w:tab w:val="left" w:pos="1980"/>
              </w:tabs>
              <w:jc w:val="both"/>
              <w:rPr>
                <w:lang w:val="lt-LT"/>
              </w:rPr>
            </w:pPr>
            <w:r w:rsidRPr="009313BA">
              <w:rPr>
                <w:lang w:val="lt-LT"/>
              </w:rPr>
              <w:t>Paslaugų teikėjas turi kvalifikuotą personalą, galintį suteikti perkamas paslaugas, t. y., Paslaugų teikėjas turi pasiūlyti ne mažiau nei vieną atestuotą auditorių, kuris yra:</w:t>
            </w:r>
          </w:p>
          <w:p w14:paraId="3E845535" w14:textId="77777777" w:rsidR="00E32A73" w:rsidRPr="009313BA" w:rsidRDefault="00E32A73" w:rsidP="002B2141">
            <w:pPr>
              <w:pStyle w:val="ListParagraph"/>
              <w:numPr>
                <w:ilvl w:val="0"/>
                <w:numId w:val="3"/>
              </w:numPr>
              <w:tabs>
                <w:tab w:val="left" w:pos="182"/>
              </w:tabs>
              <w:ind w:left="40" w:hanging="40"/>
              <w:jc w:val="both"/>
              <w:rPr>
                <w:lang w:val="lt-LT"/>
              </w:rPr>
            </w:pPr>
            <w:r w:rsidRPr="009313BA">
              <w:rPr>
                <w:lang w:val="lt-LT"/>
              </w:rPr>
              <w:t>narys nacionalinės apskaitos arba audito įstaigos ar institucijos, kuri savo ruožtu yra IFAC narė, arba įsipareigoja laikytis TS nurodytų IFAC standartų ir etikos reikalavimų;</w:t>
            </w:r>
          </w:p>
          <w:p w14:paraId="75C5B408" w14:textId="77777777" w:rsidR="00E32A73" w:rsidRPr="009313BA" w:rsidRDefault="00E32A73" w:rsidP="002B2141">
            <w:pPr>
              <w:jc w:val="both"/>
              <w:rPr>
                <w:bCs/>
                <w:lang w:val="lt-LT"/>
              </w:rPr>
            </w:pPr>
            <w:r w:rsidRPr="009313BA">
              <w:rPr>
                <w:lang w:val="lt-LT"/>
              </w:rPr>
              <w:t xml:space="preserve">per pastaruosius 3 metus </w:t>
            </w:r>
            <w:r w:rsidRPr="009313BA">
              <w:rPr>
                <w:rStyle w:val="CharStyle7"/>
                <w:lang w:val="lt-LT"/>
              </w:rPr>
              <w:t xml:space="preserve">iki pasiūlymų pateikimo termino pabaigos yra įvykdęs/vykdo bent vieną ar kelias </w:t>
            </w:r>
            <w:r w:rsidRPr="009313BA">
              <w:rPr>
                <w:lang w:val="lt-LT"/>
              </w:rPr>
              <w:t xml:space="preserve">sutartį (-is), kurios (-ių) objektas būtų Europos Sąjungos institucijų finansuojamų projektų, vykdomų užsienio šalyse arba su užsienio </w:t>
            </w:r>
            <w:r w:rsidRPr="009313BA">
              <w:rPr>
                <w:lang w:val="lt-LT"/>
              </w:rPr>
              <w:lastRenderedPageBreak/>
              <w:t>partneriais, išlaidų patikrinimas ir (arba) auditas.</w:t>
            </w:r>
          </w:p>
        </w:tc>
        <w:tc>
          <w:tcPr>
            <w:tcW w:w="5954" w:type="dxa"/>
            <w:tcBorders>
              <w:bottom w:val="single" w:sz="4" w:space="0" w:color="auto"/>
            </w:tcBorders>
            <w:shd w:val="clear" w:color="auto" w:fill="FFFFFF" w:themeFill="background1"/>
          </w:tcPr>
          <w:p w14:paraId="3C9898AF" w14:textId="77777777" w:rsidR="00E32A73" w:rsidRPr="009313BA" w:rsidRDefault="00E32A73" w:rsidP="002B2141">
            <w:pPr>
              <w:pStyle w:val="ListParagraph"/>
              <w:numPr>
                <w:ilvl w:val="0"/>
                <w:numId w:val="4"/>
              </w:numPr>
              <w:tabs>
                <w:tab w:val="left" w:pos="320"/>
              </w:tabs>
              <w:ind w:left="0"/>
              <w:jc w:val="both"/>
              <w:rPr>
                <w:lang w:val="lt-LT"/>
              </w:rPr>
            </w:pPr>
            <w:r w:rsidRPr="009313BA">
              <w:rPr>
                <w:lang w:val="lt-LT"/>
              </w:rPr>
              <w:lastRenderedPageBreak/>
              <w:t>Pateikiamas Teikėjo siūlomų specialistų sąrašas, kurie bus pasitelkiami pirkimo sutarties vykdymui (užpildytas konkurso dokumentų 4 priedas). Paslaugas turės teikti pasiūlyme nurodyti ar juos pakeičiantys ne žemesnės kvalifikacijos specialistai</w:t>
            </w:r>
          </w:p>
          <w:p w14:paraId="45263C21" w14:textId="77777777" w:rsidR="00E32A73" w:rsidRPr="009313BA" w:rsidRDefault="00E32A73" w:rsidP="002B2141">
            <w:pPr>
              <w:pStyle w:val="ListParagraph"/>
              <w:numPr>
                <w:ilvl w:val="0"/>
                <w:numId w:val="4"/>
              </w:numPr>
              <w:tabs>
                <w:tab w:val="left" w:pos="320"/>
              </w:tabs>
              <w:ind w:left="0"/>
              <w:jc w:val="both"/>
              <w:rPr>
                <w:lang w:val="lt-LT"/>
              </w:rPr>
            </w:pPr>
            <w:r w:rsidRPr="009313BA">
              <w:rPr>
                <w:lang w:val="lt-LT"/>
              </w:rPr>
              <w:t xml:space="preserve">auditoriaus pažymėjimo kopija; </w:t>
            </w:r>
          </w:p>
          <w:p w14:paraId="66DD8D8F" w14:textId="77777777" w:rsidR="00E32A73" w:rsidRPr="009313BA" w:rsidRDefault="00E32A73" w:rsidP="002B2141">
            <w:pPr>
              <w:pStyle w:val="ListParagraph"/>
              <w:numPr>
                <w:ilvl w:val="0"/>
                <w:numId w:val="4"/>
              </w:numPr>
              <w:tabs>
                <w:tab w:val="left" w:pos="320"/>
              </w:tabs>
              <w:ind w:left="0"/>
              <w:jc w:val="both"/>
              <w:rPr>
                <w:lang w:val="lt-LT"/>
              </w:rPr>
            </w:pPr>
            <w:r w:rsidRPr="009313BA">
              <w:rPr>
                <w:lang w:val="lt-LT"/>
              </w:rPr>
              <w:t xml:space="preserve">reikalavimus atitinkančio specialisto/ auditoriaus (ir/arba audito įmonės) deklaracija, jog jis teiks paslaugas tiekėjui, vykdysiančiam pirkimu perkamą sutartį) (priedas Nr. 6); </w:t>
            </w:r>
            <w:r w:rsidRPr="009313BA" w:rsidDel="00F43CA3">
              <w:rPr>
                <w:lang w:val="lt-LT"/>
              </w:rPr>
              <w:t xml:space="preserve"> </w:t>
            </w:r>
          </w:p>
          <w:p w14:paraId="5C8CA367" w14:textId="77777777" w:rsidR="00E32A73" w:rsidRPr="009313BA" w:rsidRDefault="00E32A73" w:rsidP="002B2141">
            <w:pPr>
              <w:pStyle w:val="ListParagraph"/>
              <w:numPr>
                <w:ilvl w:val="0"/>
                <w:numId w:val="4"/>
              </w:numPr>
              <w:tabs>
                <w:tab w:val="left" w:pos="320"/>
              </w:tabs>
              <w:ind w:left="0"/>
              <w:jc w:val="both"/>
              <w:rPr>
                <w:lang w:val="lt-LT"/>
              </w:rPr>
            </w:pPr>
            <w:r w:rsidRPr="009313BA">
              <w:rPr>
                <w:lang w:val="lt-LT"/>
              </w:rPr>
              <w:t xml:space="preserve">dokumentas patvirtinantis, kad Paslaugų teikėjo pasitelkiamas Lietuvos Respublikos auditorius (ir/arba audito įmonė) yra Lietuvos Respublikos nacionalinės apskaitos arba audito įstaigos ar institucijos narys, kuri savo ruožtu yra – IFAC narė (kopija). Jei Paslaugų teikėjo pasitelkiamas Lietuvos Respublikos auditorius (ir/arba audito įmonė) nėra Lietuvos Respublikos apskaitos arba audito įstaigos ar institucijos narys, kuri savo ruožtu yra </w:t>
            </w:r>
            <w:r w:rsidRPr="009313BA">
              <w:rPr>
                <w:lang w:val="lt-LT"/>
              </w:rPr>
              <w:lastRenderedPageBreak/>
              <w:t>IFAC narė, tokiu atveju turi būti pateiktas raštiškas laisvos formos patvirtinimas, kad tiekėjo pasitelkiamas Lietuvos Respublikos auditorius (ir/arba audito įmonė) įsipareigoja laikytis Techninėje specifikacijoje nurodytų IFAC standartų ir etikos reikalavimų.</w:t>
            </w:r>
          </w:p>
          <w:p w14:paraId="1A659B4F" w14:textId="77777777" w:rsidR="00E32A73" w:rsidRPr="009313BA" w:rsidRDefault="00E32A73" w:rsidP="002B2141">
            <w:pPr>
              <w:jc w:val="both"/>
              <w:rPr>
                <w:color w:val="000000"/>
                <w:lang w:val="lt-LT"/>
              </w:rPr>
            </w:pPr>
            <w:r w:rsidRPr="009313BA">
              <w:rPr>
                <w:rStyle w:val="CharStyle7"/>
                <w:lang w:val="lt-LT"/>
              </w:rPr>
              <w:t xml:space="preserve">Siūlomo (-ų) specialisto (-ų) per pastaruosius 3 metus iki pasiūlymų pateikimo termino pabaigos, </w:t>
            </w:r>
            <w:r w:rsidRPr="009313BA">
              <w:rPr>
                <w:lang w:val="lt-LT"/>
              </w:rPr>
              <w:t>Europos Sąjungos institucijų finansuojamų projektų, vykdomų užsienio šalyse arba su užsienio partneriais, išlaidų patikrinimo ir (arba) audito</w:t>
            </w:r>
            <w:r w:rsidRPr="009313BA" w:rsidDel="00E75E44">
              <w:rPr>
                <w:rStyle w:val="CharStyle7"/>
                <w:lang w:val="lt-LT"/>
              </w:rPr>
              <w:t xml:space="preserve"> </w:t>
            </w:r>
            <w:r w:rsidRPr="009313BA">
              <w:rPr>
                <w:rStyle w:val="CharStyle7"/>
                <w:lang w:val="lt-LT"/>
              </w:rPr>
              <w:t>įvykdytų ar vykdomų sutarčių sąrašas užpildant Pirkimo sąlygų 5 priedą nurodant sutarčių pavadinimus, pateikiant trumpus jų aprašymus, vykdymo laikotarpį, užsakovus, pridedant užsakovų atsiliepimus apie tinkamą sutarčių vykdymą arba kitų dokumentų, įrodančių tinkamą sutarčių atlikimą, kopijas.</w:t>
            </w:r>
          </w:p>
        </w:tc>
      </w:tr>
      <w:tr w:rsidR="00E32A73" w:rsidRPr="00286C40" w14:paraId="70C59057" w14:textId="77777777" w:rsidTr="002B2141">
        <w:trPr>
          <w:trHeight w:val="70"/>
        </w:trPr>
        <w:tc>
          <w:tcPr>
            <w:tcW w:w="709" w:type="dxa"/>
            <w:tcBorders>
              <w:bottom w:val="single" w:sz="4" w:space="0" w:color="auto"/>
            </w:tcBorders>
          </w:tcPr>
          <w:p w14:paraId="7BC04D38" w14:textId="1B75DD92" w:rsidR="00E32A73" w:rsidRPr="009313BA" w:rsidRDefault="00FD6B83" w:rsidP="002B2141">
            <w:pPr>
              <w:jc w:val="both"/>
              <w:rPr>
                <w:lang w:val="lt-LT"/>
              </w:rPr>
            </w:pPr>
            <w:r>
              <w:rPr>
                <w:lang w:val="lt-LT"/>
              </w:rPr>
              <w:lastRenderedPageBreak/>
              <w:t>2</w:t>
            </w:r>
            <w:r w:rsidR="00E32A73" w:rsidRPr="009313BA">
              <w:rPr>
                <w:lang w:val="lt-LT"/>
              </w:rPr>
              <w:t>.</w:t>
            </w:r>
          </w:p>
        </w:tc>
        <w:tc>
          <w:tcPr>
            <w:tcW w:w="3828" w:type="dxa"/>
            <w:tcBorders>
              <w:bottom w:val="single" w:sz="4" w:space="0" w:color="auto"/>
            </w:tcBorders>
            <w:shd w:val="clear" w:color="auto" w:fill="FFFFFF" w:themeFill="background1"/>
          </w:tcPr>
          <w:p w14:paraId="1B5F6617" w14:textId="77777777" w:rsidR="00E32A73" w:rsidRPr="009313BA" w:rsidRDefault="00E32A73" w:rsidP="002B2141">
            <w:pPr>
              <w:tabs>
                <w:tab w:val="left" w:pos="1980"/>
              </w:tabs>
              <w:jc w:val="both"/>
              <w:rPr>
                <w:lang w:val="lt-LT"/>
              </w:rPr>
            </w:pPr>
            <w:r w:rsidRPr="009313BA">
              <w:rPr>
                <w:lang w:val="lt-LT"/>
              </w:rPr>
              <w:t>Tiekėjas neturi paskirtų galiojančių nurodymų ar poveikio priemonių.</w:t>
            </w:r>
          </w:p>
        </w:tc>
        <w:tc>
          <w:tcPr>
            <w:tcW w:w="5954" w:type="dxa"/>
            <w:tcBorders>
              <w:bottom w:val="single" w:sz="4" w:space="0" w:color="auto"/>
            </w:tcBorders>
            <w:shd w:val="clear" w:color="auto" w:fill="FFFFFF" w:themeFill="background1"/>
          </w:tcPr>
          <w:p w14:paraId="35DC46DD" w14:textId="77777777" w:rsidR="00E32A73" w:rsidRPr="009313BA" w:rsidRDefault="00E32A73" w:rsidP="002B2141">
            <w:pPr>
              <w:tabs>
                <w:tab w:val="left" w:pos="436"/>
              </w:tabs>
              <w:ind w:left="11" w:hanging="11"/>
              <w:jc w:val="both"/>
              <w:rPr>
                <w:lang w:val="lt-LT"/>
              </w:rPr>
            </w:pPr>
            <w:r w:rsidRPr="009313BA">
              <w:rPr>
                <w:lang w:val="lt-LT"/>
              </w:rPr>
              <w:t xml:space="preserve">PO pasiūlymų pateikimo termino pabaigos dieną patikrins viešai skelbiamą informaciją Lietuvos auditorių rūmų interneto tinklapyje </w:t>
            </w:r>
            <w:hyperlink r:id="rId10" w:history="1">
              <w:r w:rsidRPr="009313BA">
                <w:rPr>
                  <w:rStyle w:val="Hyperlink"/>
                  <w:rFonts w:eastAsiaTheme="majorEastAsia"/>
                  <w:lang w:val="lt-LT"/>
                </w:rPr>
                <w:t>https://lar.lt/www/new/page.php?55</w:t>
              </w:r>
            </w:hyperlink>
          </w:p>
          <w:p w14:paraId="5E976333" w14:textId="77777777" w:rsidR="00E32A73" w:rsidRPr="009313BA" w:rsidRDefault="00E32A73" w:rsidP="002B2141">
            <w:pPr>
              <w:tabs>
                <w:tab w:val="left" w:pos="320"/>
              </w:tabs>
              <w:jc w:val="both"/>
              <w:rPr>
                <w:lang w:val="lt-LT"/>
              </w:rPr>
            </w:pPr>
            <w:r w:rsidRPr="009313BA">
              <w:rPr>
                <w:lang w:val="lt-LT"/>
              </w:rPr>
              <w:t>Dokumentų, įrodančių paskirtų nurodymų ar poveikio priemonių nebuvimą, nereikalaujama.</w:t>
            </w:r>
          </w:p>
        </w:tc>
      </w:tr>
    </w:tbl>
    <w:p w14:paraId="22BDC4C5" w14:textId="77777777" w:rsidR="00E32A73" w:rsidRPr="009313BA" w:rsidRDefault="00E32A73" w:rsidP="00E32A73">
      <w:pPr>
        <w:jc w:val="both"/>
        <w:rPr>
          <w:lang w:val="lt-LT"/>
        </w:rPr>
      </w:pPr>
    </w:p>
    <w:p w14:paraId="6532823F" w14:textId="52B1A259" w:rsidR="00E32A73" w:rsidRPr="009313BA" w:rsidRDefault="00E32A73" w:rsidP="00E32A73">
      <w:pPr>
        <w:ind w:left="-567"/>
        <w:jc w:val="both"/>
        <w:rPr>
          <w:lang w:val="lt-LT"/>
        </w:rPr>
      </w:pPr>
      <w:r w:rsidRPr="009313BA">
        <w:rPr>
          <w:lang w:val="lt-LT" w:eastAsia="ar-SA"/>
        </w:rPr>
        <w:t>Užduot</w:t>
      </w:r>
      <w:r w:rsidR="00FD6B83">
        <w:rPr>
          <w:lang w:val="lt-LT" w:eastAsia="ar-SA"/>
        </w:rPr>
        <w:t>i</w:t>
      </w:r>
      <w:r w:rsidRPr="009313BA">
        <w:rPr>
          <w:lang w:val="lt-LT" w:eastAsia="ar-SA"/>
        </w:rPr>
        <w:t>s bus laikom</w:t>
      </w:r>
      <w:r w:rsidR="00FD6B83">
        <w:rPr>
          <w:lang w:val="lt-LT" w:eastAsia="ar-SA"/>
        </w:rPr>
        <w:t>a</w:t>
      </w:r>
      <w:r w:rsidRPr="009313BA">
        <w:rPr>
          <w:lang w:val="lt-LT" w:eastAsia="ar-SA"/>
        </w:rPr>
        <w:t xml:space="preserve"> įvykdyt</w:t>
      </w:r>
      <w:r w:rsidR="00FD6B83">
        <w:rPr>
          <w:lang w:val="lt-LT" w:eastAsia="ar-SA"/>
        </w:rPr>
        <w:t>a</w:t>
      </w:r>
      <w:r w:rsidRPr="009313BA">
        <w:rPr>
          <w:lang w:val="lt-LT" w:eastAsia="ar-SA"/>
        </w:rPr>
        <w:t>, kai ataskait</w:t>
      </w:r>
      <w:r w:rsidR="00FD6B83">
        <w:rPr>
          <w:lang w:val="lt-LT" w:eastAsia="ar-SA"/>
        </w:rPr>
        <w:t>a</w:t>
      </w:r>
      <w:r w:rsidRPr="009313BA">
        <w:rPr>
          <w:lang w:val="lt-LT" w:eastAsia="ar-SA"/>
        </w:rPr>
        <w:t xml:space="preserve"> bus suderint</w:t>
      </w:r>
      <w:r w:rsidR="00FD6B83">
        <w:rPr>
          <w:lang w:val="lt-LT" w:eastAsia="ar-SA"/>
        </w:rPr>
        <w:t>a</w:t>
      </w:r>
      <w:r w:rsidRPr="009313BA">
        <w:rPr>
          <w:lang w:val="lt-LT" w:eastAsia="ar-SA"/>
        </w:rPr>
        <w:t xml:space="preserve"> su perkančiąja organizacija ir audituojamuoju subjektu</w:t>
      </w:r>
      <w:r w:rsidRPr="009313BA">
        <w:rPr>
          <w:lang w:val="lt-LT"/>
        </w:rPr>
        <w:t xml:space="preserve"> bei pateikt</w:t>
      </w:r>
      <w:r w:rsidR="00FD6B83">
        <w:rPr>
          <w:lang w:val="lt-LT"/>
        </w:rPr>
        <w:t>a</w:t>
      </w:r>
      <w:r w:rsidRPr="009313BA">
        <w:rPr>
          <w:lang w:val="lt-LT"/>
        </w:rPr>
        <w:t xml:space="preserve"> perkančiajai organizacijai. </w:t>
      </w:r>
    </w:p>
    <w:p w14:paraId="5DBB8C11" w14:textId="77777777" w:rsidR="00E32A73" w:rsidRPr="006A617E" w:rsidRDefault="00E32A73" w:rsidP="00E32A73">
      <w:pPr>
        <w:ind w:left="-567"/>
        <w:jc w:val="both"/>
        <w:rPr>
          <w:lang w:val="lt-LT"/>
        </w:rPr>
      </w:pPr>
      <w:r w:rsidRPr="009313BA">
        <w:rPr>
          <w:lang w:val="lt-LT"/>
        </w:rPr>
        <w:t>Paslaugų atlikimas vyks nuotoliu. Esant pagrįstam poreikiui įvertinti fizinius dokumentus, sutarties vykdymo vieta yra VšĮ „Europos humanitarinis universitetas”, juridinio asmens kodas 300558028, Savičiaus g. 01127, Vilnius.</w:t>
      </w:r>
      <w:r w:rsidRPr="009313BA">
        <w:rPr>
          <w:i/>
          <w:lang w:val="lt-LT"/>
        </w:rPr>
        <w:t xml:space="preserve"> </w:t>
      </w:r>
      <w:r w:rsidRPr="009313BA">
        <w:rPr>
          <w:lang w:val="lt-LT"/>
        </w:rPr>
        <w:t>VšĮ „Europos humanitarinis universitetas” suteiks Paslaugos vykdytojui visą techninėje specifikacijoje nurodytos užduoties įvykdymui reikalingą informaciją ir dokumentus. Pirkėjas nereikalaus Paslaugų teikėjo fiziškai teikti paslaugas kitose sutarties vykdymo vietose, nebent Paslaugų teikėjas pats to pageidautų</w:t>
      </w:r>
      <w:r w:rsidRPr="009313BA">
        <w:rPr>
          <w:i/>
          <w:lang w:val="lt-LT"/>
        </w:rPr>
        <w:t>.</w:t>
      </w:r>
    </w:p>
    <w:p w14:paraId="7EF95891" w14:textId="77777777" w:rsidR="00E32A73" w:rsidRPr="00627E3F" w:rsidRDefault="00E32A73" w:rsidP="00E32A73">
      <w:pPr>
        <w:rPr>
          <w:lang w:val="lt-LT"/>
        </w:rPr>
      </w:pPr>
    </w:p>
    <w:p w14:paraId="3EC79E33" w14:textId="77777777" w:rsidR="00E32A73" w:rsidRPr="00100246" w:rsidRDefault="00E32A73" w:rsidP="00E32A73">
      <w:pPr>
        <w:rPr>
          <w:lang w:val="lt-LT"/>
        </w:rPr>
      </w:pPr>
    </w:p>
    <w:p w14:paraId="67404E05" w14:textId="77777777" w:rsidR="0059078D" w:rsidRPr="00E32A73" w:rsidRDefault="0059078D">
      <w:pPr>
        <w:rPr>
          <w:lang w:val="lt-LT"/>
        </w:rPr>
      </w:pPr>
    </w:p>
    <w:sectPr w:rsidR="0059078D" w:rsidRPr="00E32A73" w:rsidSect="00E32A73">
      <w:pgSz w:w="11906" w:h="16838" w:code="9"/>
      <w:pgMar w:top="1134" w:right="567"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0474" w14:textId="77777777" w:rsidR="000D7F19" w:rsidRDefault="000D7F19" w:rsidP="00E32A73">
      <w:r>
        <w:separator/>
      </w:r>
    </w:p>
  </w:endnote>
  <w:endnote w:type="continuationSeparator" w:id="0">
    <w:p w14:paraId="0D7F8895" w14:textId="77777777" w:rsidR="000D7F19" w:rsidRDefault="000D7F19" w:rsidP="00E3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3788" w14:textId="77777777" w:rsidR="000D7F19" w:rsidRDefault="000D7F19" w:rsidP="00E32A73">
      <w:r>
        <w:separator/>
      </w:r>
    </w:p>
  </w:footnote>
  <w:footnote w:type="continuationSeparator" w:id="0">
    <w:p w14:paraId="25ABDF87" w14:textId="77777777" w:rsidR="000D7F19" w:rsidRDefault="000D7F19" w:rsidP="00E3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64E"/>
    <w:multiLevelType w:val="hybridMultilevel"/>
    <w:tmpl w:val="2D5C6B9C"/>
    <w:lvl w:ilvl="0" w:tplc="04270005">
      <w:start w:val="1"/>
      <w:numFmt w:val="bullet"/>
      <w:lvlText w:val=""/>
      <w:lvlJc w:val="left"/>
      <w:pPr>
        <w:ind w:left="371" w:hanging="360"/>
      </w:pPr>
      <w:rPr>
        <w:rFonts w:ascii="Wingdings" w:hAnsi="Wingdings" w:hint="default"/>
      </w:rPr>
    </w:lvl>
    <w:lvl w:ilvl="1" w:tplc="04270003" w:tentative="1">
      <w:start w:val="1"/>
      <w:numFmt w:val="bullet"/>
      <w:lvlText w:val="o"/>
      <w:lvlJc w:val="left"/>
      <w:pPr>
        <w:ind w:left="1091" w:hanging="360"/>
      </w:pPr>
      <w:rPr>
        <w:rFonts w:ascii="Courier New" w:hAnsi="Courier New" w:cs="Courier New" w:hint="default"/>
      </w:rPr>
    </w:lvl>
    <w:lvl w:ilvl="2" w:tplc="04270005" w:tentative="1">
      <w:start w:val="1"/>
      <w:numFmt w:val="bullet"/>
      <w:lvlText w:val=""/>
      <w:lvlJc w:val="left"/>
      <w:pPr>
        <w:ind w:left="1811" w:hanging="360"/>
      </w:pPr>
      <w:rPr>
        <w:rFonts w:ascii="Wingdings" w:hAnsi="Wingdings" w:hint="default"/>
      </w:rPr>
    </w:lvl>
    <w:lvl w:ilvl="3" w:tplc="04270001" w:tentative="1">
      <w:start w:val="1"/>
      <w:numFmt w:val="bullet"/>
      <w:lvlText w:val=""/>
      <w:lvlJc w:val="left"/>
      <w:pPr>
        <w:ind w:left="2531" w:hanging="360"/>
      </w:pPr>
      <w:rPr>
        <w:rFonts w:ascii="Symbol" w:hAnsi="Symbol" w:hint="default"/>
      </w:rPr>
    </w:lvl>
    <w:lvl w:ilvl="4" w:tplc="04270003" w:tentative="1">
      <w:start w:val="1"/>
      <w:numFmt w:val="bullet"/>
      <w:lvlText w:val="o"/>
      <w:lvlJc w:val="left"/>
      <w:pPr>
        <w:ind w:left="3251" w:hanging="360"/>
      </w:pPr>
      <w:rPr>
        <w:rFonts w:ascii="Courier New" w:hAnsi="Courier New" w:cs="Courier New" w:hint="default"/>
      </w:rPr>
    </w:lvl>
    <w:lvl w:ilvl="5" w:tplc="04270005" w:tentative="1">
      <w:start w:val="1"/>
      <w:numFmt w:val="bullet"/>
      <w:lvlText w:val=""/>
      <w:lvlJc w:val="left"/>
      <w:pPr>
        <w:ind w:left="3971" w:hanging="360"/>
      </w:pPr>
      <w:rPr>
        <w:rFonts w:ascii="Wingdings" w:hAnsi="Wingdings" w:hint="default"/>
      </w:rPr>
    </w:lvl>
    <w:lvl w:ilvl="6" w:tplc="04270001" w:tentative="1">
      <w:start w:val="1"/>
      <w:numFmt w:val="bullet"/>
      <w:lvlText w:val=""/>
      <w:lvlJc w:val="left"/>
      <w:pPr>
        <w:ind w:left="4691" w:hanging="360"/>
      </w:pPr>
      <w:rPr>
        <w:rFonts w:ascii="Symbol" w:hAnsi="Symbol" w:hint="default"/>
      </w:rPr>
    </w:lvl>
    <w:lvl w:ilvl="7" w:tplc="04270003" w:tentative="1">
      <w:start w:val="1"/>
      <w:numFmt w:val="bullet"/>
      <w:lvlText w:val="o"/>
      <w:lvlJc w:val="left"/>
      <w:pPr>
        <w:ind w:left="5411" w:hanging="360"/>
      </w:pPr>
      <w:rPr>
        <w:rFonts w:ascii="Courier New" w:hAnsi="Courier New" w:cs="Courier New" w:hint="default"/>
      </w:rPr>
    </w:lvl>
    <w:lvl w:ilvl="8" w:tplc="04270005" w:tentative="1">
      <w:start w:val="1"/>
      <w:numFmt w:val="bullet"/>
      <w:lvlText w:val=""/>
      <w:lvlJc w:val="left"/>
      <w:pPr>
        <w:ind w:left="6131" w:hanging="360"/>
      </w:pPr>
      <w:rPr>
        <w:rFonts w:ascii="Wingdings" w:hAnsi="Wingdings" w:hint="default"/>
      </w:rPr>
    </w:lvl>
  </w:abstractNum>
  <w:abstractNum w:abstractNumId="1" w15:restartNumberingAfterBreak="0">
    <w:nsid w:val="500471F3"/>
    <w:multiLevelType w:val="hybridMultilevel"/>
    <w:tmpl w:val="3E1896C6"/>
    <w:lvl w:ilvl="0" w:tplc="F7E6C99E">
      <w:start w:val="2"/>
      <w:numFmt w:val="upperLetter"/>
      <w:lvlText w:val="%1)"/>
      <w:lvlJc w:val="left"/>
      <w:pPr>
        <w:ind w:left="-349" w:hanging="360"/>
      </w:pPr>
      <w:rPr>
        <w:rFonts w:eastAsiaTheme="minorHAnsi"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2" w15:restartNumberingAfterBreak="0">
    <w:nsid w:val="518A72E7"/>
    <w:multiLevelType w:val="hybridMultilevel"/>
    <w:tmpl w:val="BDDE8B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D2377D"/>
    <w:multiLevelType w:val="hybridMultilevel"/>
    <w:tmpl w:val="99001F42"/>
    <w:lvl w:ilvl="0" w:tplc="CB8E9564">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4" w15:restartNumberingAfterBreak="0">
    <w:nsid w:val="62674DC4"/>
    <w:multiLevelType w:val="hybridMultilevel"/>
    <w:tmpl w:val="FE4892B6"/>
    <w:lvl w:ilvl="0" w:tplc="8A24031E">
      <w:start w:val="1"/>
      <w:numFmt w:val="upperLetter"/>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5" w15:restartNumberingAfterBreak="0">
    <w:nsid w:val="64240EDE"/>
    <w:multiLevelType w:val="hybridMultilevel"/>
    <w:tmpl w:val="29504C36"/>
    <w:lvl w:ilvl="0" w:tplc="04270001">
      <w:numFmt w:val="decimal"/>
      <w:lvlText w:val=""/>
      <w:lvlJc w:val="left"/>
    </w:lvl>
    <w:lvl w:ilvl="1" w:tplc="04270003">
      <w:numFmt w:val="decimal"/>
      <w:lvlText w:val=""/>
      <w:lvlJc w:val="left"/>
    </w:lvl>
    <w:lvl w:ilvl="2" w:tplc="04270005">
      <w:numFmt w:val="decimal"/>
      <w:lvlText w:val=""/>
      <w:lvlJc w:val="left"/>
    </w:lvl>
    <w:lvl w:ilvl="3" w:tplc="04270001">
      <w:numFmt w:val="decimal"/>
      <w:lvlText w:val=""/>
      <w:lvlJc w:val="left"/>
    </w:lvl>
    <w:lvl w:ilvl="4" w:tplc="04270003">
      <w:numFmt w:val="decimal"/>
      <w:lvlText w:val=""/>
      <w:lvlJc w:val="left"/>
    </w:lvl>
    <w:lvl w:ilvl="5" w:tplc="04270005">
      <w:numFmt w:val="decimal"/>
      <w:lvlText w:val=""/>
      <w:lvlJc w:val="left"/>
    </w:lvl>
    <w:lvl w:ilvl="6" w:tplc="04270001">
      <w:numFmt w:val="decimal"/>
      <w:lvlText w:val=""/>
      <w:lvlJc w:val="left"/>
    </w:lvl>
    <w:lvl w:ilvl="7" w:tplc="04270003">
      <w:numFmt w:val="decimal"/>
      <w:lvlText w:val=""/>
      <w:lvlJc w:val="left"/>
    </w:lvl>
    <w:lvl w:ilvl="8" w:tplc="04270005">
      <w:numFmt w:val="decimal"/>
      <w:lvlText w:val=""/>
      <w:lvlJc w:val="left"/>
    </w:lvl>
  </w:abstractNum>
  <w:num w:numId="1" w16cid:durableId="350686245">
    <w:abstractNumId w:val="0"/>
  </w:num>
  <w:num w:numId="2" w16cid:durableId="1933660373">
    <w:abstractNumId w:val="4"/>
  </w:num>
  <w:num w:numId="3" w16cid:durableId="1119294865">
    <w:abstractNumId w:val="5"/>
  </w:num>
  <w:num w:numId="4" w16cid:durableId="46420879">
    <w:abstractNumId w:val="3"/>
  </w:num>
  <w:num w:numId="5" w16cid:durableId="759134856">
    <w:abstractNumId w:val="1"/>
  </w:num>
  <w:num w:numId="6" w16cid:durableId="14666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D"/>
    <w:rsid w:val="00005956"/>
    <w:rsid w:val="000427C1"/>
    <w:rsid w:val="000B4900"/>
    <w:rsid w:val="000C5543"/>
    <w:rsid w:val="000D25F3"/>
    <w:rsid w:val="000D7F19"/>
    <w:rsid w:val="0011426B"/>
    <w:rsid w:val="00163C45"/>
    <w:rsid w:val="0019690E"/>
    <w:rsid w:val="001A5F37"/>
    <w:rsid w:val="001E3939"/>
    <w:rsid w:val="00214C80"/>
    <w:rsid w:val="00286C40"/>
    <w:rsid w:val="00295C4B"/>
    <w:rsid w:val="002E1295"/>
    <w:rsid w:val="002E3470"/>
    <w:rsid w:val="00316113"/>
    <w:rsid w:val="00383D2C"/>
    <w:rsid w:val="003B1A2A"/>
    <w:rsid w:val="003F176C"/>
    <w:rsid w:val="00431709"/>
    <w:rsid w:val="00466C54"/>
    <w:rsid w:val="00524636"/>
    <w:rsid w:val="0059078D"/>
    <w:rsid w:val="00636F5E"/>
    <w:rsid w:val="00704221"/>
    <w:rsid w:val="00785F88"/>
    <w:rsid w:val="00787CA1"/>
    <w:rsid w:val="007B13D3"/>
    <w:rsid w:val="00810298"/>
    <w:rsid w:val="00821186"/>
    <w:rsid w:val="00846BCB"/>
    <w:rsid w:val="00860FCF"/>
    <w:rsid w:val="008B552A"/>
    <w:rsid w:val="008D1473"/>
    <w:rsid w:val="009313BA"/>
    <w:rsid w:val="00933170"/>
    <w:rsid w:val="00A17A76"/>
    <w:rsid w:val="00A26CA4"/>
    <w:rsid w:val="00AC4350"/>
    <w:rsid w:val="00B12BA2"/>
    <w:rsid w:val="00C41BAC"/>
    <w:rsid w:val="00DD194D"/>
    <w:rsid w:val="00E32A73"/>
    <w:rsid w:val="00E47442"/>
    <w:rsid w:val="00E63820"/>
    <w:rsid w:val="00E96E5F"/>
    <w:rsid w:val="00EC74B1"/>
    <w:rsid w:val="00FA3548"/>
    <w:rsid w:val="00FB2A57"/>
    <w:rsid w:val="00FD6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CA002"/>
  <w15:chartTrackingRefBased/>
  <w15:docId w15:val="{44251322-2453-4AC0-8B73-0BD233D4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73"/>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590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7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8D"/>
    <w:rPr>
      <w:rFonts w:eastAsiaTheme="majorEastAsia" w:cstheme="majorBidi"/>
      <w:color w:val="272727" w:themeColor="text1" w:themeTint="D8"/>
    </w:rPr>
  </w:style>
  <w:style w:type="paragraph" w:styleId="Title">
    <w:name w:val="Title"/>
    <w:basedOn w:val="Normal"/>
    <w:next w:val="Normal"/>
    <w:link w:val="TitleChar"/>
    <w:uiPriority w:val="10"/>
    <w:qFormat/>
    <w:rsid w:val="005907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8D"/>
    <w:pPr>
      <w:spacing w:before="160"/>
      <w:jc w:val="center"/>
    </w:pPr>
    <w:rPr>
      <w:i/>
      <w:iCs/>
      <w:color w:val="404040" w:themeColor="text1" w:themeTint="BF"/>
    </w:rPr>
  </w:style>
  <w:style w:type="character" w:customStyle="1" w:styleId="QuoteChar">
    <w:name w:val="Quote Char"/>
    <w:basedOn w:val="DefaultParagraphFont"/>
    <w:link w:val="Quote"/>
    <w:uiPriority w:val="29"/>
    <w:rsid w:val="0059078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entele,Lente"/>
    <w:basedOn w:val="Normal"/>
    <w:link w:val="ListParagraphChar"/>
    <w:uiPriority w:val="34"/>
    <w:qFormat/>
    <w:rsid w:val="0059078D"/>
    <w:pPr>
      <w:ind w:left="720"/>
      <w:contextualSpacing/>
    </w:pPr>
  </w:style>
  <w:style w:type="character" w:styleId="IntenseEmphasis">
    <w:name w:val="Intense Emphasis"/>
    <w:basedOn w:val="DefaultParagraphFont"/>
    <w:uiPriority w:val="21"/>
    <w:qFormat/>
    <w:rsid w:val="0059078D"/>
    <w:rPr>
      <w:i/>
      <w:iCs/>
      <w:color w:val="0F4761" w:themeColor="accent1" w:themeShade="BF"/>
    </w:rPr>
  </w:style>
  <w:style w:type="paragraph" w:styleId="IntenseQuote">
    <w:name w:val="Intense Quote"/>
    <w:basedOn w:val="Normal"/>
    <w:next w:val="Normal"/>
    <w:link w:val="IntenseQuoteChar"/>
    <w:uiPriority w:val="30"/>
    <w:qFormat/>
    <w:rsid w:val="00590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78D"/>
    <w:rPr>
      <w:i/>
      <w:iCs/>
      <w:color w:val="0F4761" w:themeColor="accent1" w:themeShade="BF"/>
    </w:rPr>
  </w:style>
  <w:style w:type="character" w:styleId="IntenseReference">
    <w:name w:val="Intense Reference"/>
    <w:basedOn w:val="DefaultParagraphFont"/>
    <w:uiPriority w:val="32"/>
    <w:qFormat/>
    <w:rsid w:val="0059078D"/>
    <w:rPr>
      <w:b/>
      <w:bCs/>
      <w:smallCaps/>
      <w:color w:val="0F4761" w:themeColor="accent1" w:themeShade="BF"/>
      <w:spacing w:val="5"/>
    </w:rPr>
  </w:style>
  <w:style w:type="character" w:styleId="Hyperlink">
    <w:name w:val="Hyperlink"/>
    <w:aliases w:val="Alna"/>
    <w:uiPriority w:val="99"/>
    <w:rsid w:val="00E32A73"/>
    <w:rPr>
      <w:rFonts w:cs="Times New Roman"/>
      <w:color w:val="0000FF"/>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32A73"/>
  </w:style>
  <w:style w:type="paragraph" w:customStyle="1" w:styleId="gmail-m2276953977024531753msolistparagraph">
    <w:name w:val="gmail-m_2276953977024531753msolistparagraph"/>
    <w:basedOn w:val="Normal"/>
    <w:rsid w:val="00E32A73"/>
    <w:pPr>
      <w:spacing w:before="100" w:beforeAutospacing="1" w:after="100" w:afterAutospacing="1"/>
    </w:pPr>
    <w:rPr>
      <w:rFonts w:ascii="Calibri" w:eastAsiaTheme="minorHAnsi" w:hAnsi="Calibri" w:cs="Calibri"/>
      <w:sz w:val="22"/>
      <w:szCs w:val="22"/>
      <w:lang w:val="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E32A73"/>
    <w:pPr>
      <w:spacing w:after="240"/>
      <w:ind w:left="357" w:hanging="357"/>
      <w:jc w:val="both"/>
    </w:pPr>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E32A73"/>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E32A73"/>
    <w:rPr>
      <w:vertAlign w:val="superscript"/>
    </w:rPr>
  </w:style>
  <w:style w:type="paragraph" w:customStyle="1" w:styleId="Default">
    <w:name w:val="Default"/>
    <w:rsid w:val="00E32A7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CharStyle7">
    <w:name w:val="Char Style 7"/>
    <w:link w:val="Style6"/>
    <w:uiPriority w:val="99"/>
    <w:rsid w:val="00E32A73"/>
    <w:rPr>
      <w:sz w:val="23"/>
      <w:szCs w:val="23"/>
      <w:shd w:val="clear" w:color="auto" w:fill="FFFFFF"/>
    </w:rPr>
  </w:style>
  <w:style w:type="paragraph" w:customStyle="1" w:styleId="Style6">
    <w:name w:val="Style 6"/>
    <w:basedOn w:val="Normal"/>
    <w:link w:val="CharStyle7"/>
    <w:uiPriority w:val="99"/>
    <w:rsid w:val="00E32A73"/>
    <w:pPr>
      <w:widowControl w:val="0"/>
      <w:shd w:val="clear" w:color="auto" w:fill="FFFFFF"/>
      <w:spacing w:line="250" w:lineRule="exact"/>
      <w:ind w:hanging="920"/>
    </w:pPr>
    <w:rPr>
      <w:rFonts w:asciiTheme="minorHAnsi" w:eastAsiaTheme="minorHAnsi" w:hAnsiTheme="minorHAnsi" w:cstheme="minorBidi"/>
      <w:kern w:val="2"/>
      <w:sz w:val="23"/>
      <w:szCs w:val="23"/>
      <w:lang w:val="lt-LT"/>
      <w14:ligatures w14:val="standardContextual"/>
    </w:rPr>
  </w:style>
  <w:style w:type="character" w:styleId="CommentReference">
    <w:name w:val="annotation reference"/>
    <w:basedOn w:val="DefaultParagraphFont"/>
    <w:uiPriority w:val="99"/>
    <w:semiHidden/>
    <w:unhideWhenUsed/>
    <w:rsid w:val="002E1295"/>
    <w:rPr>
      <w:sz w:val="16"/>
      <w:szCs w:val="16"/>
    </w:rPr>
  </w:style>
  <w:style w:type="paragraph" w:styleId="CommentText">
    <w:name w:val="annotation text"/>
    <w:basedOn w:val="Normal"/>
    <w:link w:val="CommentTextChar"/>
    <w:uiPriority w:val="99"/>
    <w:unhideWhenUsed/>
    <w:rsid w:val="002E1295"/>
    <w:rPr>
      <w:sz w:val="20"/>
      <w:szCs w:val="20"/>
    </w:rPr>
  </w:style>
  <w:style w:type="character" w:customStyle="1" w:styleId="CommentTextChar">
    <w:name w:val="Comment Text Char"/>
    <w:basedOn w:val="DefaultParagraphFont"/>
    <w:link w:val="CommentText"/>
    <w:uiPriority w:val="99"/>
    <w:rsid w:val="002E1295"/>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E1295"/>
    <w:rPr>
      <w:b/>
      <w:bCs/>
    </w:rPr>
  </w:style>
  <w:style w:type="character" w:customStyle="1" w:styleId="CommentSubjectChar">
    <w:name w:val="Comment Subject Char"/>
    <w:basedOn w:val="CommentTextChar"/>
    <w:link w:val="CommentSubject"/>
    <w:uiPriority w:val="99"/>
    <w:semiHidden/>
    <w:rsid w:val="002E1295"/>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F176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ar.lt/www/new/page.php?5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8614C-9C81-4212-A4A3-B89398B58752}">
  <ds:schemaRefs>
    <ds:schemaRef ds:uri="http://schemas.microsoft.com/sharepoint/v3/contenttype/forms"/>
  </ds:schemaRefs>
</ds:datastoreItem>
</file>

<file path=customXml/itemProps2.xml><?xml version="1.0" encoding="utf-8"?>
<ds:datastoreItem xmlns:ds="http://schemas.openxmlformats.org/officeDocument/2006/customXml" ds:itemID="{67EB5E65-D5B9-4273-B1D0-660BF9072CAF}">
  <ds:schemaRefs>
    <ds:schemaRef ds:uri="http://www.w3.org/XML/1998/namespace"/>
    <ds:schemaRef ds:uri="http://schemas.microsoft.com/office/2006/metadata/properties"/>
    <ds:schemaRef ds:uri="f5ebda27-b626-448f-a7d1-d1cf5ad133fa"/>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1EE28AA-E87D-4661-9B27-F6F882CB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5000</Characters>
  <Application>Microsoft Office Word</Application>
  <DocSecurity>4</DocSecurity>
  <Lines>41</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Techninė specifikacija</dc:title>
  <dc:subject/>
  <dc:creator>Giedrė Biržytė</dc:creator>
  <cp:keywords/>
  <dc:description/>
  <cp:lastModifiedBy>Jolita Parnarauskienė</cp:lastModifiedBy>
  <cp:revision>2</cp:revision>
  <dcterms:created xsi:type="dcterms:W3CDTF">2025-03-21T13:25:00Z</dcterms:created>
  <dcterms:modified xsi:type="dcterms:W3CDTF">2025-03-21T13:25:00Z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8cb0fa758a8259b68f77d0a7d65a75731b0358e3a9b00dedc33659894043a0ec</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1554;#Regina Voitkevič;#1105;#Giedrė Biržytė;#1425;#Kazimieras Nika;#1382;#Domantas Čepas;#1576;#Inga Griškevičienė;#1633;#Jurgita Šiugždinienė;#722;#Rūta Grigaliūnienė</vt:lpwstr>
  </property>
  <property fmtid="{D5CDD505-2E9C-101B-9397-08002B2CF9AE}" pid="6" name="DmsPermissionsDivisions">
    <vt:lpwstr>3174;#Tarptautinių vystomojo bendradarbiavimo projektų skyrius|6147cdd9-1227-4384-bc5f-05bff22a22b1</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