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A5A43" w14:textId="711AA684" w:rsidR="00166595" w:rsidRPr="00DF386F" w:rsidRDefault="00FB3E06" w:rsidP="00FB3E06">
      <w:pPr>
        <w:suppressAutoHyphens w:val="0"/>
        <w:autoSpaceDN/>
        <w:spacing w:after="0" w:line="240" w:lineRule="auto"/>
        <w:ind w:firstLine="6237"/>
        <w:textAlignment w:val="auto"/>
        <w:rPr>
          <w:szCs w:val="24"/>
        </w:rPr>
      </w:pPr>
      <w:r>
        <w:rPr>
          <w:szCs w:val="24"/>
        </w:rPr>
        <w:t xml:space="preserve">       </w:t>
      </w:r>
      <w:r w:rsidR="00166595" w:rsidRPr="00DF386F">
        <w:rPr>
          <w:szCs w:val="24"/>
        </w:rPr>
        <w:t>202</w:t>
      </w:r>
      <w:r w:rsidR="00166595">
        <w:rPr>
          <w:szCs w:val="24"/>
        </w:rPr>
        <w:t>5</w:t>
      </w:r>
      <w:r w:rsidR="00166595" w:rsidRPr="00DF386F">
        <w:rPr>
          <w:szCs w:val="24"/>
        </w:rPr>
        <w:t xml:space="preserve"> m.  </w:t>
      </w:r>
      <w:r>
        <w:rPr>
          <w:szCs w:val="24"/>
        </w:rPr>
        <w:t>kovo 20</w:t>
      </w:r>
      <w:r w:rsidR="00166595" w:rsidRPr="00DF386F">
        <w:rPr>
          <w:szCs w:val="24"/>
        </w:rPr>
        <w:t xml:space="preserve"> d.</w:t>
      </w:r>
    </w:p>
    <w:p w14:paraId="7F25B918" w14:textId="77777777" w:rsidR="00166595" w:rsidRPr="00DF386F" w:rsidRDefault="00166595" w:rsidP="00166595">
      <w:pPr>
        <w:suppressAutoHyphens w:val="0"/>
        <w:autoSpaceDN/>
        <w:spacing w:after="0" w:line="240" w:lineRule="auto"/>
        <w:ind w:firstLine="5245"/>
        <w:jc w:val="center"/>
        <w:textAlignment w:val="auto"/>
        <w:rPr>
          <w:szCs w:val="24"/>
        </w:rPr>
      </w:pPr>
      <w:r w:rsidRPr="00DF386F">
        <w:rPr>
          <w:szCs w:val="24"/>
        </w:rPr>
        <w:t xml:space="preserve">paslaugų viešojo </w:t>
      </w:r>
    </w:p>
    <w:p w14:paraId="653AB81D" w14:textId="77777777" w:rsidR="00166595" w:rsidRPr="00DF386F" w:rsidRDefault="00166595" w:rsidP="00166595">
      <w:pPr>
        <w:tabs>
          <w:tab w:val="left" w:pos="4395"/>
        </w:tabs>
        <w:suppressAutoHyphens w:val="0"/>
        <w:autoSpaceDN/>
        <w:spacing w:after="0" w:line="240" w:lineRule="auto"/>
        <w:ind w:firstLine="6379"/>
        <w:jc w:val="center"/>
        <w:textAlignment w:val="auto"/>
        <w:rPr>
          <w:szCs w:val="24"/>
        </w:rPr>
      </w:pPr>
      <w:r w:rsidRPr="00DF386F">
        <w:rPr>
          <w:szCs w:val="24"/>
        </w:rPr>
        <w:t xml:space="preserve">pirkimo-pardavimo sutarties </w:t>
      </w:r>
    </w:p>
    <w:p w14:paraId="18B62E0B" w14:textId="77777777" w:rsidR="00166595" w:rsidRPr="00DF386F" w:rsidRDefault="00166595" w:rsidP="00166595">
      <w:pPr>
        <w:tabs>
          <w:tab w:val="left" w:pos="6804"/>
          <w:tab w:val="left" w:pos="7797"/>
        </w:tabs>
        <w:suppressAutoHyphens w:val="0"/>
        <w:autoSpaceDN/>
        <w:spacing w:after="0" w:line="240" w:lineRule="auto"/>
        <w:ind w:left="284" w:right="1418" w:firstLine="5670"/>
        <w:jc w:val="center"/>
        <w:textAlignment w:val="auto"/>
        <w:rPr>
          <w:szCs w:val="24"/>
        </w:rPr>
      </w:pPr>
      <w:r>
        <w:rPr>
          <w:szCs w:val="24"/>
        </w:rPr>
        <w:t xml:space="preserve">1 </w:t>
      </w:r>
      <w:r w:rsidRPr="00DF386F">
        <w:rPr>
          <w:szCs w:val="24"/>
        </w:rPr>
        <w:t>priedas</w:t>
      </w:r>
    </w:p>
    <w:p w14:paraId="201118FD" w14:textId="77777777" w:rsidR="00166595" w:rsidRDefault="00166595" w:rsidP="00166595">
      <w:pPr>
        <w:spacing w:after="0" w:line="264" w:lineRule="auto"/>
        <w:ind w:left="993"/>
        <w:jc w:val="center"/>
        <w:rPr>
          <w:b/>
          <w:bCs/>
          <w:szCs w:val="24"/>
        </w:rPr>
      </w:pPr>
    </w:p>
    <w:p w14:paraId="4AF87634" w14:textId="77777777" w:rsidR="00166595" w:rsidRDefault="00166595" w:rsidP="00166595">
      <w:pPr>
        <w:spacing w:after="0" w:line="264" w:lineRule="auto"/>
        <w:ind w:left="993"/>
        <w:jc w:val="center"/>
        <w:rPr>
          <w:b/>
          <w:bCs/>
          <w:szCs w:val="24"/>
        </w:rPr>
      </w:pPr>
    </w:p>
    <w:p w14:paraId="38DB8FFE" w14:textId="77777777" w:rsidR="00166595" w:rsidRDefault="00166595" w:rsidP="00166595">
      <w:pPr>
        <w:spacing w:after="0" w:line="264" w:lineRule="auto"/>
        <w:ind w:left="993"/>
        <w:jc w:val="center"/>
        <w:rPr>
          <w:b/>
          <w:bCs/>
          <w:szCs w:val="24"/>
        </w:rPr>
      </w:pPr>
      <w:r>
        <w:rPr>
          <w:b/>
          <w:bCs/>
          <w:szCs w:val="24"/>
        </w:rPr>
        <w:t>TECHNINĖ SPECIFIKACIJA</w:t>
      </w:r>
    </w:p>
    <w:p w14:paraId="5A2FDAB7" w14:textId="77777777" w:rsidR="00166595" w:rsidRDefault="00166595" w:rsidP="00166595">
      <w:pPr>
        <w:spacing w:after="0" w:line="264" w:lineRule="auto"/>
        <w:ind w:left="993"/>
        <w:jc w:val="center"/>
        <w:rPr>
          <w:b/>
          <w:bCs/>
          <w:szCs w:val="24"/>
        </w:rPr>
      </w:pPr>
    </w:p>
    <w:p w14:paraId="78E67758" w14:textId="77777777" w:rsidR="00166595" w:rsidRPr="00203BC3" w:rsidRDefault="00166595" w:rsidP="00166595">
      <w:pPr>
        <w:spacing w:after="0" w:line="264" w:lineRule="auto"/>
        <w:ind w:left="993"/>
        <w:jc w:val="center"/>
        <w:rPr>
          <w:rFonts w:asciiTheme="majorHAnsi" w:hAnsiTheme="majorHAnsi" w:cstheme="majorHAnsi"/>
          <w:b/>
          <w:bCs/>
          <w:sz w:val="22"/>
        </w:rPr>
      </w:pPr>
      <w:r w:rsidRPr="00203BC3">
        <w:rPr>
          <w:rFonts w:asciiTheme="majorHAnsi" w:hAnsiTheme="majorHAnsi" w:cstheme="majorHAnsi"/>
          <w:b/>
          <w:bCs/>
          <w:sz w:val="22"/>
        </w:rPr>
        <w:t>REIKALAVIMAI SUSIJĘ SU NACIONALINIU SAUGUMU</w:t>
      </w:r>
    </w:p>
    <w:p w14:paraId="3C7D5525" w14:textId="77777777" w:rsidR="00166595" w:rsidRPr="00203BC3" w:rsidRDefault="00166595" w:rsidP="00166595">
      <w:pPr>
        <w:spacing w:after="0" w:line="264" w:lineRule="auto"/>
        <w:ind w:left="709" w:firstLine="425"/>
        <w:rPr>
          <w:rFonts w:asciiTheme="majorHAnsi" w:hAnsiTheme="majorHAnsi" w:cstheme="majorHAnsi"/>
          <w:b/>
          <w:bCs/>
          <w:sz w:val="22"/>
        </w:rPr>
      </w:pPr>
      <w:r w:rsidRPr="00203BC3">
        <w:rPr>
          <w:rFonts w:asciiTheme="majorHAnsi" w:hAnsiTheme="majorHAnsi" w:cstheme="majorHAnsi"/>
          <w:b/>
          <w:bCs/>
          <w:sz w:val="22"/>
          <w:u w:val="single"/>
        </w:rPr>
        <w:t xml:space="preserve"> </w:t>
      </w:r>
    </w:p>
    <w:p w14:paraId="2F382EC1" w14:textId="77777777" w:rsidR="00166595" w:rsidRPr="008F1BB1" w:rsidRDefault="00166595" w:rsidP="00166595">
      <w:pPr>
        <w:spacing w:after="0" w:line="240" w:lineRule="auto"/>
        <w:rPr>
          <w:rFonts w:asciiTheme="majorHAnsi" w:hAnsiTheme="majorHAnsi" w:cstheme="majorHAnsi"/>
          <w:b/>
          <w:i/>
          <w:color w:val="FF0000"/>
          <w:sz w:val="22"/>
        </w:rPr>
      </w:pPr>
      <w:r w:rsidRPr="008F1BB1">
        <w:rPr>
          <w:rFonts w:asciiTheme="majorHAnsi" w:hAnsiTheme="majorHAnsi" w:cstheme="majorHAnsi"/>
          <w:b/>
          <w:sz w:val="22"/>
        </w:rPr>
        <w:t xml:space="preserve">1. </w:t>
      </w:r>
      <w:r w:rsidRPr="008F1BB1">
        <w:rPr>
          <w:rFonts w:asciiTheme="majorHAnsi" w:hAnsiTheme="majorHAnsi" w:cstheme="majorHAnsi"/>
          <w:b/>
          <w:sz w:val="22"/>
          <w:u w:val="single"/>
        </w:rPr>
        <w:t>Pirkimo objektui taikomi Lietuvos Respublikos viešųjų pirkimų įstatymo 37 str. 8 dalies reikalavimai susiję su nacionaliniu saugumu.</w:t>
      </w:r>
      <w:r w:rsidRPr="008F1BB1">
        <w:rPr>
          <w:rFonts w:asciiTheme="majorHAnsi" w:hAnsiTheme="majorHAnsi" w:cstheme="majorHAnsi"/>
          <w:b/>
          <w:i/>
          <w:color w:val="FF0000"/>
          <w:sz w:val="22"/>
        </w:rPr>
        <w:t xml:space="preserve"> </w:t>
      </w:r>
    </w:p>
    <w:p w14:paraId="19667270" w14:textId="77777777" w:rsidR="00166595" w:rsidRPr="00C55B6F" w:rsidRDefault="00166595" w:rsidP="00166595">
      <w:pPr>
        <w:spacing w:before="60" w:after="60" w:line="240" w:lineRule="auto"/>
        <w:jc w:val="both"/>
        <w:rPr>
          <w:rFonts w:asciiTheme="majorHAnsi" w:hAnsiTheme="majorHAnsi" w:cstheme="majorHAnsi"/>
          <w:sz w:val="22"/>
        </w:rPr>
      </w:pPr>
      <w:r>
        <w:rPr>
          <w:rFonts w:asciiTheme="majorHAnsi" w:hAnsiTheme="majorHAnsi" w:cstheme="majorHAnsi"/>
          <w:sz w:val="22"/>
        </w:rPr>
        <w:t xml:space="preserve"> </w:t>
      </w:r>
      <w:r w:rsidRPr="00C55B6F">
        <w:rPr>
          <w:rFonts w:asciiTheme="majorHAnsi" w:hAnsiTheme="majorHAnsi" w:cstheme="majorHAnsi"/>
          <w:sz w:val="22"/>
        </w:rPr>
        <w:t>Tiekėjo siūlomos paslaugos turi nekelti grėsmės nacionaliniam saugumui, kaip nurodyta VPĮ 37 straipsnio 8 dalyje. Perkančioji organizacija reikalauja, kad tiekėjo siūlomos prekės (įskaitant jų gamintojus) ir (ar) paslaugos nekeltų grėsmės nacionaliniam saugumui, kai sandorio pagrindu susidarytų aplinkybės, nurodytos Nacionaliniam saugumui užtikrinti svarbių objektų apsaugos įstatymo 13 straipsnio 4 dalies 1 punkte. Laikoma, kad tiekėjo siūlomos prekės (įskaitant jų gamintojus) ar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 Į kompetentingas institucijas dėl atitikties įvertinimo keliamam reikalavimui bus kreipiamasi dėl ekonomiškai naudingiausią pasiūlymą pateikusio tiekėjo ir tik įvertinus ekonomiškai naudingiausią pasiūlymą (iki pasiūlymų eilės nustatymo) pateikusio tiekėjo pašalinimo pagrindų nebuvimą [jei taikoma], atitikimą SS nustatytiems kvalifikacijos reikalavimams [jei taikoma], kokybės vadybos sistemos ir (arba) aplinkos apsaugos vadybos sistemos standartams [jei taikoma] bei Lietuvos Respublikos viešųjų pirkimų įstatymo 37 straipsnio 9 dalies reikalavimams, susijusiems su nacionaliniu saugumu [jei taikoma].</w:t>
      </w:r>
    </w:p>
    <w:p w14:paraId="0A4101BE" w14:textId="77777777" w:rsidR="00166595" w:rsidRPr="008F1BB1" w:rsidRDefault="00166595" w:rsidP="00166595">
      <w:pPr>
        <w:spacing w:before="60" w:after="60" w:line="240" w:lineRule="auto"/>
        <w:jc w:val="both"/>
        <w:rPr>
          <w:rFonts w:asciiTheme="majorHAnsi" w:hAnsiTheme="majorHAnsi" w:cstheme="majorHAnsi"/>
          <w:sz w:val="22"/>
        </w:rPr>
      </w:pPr>
    </w:p>
    <w:p w14:paraId="7AEC7B56" w14:textId="77777777" w:rsidR="00166595" w:rsidRDefault="00166595" w:rsidP="00166595">
      <w:pPr>
        <w:spacing w:before="60" w:after="60" w:line="240" w:lineRule="auto"/>
        <w:jc w:val="both"/>
        <w:rPr>
          <w:rFonts w:asciiTheme="majorHAnsi" w:hAnsiTheme="majorHAnsi" w:cstheme="majorHAnsi"/>
          <w:sz w:val="22"/>
        </w:rPr>
      </w:pPr>
      <w:r w:rsidRPr="008F1BB1">
        <w:rPr>
          <w:rFonts w:asciiTheme="majorHAnsi" w:hAnsiTheme="majorHAnsi" w:cstheme="majorHAnsi"/>
          <w:b/>
          <w:sz w:val="22"/>
          <w:u w:val="single"/>
        </w:rPr>
        <w:t>2. Pirkimo objektui taikomi Lietuvos Respublikos viešųjų pirkimų įstatymo 37 str. 9 dalies reikalavimai susiję su nacionaliniu saugumu</w:t>
      </w:r>
      <w:r w:rsidRPr="008F1BB1">
        <w:rPr>
          <w:rFonts w:asciiTheme="majorHAnsi" w:hAnsiTheme="majorHAnsi" w:cstheme="majorHAnsi"/>
          <w:sz w:val="22"/>
        </w:rPr>
        <w:t xml:space="preserve">. </w:t>
      </w:r>
      <w:r w:rsidRPr="008F1BB1">
        <w:rPr>
          <w:rFonts w:asciiTheme="majorHAnsi" w:hAnsiTheme="majorHAnsi" w:cstheme="majorHAnsi"/>
          <w:b/>
          <w:i/>
          <w:color w:val="FF0000"/>
          <w:sz w:val="22"/>
        </w:rPr>
        <w:t xml:space="preserve"> </w:t>
      </w:r>
    </w:p>
    <w:p w14:paraId="5D447D9D" w14:textId="77777777" w:rsidR="00166595" w:rsidRPr="008F1BB1" w:rsidRDefault="00166595" w:rsidP="00166595">
      <w:pPr>
        <w:spacing w:before="60" w:after="60" w:line="240" w:lineRule="auto"/>
        <w:jc w:val="both"/>
        <w:rPr>
          <w:rFonts w:asciiTheme="majorHAnsi" w:hAnsiTheme="majorHAnsi" w:cstheme="majorHAnsi"/>
          <w:sz w:val="22"/>
        </w:rPr>
      </w:pPr>
      <w:r w:rsidRPr="008F1BB1">
        <w:rPr>
          <w:rFonts w:asciiTheme="majorHAnsi" w:hAnsiTheme="majorHAnsi" w:cstheme="majorHAnsi"/>
          <w:sz w:val="22"/>
        </w:rPr>
        <w:t xml:space="preserve">Tiekėjas privalo įrodyti, kad paslaugos nekelia grėsmės nacionaliniam saugumui, nėra toliau nurodytų aplinkybių: </w:t>
      </w:r>
    </w:p>
    <w:p w14:paraId="2793D51E" w14:textId="77777777" w:rsidR="00166595" w:rsidRPr="008F1BB1" w:rsidRDefault="00166595" w:rsidP="00166595">
      <w:pPr>
        <w:spacing w:before="60" w:after="60" w:line="240" w:lineRule="auto"/>
        <w:jc w:val="both"/>
        <w:rPr>
          <w:rFonts w:asciiTheme="majorHAnsi" w:hAnsiTheme="majorHAnsi" w:cstheme="majorHAnsi"/>
          <w:sz w:val="22"/>
        </w:rPr>
      </w:pPr>
      <w:r>
        <w:rPr>
          <w:rFonts w:asciiTheme="majorHAnsi" w:hAnsiTheme="majorHAnsi" w:cstheme="majorHAnsi"/>
          <w:sz w:val="22"/>
        </w:rPr>
        <w:t>1</w:t>
      </w:r>
      <w:r w:rsidRPr="008F1BB1">
        <w:rPr>
          <w:rFonts w:asciiTheme="majorHAnsi" w:hAnsiTheme="majorHAnsi" w:cstheme="majorHAnsi"/>
          <w:sz w:val="22"/>
        </w:rPr>
        <w:t>) paslaugų teikimas būtų vykdomas iš VPĮ 92 straipsnio 14 dalyje numatytame sąraše nurodytų valstybių ar teritorijų.</w:t>
      </w:r>
    </w:p>
    <w:p w14:paraId="6D6394A5" w14:textId="77777777" w:rsidR="00166595" w:rsidRPr="008F1BB1" w:rsidRDefault="00166595" w:rsidP="00166595">
      <w:pPr>
        <w:spacing w:before="60" w:after="60" w:line="240" w:lineRule="auto"/>
        <w:jc w:val="both"/>
        <w:rPr>
          <w:rFonts w:asciiTheme="majorHAnsi" w:hAnsiTheme="majorHAnsi" w:cstheme="majorHAnsi"/>
          <w:b/>
          <w:sz w:val="22"/>
        </w:rPr>
      </w:pPr>
      <w:r w:rsidRPr="008F1BB1">
        <w:rPr>
          <w:rFonts w:asciiTheme="majorHAnsi" w:hAnsiTheme="majorHAnsi" w:cstheme="majorHAnsi"/>
          <w:b/>
          <w:sz w:val="22"/>
        </w:rPr>
        <w:t xml:space="preserve">Perkančioji organizacija pasiūlymo atitikties LR viešųjų pirkimų įstatymo 37 straipsnio 9 dalies reikalavimams patvirtinimui, iš tiekėjo reikalauja  </w:t>
      </w:r>
      <w:r w:rsidRPr="008F1BB1">
        <w:rPr>
          <w:rFonts w:asciiTheme="majorHAnsi" w:hAnsiTheme="majorHAnsi" w:cstheme="majorHAnsi"/>
          <w:b/>
          <w:bCs/>
          <w:sz w:val="22"/>
        </w:rPr>
        <w:t>KARTU SU PASIŪLYMU</w:t>
      </w:r>
      <w:r w:rsidRPr="008F1BB1">
        <w:rPr>
          <w:rFonts w:asciiTheme="majorHAnsi" w:hAnsiTheme="majorHAnsi" w:cstheme="majorHAnsi"/>
          <w:sz w:val="22"/>
        </w:rPr>
        <w:t xml:space="preserve"> </w:t>
      </w:r>
      <w:r w:rsidRPr="008F1BB1">
        <w:rPr>
          <w:rFonts w:asciiTheme="majorHAnsi" w:hAnsiTheme="majorHAnsi" w:cstheme="majorHAnsi"/>
          <w:b/>
          <w:bCs/>
          <w:sz w:val="22"/>
        </w:rPr>
        <w:t xml:space="preserve">PATEIKTI užpildytą pirkimo dokumentą „Nacionalinio saugumo reikalavimų atitikties deklaracija“ (6 IA PD ATITIKTIES DEKLARACIJA), o iš ekonomiškai naudingiausią pasiūlymą pateikusio tiekėjo reikalaus pateikti (kartu su pasiūlymu šių dokumentų tiekėjas pateikti neturi) – vieną ar kelis šiuos dokumentus: </w:t>
      </w:r>
      <w:r w:rsidRPr="008F1BB1">
        <w:rPr>
          <w:rFonts w:asciiTheme="majorHAnsi" w:hAnsiTheme="majorHAnsi" w:cstheme="majorHAnsi"/>
          <w:b/>
          <w:sz w:val="22"/>
        </w:rPr>
        <w:t xml:space="preserve">juridinio asmens vadovo </w:t>
      </w:r>
      <w:r w:rsidRPr="008F1BB1">
        <w:rPr>
          <w:rFonts w:asciiTheme="majorHAnsi" w:hAnsiTheme="majorHAnsi" w:cstheme="majorHAnsi"/>
          <w:b/>
          <w:bCs/>
          <w:sz w:val="22"/>
        </w:rPr>
        <w:t>patvirtintą</w:t>
      </w:r>
      <w:r w:rsidRPr="008F1BB1">
        <w:rPr>
          <w:rFonts w:asciiTheme="majorHAnsi" w:hAnsiTheme="majorHAnsi" w:cstheme="majorHAnsi"/>
          <w:b/>
          <w:sz w:val="22"/>
        </w:rPr>
        <w:t xml:space="preserve"> juridinio asmens steigimo dokumentų </w:t>
      </w:r>
      <w:r w:rsidRPr="008F1BB1">
        <w:rPr>
          <w:rFonts w:asciiTheme="majorHAnsi" w:hAnsiTheme="majorHAnsi" w:cstheme="majorHAnsi"/>
          <w:b/>
          <w:bCs/>
          <w:sz w:val="22"/>
        </w:rPr>
        <w:t>kopiją</w:t>
      </w:r>
      <w:r w:rsidRPr="008F1BB1">
        <w:rPr>
          <w:rFonts w:asciiTheme="majorHAnsi" w:hAnsiTheme="majorHAnsi" w:cstheme="majorHAnsi"/>
          <w:b/>
          <w:sz w:val="22"/>
        </w:rPr>
        <w:t xml:space="preserve">, Juridinių asmenų registro </w:t>
      </w:r>
      <w:r w:rsidRPr="008F1BB1">
        <w:rPr>
          <w:rFonts w:asciiTheme="majorHAnsi" w:hAnsiTheme="majorHAnsi" w:cstheme="majorHAnsi"/>
          <w:b/>
          <w:bCs/>
          <w:sz w:val="22"/>
        </w:rPr>
        <w:t>išplėstinį išrašą</w:t>
      </w:r>
      <w:r w:rsidRPr="008F1BB1">
        <w:rPr>
          <w:rFonts w:asciiTheme="majorHAnsi" w:hAnsiTheme="majorHAnsi" w:cstheme="majorHAnsi"/>
          <w:b/>
          <w:sz w:val="22"/>
        </w:rPr>
        <w:t xml:space="preserve"> su istorija, </w:t>
      </w:r>
      <w:r w:rsidRPr="008F1BB1">
        <w:rPr>
          <w:rFonts w:asciiTheme="majorHAnsi" w:hAnsiTheme="majorHAnsi" w:cstheme="majorHAnsi"/>
          <w:b/>
          <w:bCs/>
          <w:sz w:val="22"/>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8F1BB1">
        <w:rPr>
          <w:rFonts w:asciiTheme="majorHAnsi" w:hAnsiTheme="majorHAnsi" w:cstheme="majorHAnsi"/>
          <w:b/>
          <w:sz w:val="22"/>
        </w:rPr>
        <w:t xml:space="preserve"> arba </w:t>
      </w:r>
      <w:r w:rsidRPr="008F1BB1">
        <w:rPr>
          <w:rFonts w:asciiTheme="majorHAnsi" w:hAnsiTheme="majorHAnsi" w:cstheme="majorHAnsi"/>
          <w:b/>
          <w:bCs/>
          <w:sz w:val="22"/>
        </w:rPr>
        <w:t xml:space="preserve">atitinkamus </w:t>
      </w:r>
      <w:r w:rsidRPr="008F1BB1">
        <w:rPr>
          <w:rFonts w:asciiTheme="majorHAnsi" w:hAnsiTheme="majorHAnsi" w:cstheme="majorHAnsi"/>
          <w:b/>
          <w:sz w:val="22"/>
        </w:rPr>
        <w:t xml:space="preserve">valstybės narės ar trečiosios šalies </w:t>
      </w:r>
      <w:r w:rsidRPr="008F1BB1">
        <w:rPr>
          <w:rFonts w:asciiTheme="majorHAnsi" w:hAnsiTheme="majorHAnsi" w:cstheme="majorHAnsi"/>
          <w:b/>
          <w:bCs/>
          <w:sz w:val="22"/>
        </w:rPr>
        <w:t>dokumentus, ar kitus perkančiajai organizacijai priimtinus dokumentus</w:t>
      </w:r>
      <w:r w:rsidRPr="008F1BB1">
        <w:rPr>
          <w:rFonts w:asciiTheme="majorHAnsi" w:hAnsiTheme="majorHAnsi" w:cstheme="majorHAnsi"/>
          <w:b/>
          <w:sz w:val="22"/>
        </w:rPr>
        <w:t xml:space="preserve"> - </w:t>
      </w:r>
    </w:p>
    <w:p w14:paraId="204A795A" w14:textId="77777777" w:rsidR="00166595" w:rsidRPr="008F1BB1" w:rsidRDefault="00166595" w:rsidP="00166595">
      <w:pPr>
        <w:spacing w:before="60" w:after="60" w:line="240" w:lineRule="auto"/>
        <w:rPr>
          <w:rFonts w:asciiTheme="majorHAnsi" w:hAnsiTheme="majorHAnsi" w:cstheme="majorHAnsi"/>
          <w:sz w:val="22"/>
        </w:rPr>
      </w:pPr>
    </w:p>
    <w:p w14:paraId="641E2B77" w14:textId="77777777" w:rsidR="00166595" w:rsidRPr="008F1BB1" w:rsidRDefault="00166595" w:rsidP="00166595">
      <w:pPr>
        <w:spacing w:before="60" w:after="60" w:line="240" w:lineRule="auto"/>
        <w:jc w:val="both"/>
        <w:rPr>
          <w:rFonts w:asciiTheme="majorHAnsi" w:hAnsiTheme="majorHAnsi" w:cstheme="majorHAnsi"/>
          <w:sz w:val="22"/>
        </w:rPr>
      </w:pPr>
      <w:r w:rsidRPr="008F1BB1">
        <w:rPr>
          <w:rFonts w:asciiTheme="majorHAnsi" w:hAnsiTheme="majorHAnsi" w:cstheme="majorHAnsi"/>
          <w:bCs/>
          <w:sz w:val="22"/>
        </w:rPr>
        <w:t>Dokumentai, kuriuose nenurodytas jų galiojimo terminas, turi būti išduoti ar atspausdinti iš informacinės sistemos ne anksčiau kaip likus 3 mėnesiams iki tos dienos, kurią perkančiosios organizacijos prašymu tiekėjas turi pateikti dokumentus</w:t>
      </w:r>
      <w:r w:rsidRPr="008F1BB1">
        <w:rPr>
          <w:rFonts w:asciiTheme="majorHAnsi" w:hAnsiTheme="majorHAnsi" w:cstheme="majorHAnsi"/>
          <w:sz w:val="22"/>
        </w:rPr>
        <w:t>.</w:t>
      </w:r>
    </w:p>
    <w:p w14:paraId="74764FCA" w14:textId="77777777" w:rsidR="00166595" w:rsidRPr="008F1BB1" w:rsidRDefault="00166595" w:rsidP="00166595">
      <w:pPr>
        <w:spacing w:before="60" w:after="60" w:line="240" w:lineRule="auto"/>
        <w:jc w:val="both"/>
        <w:rPr>
          <w:rFonts w:asciiTheme="majorHAnsi" w:hAnsiTheme="majorHAnsi" w:cstheme="majorHAnsi"/>
          <w:bCs/>
          <w:sz w:val="22"/>
        </w:rPr>
      </w:pPr>
      <w:r w:rsidRPr="008F1BB1">
        <w:rPr>
          <w:rFonts w:asciiTheme="majorHAnsi" w:hAnsiTheme="majorHAnsi" w:cstheme="majorHAnsi"/>
          <w:bCs/>
          <w:sz w:val="22"/>
        </w:rPr>
        <w:t xml:space="preserve">Jeigu prekių gamintojas ar paslaugų teikėjas ar jį kontroliuojantis asmuo yra nacionaliniam saugumui užtikrinti svarbi įmonė, valstybės įmonė, savivaldybės įmonė, taip pat valstybės valdoma bendrovė ir jų dukterinės </w:t>
      </w:r>
      <w:r w:rsidRPr="008F1BB1">
        <w:rPr>
          <w:rFonts w:asciiTheme="majorHAnsi" w:hAnsiTheme="majorHAnsi" w:cstheme="majorHAnsi"/>
          <w:bCs/>
          <w:sz w:val="22"/>
        </w:rPr>
        <w:lastRenderedPageBreak/>
        <w:t>bendrovės, išvardytos Nacionaliniam saugumui užtikrinti svarbių objektų apsaugos įstatyme, šiems subjektams aukščiau nurodytas reikalavimas (VPĮ 37 straipsnio 9 dalis) yra netaikomas.</w:t>
      </w:r>
    </w:p>
    <w:p w14:paraId="79DFF73C" w14:textId="77777777" w:rsidR="00166595" w:rsidRPr="008F1BB1" w:rsidRDefault="00166595" w:rsidP="00166595">
      <w:pPr>
        <w:rPr>
          <w:rFonts w:asciiTheme="majorHAnsi" w:hAnsiTheme="majorHAnsi" w:cstheme="majorHAnsi"/>
        </w:rPr>
      </w:pPr>
      <w:r w:rsidRPr="008F1BB1">
        <w:rPr>
          <w:rFonts w:asciiTheme="majorHAnsi" w:hAnsiTheme="majorHAnsi" w:cstheme="majorHAnsi"/>
          <w:i/>
          <w:sz w:val="22"/>
        </w:rPr>
        <w:t xml:space="preserve"> </w:t>
      </w:r>
    </w:p>
    <w:p w14:paraId="201CA692" w14:textId="77777777" w:rsidR="00166595" w:rsidRDefault="00166595" w:rsidP="00166595">
      <w:pPr>
        <w:pStyle w:val="Sraopastraipa"/>
        <w:spacing w:before="120" w:after="120" w:line="264" w:lineRule="auto"/>
        <w:ind w:left="567" w:firstLine="426"/>
        <w:jc w:val="center"/>
        <w:rPr>
          <w:rFonts w:asciiTheme="majorHAnsi" w:hAnsiTheme="majorHAnsi" w:cstheme="majorHAnsi"/>
          <w:b/>
        </w:rPr>
      </w:pPr>
      <w:r w:rsidRPr="00203BC3">
        <w:rPr>
          <w:rFonts w:asciiTheme="majorHAnsi" w:hAnsiTheme="majorHAnsi" w:cstheme="majorHAnsi"/>
          <w:b/>
        </w:rPr>
        <w:t>Bendrosios nuostatos</w:t>
      </w:r>
    </w:p>
    <w:p w14:paraId="062EE691" w14:textId="77777777" w:rsidR="00166595" w:rsidRPr="00203BC3" w:rsidRDefault="00166595" w:rsidP="00166595">
      <w:pPr>
        <w:pStyle w:val="Sraopastraipa"/>
        <w:spacing w:before="120" w:after="120" w:line="264" w:lineRule="auto"/>
        <w:ind w:left="567" w:firstLine="426"/>
        <w:jc w:val="center"/>
        <w:rPr>
          <w:rFonts w:asciiTheme="majorHAnsi" w:hAnsiTheme="majorHAnsi" w:cstheme="majorHAnsi"/>
          <w:b/>
        </w:rPr>
      </w:pPr>
    </w:p>
    <w:p w14:paraId="504FECA4" w14:textId="77777777" w:rsidR="00166595" w:rsidRPr="00203BC3" w:rsidRDefault="00166595" w:rsidP="00166595">
      <w:pPr>
        <w:pStyle w:val="Sraopastraipa"/>
        <w:numPr>
          <w:ilvl w:val="1"/>
          <w:numId w:val="1"/>
        </w:numPr>
        <w:suppressAutoHyphens w:val="0"/>
        <w:autoSpaceDN/>
        <w:spacing w:after="0" w:line="264" w:lineRule="auto"/>
        <w:ind w:left="567" w:firstLine="426"/>
        <w:jc w:val="both"/>
        <w:textAlignment w:val="auto"/>
        <w:rPr>
          <w:rFonts w:asciiTheme="majorHAnsi" w:hAnsiTheme="majorHAnsi" w:cstheme="majorHAnsi"/>
        </w:rPr>
      </w:pPr>
      <w:r w:rsidRPr="00203BC3">
        <w:rPr>
          <w:rFonts w:asciiTheme="majorHAnsi" w:eastAsia="Times New Roman" w:hAnsiTheme="majorHAnsi" w:cstheme="majorHAnsi"/>
          <w:lang w:eastAsia="lt-LT"/>
        </w:rPr>
        <w:t>Informatikos ir ryšių departamentas prie Lietuvos Respublikos vidaus reikalų ministerijos (toliau vadinamas IRD prie VRM arba perkančioji organizacija) vykdo pirkimą skirta atnaujinti Nacionalinės Šengeno informacinės sistemos komponentą – Lietuvos kriminalinės policijos biuro Tarptautinių ryšių valdybos informacinę sistemą (toliau TRV IS) siekiant atitikti naujai įsigaliojančius reglamentuojančius dokumentus bei pradedant naudoti Europos kelionių informacijos ir leidimų sistemą (ETIAS).</w:t>
      </w:r>
    </w:p>
    <w:p w14:paraId="2536309D" w14:textId="77777777" w:rsidR="00166595" w:rsidRPr="00203BC3" w:rsidRDefault="00166595" w:rsidP="00166595">
      <w:pPr>
        <w:pStyle w:val="Sraopastraipa"/>
        <w:numPr>
          <w:ilvl w:val="1"/>
          <w:numId w:val="1"/>
        </w:numPr>
        <w:tabs>
          <w:tab w:val="left" w:pos="993"/>
        </w:tabs>
        <w:suppressAutoHyphens w:val="0"/>
        <w:autoSpaceDN/>
        <w:spacing w:after="0" w:line="264" w:lineRule="auto"/>
        <w:ind w:left="426" w:firstLine="567"/>
        <w:jc w:val="both"/>
        <w:textAlignment w:val="auto"/>
        <w:rPr>
          <w:rFonts w:asciiTheme="majorHAnsi" w:hAnsiTheme="majorHAnsi" w:cstheme="majorHAnsi"/>
        </w:rPr>
      </w:pPr>
      <w:r w:rsidRPr="00203BC3">
        <w:rPr>
          <w:rFonts w:asciiTheme="majorHAnsi" w:hAnsiTheme="majorHAnsi" w:cstheme="majorHAnsi"/>
        </w:rPr>
        <w:t>Paslaugų atlikimo laikotarpis – per 2 mėnesius nuo pirkimo sutarties įsigaliojimo dienos.</w:t>
      </w:r>
    </w:p>
    <w:p w14:paraId="2AF3B321" w14:textId="77777777" w:rsidR="00166595" w:rsidRPr="00203BC3" w:rsidRDefault="00166595" w:rsidP="00166595">
      <w:pPr>
        <w:pStyle w:val="Sraopastraipa"/>
        <w:numPr>
          <w:ilvl w:val="1"/>
          <w:numId w:val="1"/>
        </w:numPr>
        <w:suppressAutoHyphens w:val="0"/>
        <w:autoSpaceDN/>
        <w:spacing w:after="0" w:line="264" w:lineRule="auto"/>
        <w:ind w:left="426" w:firstLine="567"/>
        <w:jc w:val="both"/>
        <w:textAlignment w:val="auto"/>
        <w:rPr>
          <w:rFonts w:asciiTheme="majorHAnsi" w:hAnsiTheme="majorHAnsi" w:cstheme="majorHAnsi"/>
        </w:rPr>
      </w:pPr>
      <w:r w:rsidRPr="00203BC3">
        <w:rPr>
          <w:rFonts w:asciiTheme="majorHAnsi" w:hAnsiTheme="majorHAnsi" w:cstheme="majorHAnsi"/>
        </w:rPr>
        <w:t>Paslaugos turi būti suteiktos Informatikos ir ryšių departamente, adresu Šventaragio g. 2, Vilnius, Lietuva.</w:t>
      </w:r>
    </w:p>
    <w:p w14:paraId="622BC663" w14:textId="77777777" w:rsidR="00166595" w:rsidRPr="00C55B6F" w:rsidRDefault="00166595" w:rsidP="00166595">
      <w:pPr>
        <w:pStyle w:val="Sraopastraipa"/>
        <w:numPr>
          <w:ilvl w:val="1"/>
          <w:numId w:val="1"/>
        </w:numPr>
        <w:suppressAutoHyphens w:val="0"/>
        <w:autoSpaceDN/>
        <w:spacing w:after="0" w:line="240" w:lineRule="auto"/>
        <w:ind w:left="567" w:firstLine="426"/>
        <w:jc w:val="both"/>
        <w:textAlignment w:val="auto"/>
        <w:rPr>
          <w:rFonts w:asciiTheme="majorHAnsi" w:hAnsiTheme="majorHAnsi" w:cstheme="majorHAnsi"/>
        </w:rPr>
      </w:pPr>
      <w:r w:rsidRPr="00C55B6F">
        <w:rPr>
          <w:rFonts w:asciiTheme="majorHAnsi" w:hAnsiTheme="majorHAnsi" w:cstheme="majorHAnsi"/>
        </w:rPr>
        <w:t>Pirkimo objektui 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papunktis.</w:t>
      </w:r>
      <w:r w:rsidRPr="00C55B6F">
        <w:rPr>
          <w:rFonts w:asciiTheme="majorHAnsi" w:hAnsiTheme="majorHAnsi" w:cstheme="majorHAnsi"/>
          <w:iCs/>
        </w:rPr>
        <w:t xml:space="preserve"> </w:t>
      </w:r>
      <w:r w:rsidRPr="00C55B6F">
        <w:rPr>
          <w:rFonts w:asciiTheme="majorHAnsi" w:eastAsia="Times New Roman" w:hAnsiTheme="majorHAnsi" w:cstheme="majorHAnsi"/>
          <w:lang w:eastAsia="lt-LT"/>
        </w:rPr>
        <w:t xml:space="preserve"> </w:t>
      </w:r>
    </w:p>
    <w:p w14:paraId="4466B628" w14:textId="77777777" w:rsidR="00166595" w:rsidRPr="00203BC3" w:rsidRDefault="00166595" w:rsidP="00166595">
      <w:pPr>
        <w:pStyle w:val="Sraopastraipa"/>
        <w:numPr>
          <w:ilvl w:val="1"/>
          <w:numId w:val="1"/>
        </w:numPr>
        <w:suppressAutoHyphens w:val="0"/>
        <w:autoSpaceDN/>
        <w:spacing w:after="0" w:line="240" w:lineRule="auto"/>
        <w:ind w:left="567" w:firstLine="426"/>
        <w:jc w:val="both"/>
        <w:textAlignment w:val="auto"/>
        <w:rPr>
          <w:rFonts w:asciiTheme="majorHAnsi" w:hAnsiTheme="majorHAnsi" w:cstheme="majorHAnsi"/>
        </w:rPr>
      </w:pPr>
      <w:r w:rsidRPr="00203BC3">
        <w:rPr>
          <w:rFonts w:asciiTheme="majorHAnsi" w:hAnsiTheme="majorHAnsi" w:cstheme="majorHAnsi"/>
        </w:rPr>
        <w:t>TRVIS – informacijos apdorojimo bei apsikeitimo su ES teisėsaugos institucijomis informacinė sistema. Informacijos apsikeitimas vykdomas su Šengeno šalių narių SIRENE biurais, Europolo, Interpolo duomenų bazėmis ir kitomis informacinėmis sistemomis. Šengeno šalių narių SIRENE biurai vieni kitiems siunčia pranešimus struktūrizuotomis formomis.</w:t>
      </w:r>
    </w:p>
    <w:p w14:paraId="3366EF7A" w14:textId="77777777" w:rsidR="00166595" w:rsidRPr="00203BC3" w:rsidRDefault="00166595" w:rsidP="00166595">
      <w:pPr>
        <w:pStyle w:val="Sraopastraipa"/>
        <w:numPr>
          <w:ilvl w:val="1"/>
          <w:numId w:val="1"/>
        </w:numPr>
        <w:suppressAutoHyphens w:val="0"/>
        <w:autoSpaceDN/>
        <w:spacing w:after="0" w:line="264" w:lineRule="auto"/>
        <w:ind w:left="567" w:firstLine="426"/>
        <w:jc w:val="both"/>
        <w:textAlignment w:val="auto"/>
        <w:rPr>
          <w:rFonts w:asciiTheme="majorHAnsi" w:hAnsiTheme="majorHAnsi" w:cstheme="majorHAnsi"/>
        </w:rPr>
      </w:pPr>
      <w:r w:rsidRPr="00203BC3">
        <w:rPr>
          <w:rFonts w:asciiTheme="majorHAnsi" w:hAnsiTheme="majorHAnsi" w:cstheme="majorHAnsi"/>
        </w:rPr>
        <w:t>Pradėjus naudoti ETIAS, jos sąveikoje su Šengeno informacine sistema bus generuojamos specializuotos SIRENE formos, kurios turės būti apdorojamos TRV IS priemonėmis.</w:t>
      </w:r>
    </w:p>
    <w:p w14:paraId="0EFDF816" w14:textId="77777777" w:rsidR="00166595" w:rsidRPr="00203BC3" w:rsidRDefault="00166595" w:rsidP="00166595">
      <w:pPr>
        <w:pStyle w:val="Sraopastraipa"/>
        <w:numPr>
          <w:ilvl w:val="1"/>
          <w:numId w:val="1"/>
        </w:numPr>
        <w:suppressAutoHyphens w:val="0"/>
        <w:autoSpaceDN/>
        <w:spacing w:after="0" w:line="264" w:lineRule="auto"/>
        <w:ind w:left="567" w:firstLine="426"/>
        <w:jc w:val="both"/>
        <w:textAlignment w:val="auto"/>
        <w:rPr>
          <w:rFonts w:asciiTheme="majorHAnsi" w:hAnsiTheme="majorHAnsi" w:cstheme="majorHAnsi"/>
        </w:rPr>
      </w:pPr>
      <w:r w:rsidRPr="00203BC3">
        <w:rPr>
          <w:rFonts w:asciiTheme="majorHAnsi" w:hAnsiTheme="majorHAnsi" w:cstheme="majorHAnsi"/>
        </w:rPr>
        <w:t>Pirkimo tikslas – įdiegti ETIAS formų (U forma) apdorojimo funkcionalumą TRVIS (išskyrus U formos siuntimą).</w:t>
      </w:r>
    </w:p>
    <w:p w14:paraId="40231286" w14:textId="77777777" w:rsidR="00166595" w:rsidRPr="00203BC3" w:rsidRDefault="00166595" w:rsidP="00166595">
      <w:pPr>
        <w:pStyle w:val="Sraopastraipa"/>
        <w:numPr>
          <w:ilvl w:val="1"/>
          <w:numId w:val="1"/>
        </w:numPr>
        <w:suppressAutoHyphens w:val="0"/>
        <w:autoSpaceDN/>
        <w:spacing w:after="0" w:line="264" w:lineRule="auto"/>
        <w:ind w:left="567" w:firstLine="426"/>
        <w:jc w:val="both"/>
        <w:textAlignment w:val="auto"/>
        <w:rPr>
          <w:rFonts w:asciiTheme="majorHAnsi" w:hAnsiTheme="majorHAnsi" w:cstheme="majorHAnsi"/>
        </w:rPr>
      </w:pPr>
      <w:r w:rsidRPr="00203BC3">
        <w:rPr>
          <w:rFonts w:asciiTheme="majorHAnsi" w:hAnsiTheme="majorHAnsi" w:cstheme="majorHAnsi"/>
        </w:rPr>
        <w:t>Atnaujintas funkcionalumas turi būti įkeltas į testavimo aplinką ir ištestuotas. Tik ištestuotas funkcionalumas keliamas į gamybinę aplinką.</w:t>
      </w:r>
    </w:p>
    <w:p w14:paraId="1C8A70CE" w14:textId="77777777" w:rsidR="00166595" w:rsidRPr="00203BC3" w:rsidRDefault="00166595" w:rsidP="00166595">
      <w:pPr>
        <w:pStyle w:val="Sraopastraipa"/>
        <w:numPr>
          <w:ilvl w:val="1"/>
          <w:numId w:val="1"/>
        </w:numPr>
        <w:suppressAutoHyphens w:val="0"/>
        <w:autoSpaceDN/>
        <w:spacing w:after="0" w:line="264" w:lineRule="auto"/>
        <w:ind w:left="567" w:firstLine="426"/>
        <w:jc w:val="both"/>
        <w:textAlignment w:val="auto"/>
        <w:rPr>
          <w:rFonts w:asciiTheme="majorHAnsi" w:hAnsiTheme="majorHAnsi" w:cstheme="majorHAnsi"/>
        </w:rPr>
      </w:pPr>
      <w:r w:rsidRPr="00203BC3">
        <w:rPr>
          <w:rFonts w:asciiTheme="majorHAnsi" w:hAnsiTheme="majorHAnsi" w:cstheme="majorHAnsi"/>
        </w:rPr>
        <w:t>Defektų, atsiradusių po tobulinimo darbų dėl Paslaugos teikėjo kaltės, garantijos laikotarpiu šalinimas turi būti atliktas nemokamai ir neturi daryti įtakos kitoms teikiamoms Paslaugoms (terminui, kainai ir kt.).</w:t>
      </w:r>
    </w:p>
    <w:p w14:paraId="06164550" w14:textId="77777777" w:rsidR="00166595" w:rsidRPr="00203BC3" w:rsidRDefault="00166595" w:rsidP="00166595">
      <w:pPr>
        <w:pStyle w:val="Sraopastraipa"/>
        <w:numPr>
          <w:ilvl w:val="1"/>
          <w:numId w:val="1"/>
        </w:numPr>
        <w:suppressAutoHyphens w:val="0"/>
        <w:autoSpaceDN/>
        <w:spacing w:after="0" w:line="264" w:lineRule="auto"/>
        <w:ind w:left="567" w:firstLine="426"/>
        <w:jc w:val="both"/>
        <w:textAlignment w:val="auto"/>
        <w:rPr>
          <w:rFonts w:asciiTheme="majorHAnsi" w:hAnsiTheme="majorHAnsi" w:cstheme="majorHAnsi"/>
        </w:rPr>
      </w:pPr>
      <w:r w:rsidRPr="00203BC3">
        <w:rPr>
          <w:rFonts w:asciiTheme="majorHAnsi" w:hAnsiTheme="majorHAnsi" w:cstheme="majorHAnsi"/>
        </w:rPr>
        <w:t>Funkcionalumas įkeltas į gamybinę aplinką neturi sutrikdyti kitų sistemos/registro esančių funkcijų darbo. Jeigu įkeltas funkcionalumas sutrikdo esančių funkcijų darbą, laikoma, kad Paslauga atlikta nekokybiškai. Informacinės sistemos atstatymo darbus atlieka Paslaugos teikėjas savo lėšomis.</w:t>
      </w:r>
    </w:p>
    <w:p w14:paraId="1F6DC390" w14:textId="77777777" w:rsidR="00166595" w:rsidRPr="00203BC3" w:rsidRDefault="00166595" w:rsidP="00166595">
      <w:pPr>
        <w:pStyle w:val="Sraopastraipa"/>
        <w:numPr>
          <w:ilvl w:val="1"/>
          <w:numId w:val="1"/>
        </w:numPr>
        <w:suppressAutoHyphens w:val="0"/>
        <w:autoSpaceDN/>
        <w:spacing w:after="0" w:line="264" w:lineRule="auto"/>
        <w:ind w:left="567" w:firstLine="426"/>
        <w:jc w:val="both"/>
        <w:textAlignment w:val="auto"/>
        <w:rPr>
          <w:rFonts w:asciiTheme="majorHAnsi" w:hAnsiTheme="majorHAnsi" w:cstheme="majorHAnsi"/>
        </w:rPr>
      </w:pPr>
      <w:r w:rsidRPr="00203BC3">
        <w:rPr>
          <w:rFonts w:asciiTheme="majorHAnsi" w:hAnsiTheme="majorHAnsi" w:cstheme="majorHAnsi"/>
        </w:rPr>
        <w:t>Naujai realizuoti (modernizuoti) TRVIS funkcionalumai, sauga, greitaveika, patogumas turi būti ne blogesni nei dabartiniai.</w:t>
      </w:r>
    </w:p>
    <w:p w14:paraId="50F43950" w14:textId="77777777" w:rsidR="00166595" w:rsidRPr="00203BC3" w:rsidRDefault="00166595" w:rsidP="00166595">
      <w:pPr>
        <w:pStyle w:val="Sraopastraipa"/>
        <w:numPr>
          <w:ilvl w:val="1"/>
          <w:numId w:val="1"/>
        </w:numPr>
        <w:suppressAutoHyphens w:val="0"/>
        <w:autoSpaceDN/>
        <w:spacing w:after="0" w:line="264" w:lineRule="auto"/>
        <w:ind w:left="567" w:firstLine="426"/>
        <w:jc w:val="both"/>
        <w:textAlignment w:val="auto"/>
        <w:rPr>
          <w:rFonts w:asciiTheme="majorHAnsi" w:hAnsiTheme="majorHAnsi" w:cstheme="majorHAnsi"/>
        </w:rPr>
      </w:pPr>
      <w:r w:rsidRPr="00203BC3">
        <w:rPr>
          <w:rFonts w:asciiTheme="majorHAnsi" w:hAnsiTheme="majorHAnsi" w:cstheme="majorHAnsi"/>
        </w:rPr>
        <w:t xml:space="preserve">Paslaugos teikėjas privalės išeities tekstus perkelti į Perkančiosios organizacijos pateiktą programų išeities tekstų versijų kontrolės sistemos aplinką (toliau – </w:t>
      </w:r>
      <w:bookmarkStart w:id="0" w:name="_Hlk183521369"/>
      <w:proofErr w:type="spellStart"/>
      <w:r w:rsidRPr="00203BC3">
        <w:rPr>
          <w:rFonts w:asciiTheme="majorHAnsi" w:hAnsiTheme="majorHAnsi" w:cstheme="majorHAnsi"/>
        </w:rPr>
        <w:t>Gitlab</w:t>
      </w:r>
      <w:bookmarkEnd w:id="0"/>
      <w:proofErr w:type="spellEnd"/>
      <w:r w:rsidRPr="00203BC3">
        <w:rPr>
          <w:rFonts w:asciiTheme="majorHAnsi" w:hAnsiTheme="majorHAnsi" w:cstheme="majorHAnsi"/>
        </w:rPr>
        <w:t xml:space="preserve">). </w:t>
      </w:r>
    </w:p>
    <w:p w14:paraId="44478F46" w14:textId="77777777" w:rsidR="00166595" w:rsidRPr="00203BC3" w:rsidRDefault="00166595" w:rsidP="00166595">
      <w:pPr>
        <w:pStyle w:val="Sraopastraipa"/>
        <w:numPr>
          <w:ilvl w:val="1"/>
          <w:numId w:val="1"/>
        </w:numPr>
        <w:suppressAutoHyphens w:val="0"/>
        <w:autoSpaceDN/>
        <w:spacing w:after="0" w:line="264" w:lineRule="auto"/>
        <w:ind w:left="567" w:firstLine="426"/>
        <w:jc w:val="both"/>
        <w:textAlignment w:val="auto"/>
        <w:rPr>
          <w:rFonts w:asciiTheme="majorHAnsi" w:hAnsiTheme="majorHAnsi" w:cstheme="majorHAnsi"/>
        </w:rPr>
      </w:pPr>
      <w:r w:rsidRPr="00203BC3">
        <w:rPr>
          <w:rFonts w:asciiTheme="majorHAnsi" w:hAnsiTheme="majorHAnsi" w:cstheme="majorHAnsi"/>
        </w:rPr>
        <w:t xml:space="preserve">Bet kokie programinės įrangos atnaujinimų diegimai į testavimo ir darbinę aplinkas turi būti galimi tik iš </w:t>
      </w:r>
      <w:proofErr w:type="spellStart"/>
      <w:r w:rsidRPr="00203BC3">
        <w:rPr>
          <w:rFonts w:asciiTheme="majorHAnsi" w:hAnsiTheme="majorHAnsi" w:cstheme="majorHAnsi"/>
        </w:rPr>
        <w:t>Gitlab</w:t>
      </w:r>
      <w:proofErr w:type="spellEnd"/>
      <w:r w:rsidRPr="00203BC3">
        <w:rPr>
          <w:rFonts w:asciiTheme="majorHAnsi" w:hAnsiTheme="majorHAnsi" w:cstheme="majorHAnsi"/>
        </w:rPr>
        <w:t xml:space="preserve"> esančių išeities tekstų.</w:t>
      </w:r>
    </w:p>
    <w:p w14:paraId="085048C6" w14:textId="77777777" w:rsidR="00166595" w:rsidRPr="00203BC3" w:rsidRDefault="00166595" w:rsidP="00166595">
      <w:pPr>
        <w:pStyle w:val="Sraopastraipa"/>
        <w:numPr>
          <w:ilvl w:val="1"/>
          <w:numId w:val="1"/>
        </w:numPr>
        <w:suppressAutoHyphens w:val="0"/>
        <w:autoSpaceDN/>
        <w:spacing w:after="0" w:line="264" w:lineRule="auto"/>
        <w:ind w:left="567" w:firstLine="426"/>
        <w:jc w:val="both"/>
        <w:textAlignment w:val="auto"/>
        <w:rPr>
          <w:rFonts w:asciiTheme="majorHAnsi" w:hAnsiTheme="majorHAnsi" w:cstheme="majorHAnsi"/>
        </w:rPr>
      </w:pPr>
      <w:r w:rsidRPr="00203BC3">
        <w:rPr>
          <w:rFonts w:asciiTheme="majorHAnsi" w:hAnsiTheme="majorHAnsi" w:cstheme="majorHAnsi"/>
        </w:rPr>
        <w:lastRenderedPageBreak/>
        <w:t xml:space="preserve">Paslaugos teikėjas turi užtikrinti komunikacijai su Užsakovu naudojamų priemonių veikimą. Taip pat turi užtikrinti galimybę, kad visos pastebėtos TRVIS programinės įrangos klaidos ir netikslumai, duomenų tvarkymo poreikis, registruojami Perkančiosios organizacijos Informacinių technologijų ir telekomunikacijų pagalbos tarnybos posistemėje </w:t>
      </w:r>
      <w:hyperlink r:id="rId5" w:history="1">
        <w:r w:rsidRPr="00203BC3">
          <w:rPr>
            <w:rStyle w:val="Hipersaitas"/>
            <w:rFonts w:asciiTheme="majorHAnsi" w:hAnsiTheme="majorHAnsi" w:cstheme="majorHAnsi"/>
          </w:rPr>
          <w:t>https://ittpagalba.vrm.lt/MSM/</w:t>
        </w:r>
      </w:hyperlink>
      <w:r w:rsidRPr="00203BC3">
        <w:rPr>
          <w:rFonts w:asciiTheme="majorHAnsi" w:hAnsiTheme="majorHAnsi" w:cstheme="majorHAnsi"/>
        </w:rPr>
        <w:t>, pagal su Perkančiąja organizacija suderintą procedūrą būtų perduodamos į Paslaugos teikėjo serviso sistemą el. paštu  ir grąžinamos aktualios klaidos sprendimo ar duomenų tvarkymo būsenos duomenys.</w:t>
      </w:r>
    </w:p>
    <w:p w14:paraId="0B048D54" w14:textId="77777777" w:rsidR="00166595" w:rsidRPr="00203BC3" w:rsidRDefault="00166595" w:rsidP="00166595">
      <w:pPr>
        <w:pStyle w:val="Sraopastraipa"/>
        <w:numPr>
          <w:ilvl w:val="1"/>
          <w:numId w:val="1"/>
        </w:numPr>
        <w:suppressAutoHyphens w:val="0"/>
        <w:autoSpaceDN/>
        <w:spacing w:after="0" w:line="264" w:lineRule="auto"/>
        <w:ind w:left="567" w:firstLine="426"/>
        <w:jc w:val="both"/>
        <w:textAlignment w:val="auto"/>
        <w:rPr>
          <w:rFonts w:asciiTheme="majorHAnsi" w:hAnsiTheme="majorHAnsi" w:cstheme="majorHAnsi"/>
        </w:rPr>
      </w:pPr>
      <w:r w:rsidRPr="00203BC3">
        <w:rPr>
          <w:rFonts w:asciiTheme="majorHAnsi" w:hAnsiTheme="majorHAnsi" w:cstheme="majorHAnsi"/>
        </w:rPr>
        <w:t xml:space="preserve">Pirkimo sutarties galiojimo laikotarpiu patobulintam funkcionalumui turi būti suteikta garantija ne mažiau kaip 12 mėnesių nuo paslaugų perdavimo – priėmimo akto pasirašymo dienos. </w:t>
      </w:r>
    </w:p>
    <w:p w14:paraId="48AE883C" w14:textId="77777777" w:rsidR="00166595" w:rsidRPr="00203BC3" w:rsidRDefault="00166595" w:rsidP="00166595">
      <w:pPr>
        <w:pStyle w:val="Sraopastraipa"/>
        <w:numPr>
          <w:ilvl w:val="1"/>
          <w:numId w:val="1"/>
        </w:numPr>
        <w:suppressAutoHyphens w:val="0"/>
        <w:autoSpaceDN/>
        <w:spacing w:after="0" w:line="264" w:lineRule="auto"/>
        <w:ind w:left="567" w:firstLine="426"/>
        <w:jc w:val="both"/>
        <w:textAlignment w:val="auto"/>
        <w:rPr>
          <w:rFonts w:asciiTheme="majorHAnsi" w:hAnsiTheme="majorHAnsi" w:cstheme="majorHAnsi"/>
        </w:rPr>
      </w:pPr>
      <w:r w:rsidRPr="00203BC3">
        <w:rPr>
          <w:rFonts w:asciiTheme="majorHAnsi" w:hAnsiTheme="majorHAnsi" w:cstheme="majorHAnsi"/>
        </w:rPr>
        <w:t>Garantinės priežiūros paslaugos apima sukurtos ir modernizuotos programinės įrangos sutrikimų šalinimą bei Perkančiosios organizacijos atsakingų asmenų konsultavimą. Šių sutrikimų prioritetai ir reakcijos laikai –  laikas, per kurį Paslaugų teikėjas įsipareigoja sureaguoti į registruotą TRVIS veikimo sutrikimą ir informuoti Perkančiosios organizacijos atstovą (-</w:t>
      </w:r>
      <w:proofErr w:type="spellStart"/>
      <w:r w:rsidRPr="00203BC3">
        <w:rPr>
          <w:rFonts w:asciiTheme="majorHAnsi" w:hAnsiTheme="majorHAnsi" w:cstheme="majorHAnsi"/>
        </w:rPr>
        <w:t>us</w:t>
      </w:r>
      <w:proofErr w:type="spellEnd"/>
      <w:r w:rsidRPr="00203BC3">
        <w:rPr>
          <w:rFonts w:asciiTheme="majorHAnsi" w:hAnsiTheme="majorHAnsi" w:cstheme="majorHAnsi"/>
        </w:rPr>
        <w:t>) apie numatomus veiksmus trikdžiui pašalinti:</w:t>
      </w:r>
    </w:p>
    <w:p w14:paraId="6AAD52E4" w14:textId="77777777" w:rsidR="00166595" w:rsidRPr="00203BC3" w:rsidRDefault="00166595" w:rsidP="00166595">
      <w:pPr>
        <w:pStyle w:val="Sraopastraipa"/>
        <w:numPr>
          <w:ilvl w:val="2"/>
          <w:numId w:val="2"/>
        </w:numPr>
        <w:suppressAutoHyphens w:val="0"/>
        <w:autoSpaceDN/>
        <w:spacing w:after="0" w:line="264" w:lineRule="auto"/>
        <w:ind w:left="567" w:firstLine="459"/>
        <w:jc w:val="both"/>
        <w:textAlignment w:val="auto"/>
        <w:rPr>
          <w:rFonts w:asciiTheme="majorHAnsi" w:hAnsiTheme="majorHAnsi" w:cstheme="majorHAnsi"/>
        </w:rPr>
      </w:pPr>
      <w:r w:rsidRPr="00203BC3">
        <w:rPr>
          <w:rFonts w:asciiTheme="majorHAnsi" w:hAnsiTheme="majorHAnsi" w:cstheme="majorHAnsi"/>
        </w:rPr>
        <w:t xml:space="preserve"> I prioritetas: Kritiniai. TRVIS nustojo funkcionuoti ir Perkančioji organizacija negali tęsti darbo. Reakcijos laikas – ne ilgiau kaip 1 darbo valandos. Nustačius sutrikimo priežastis, sutrikimo šalinimo laikas ne ilgiau kaip 5 darbo valandos.</w:t>
      </w:r>
    </w:p>
    <w:p w14:paraId="1651E0A7" w14:textId="77777777" w:rsidR="00166595" w:rsidRPr="00203BC3" w:rsidRDefault="00166595" w:rsidP="00166595">
      <w:pPr>
        <w:pStyle w:val="Sraopastraipa"/>
        <w:numPr>
          <w:ilvl w:val="2"/>
          <w:numId w:val="2"/>
        </w:numPr>
        <w:suppressAutoHyphens w:val="0"/>
        <w:autoSpaceDN/>
        <w:spacing w:after="0" w:line="264" w:lineRule="auto"/>
        <w:ind w:left="567" w:firstLine="459"/>
        <w:jc w:val="both"/>
        <w:textAlignment w:val="auto"/>
        <w:rPr>
          <w:rFonts w:asciiTheme="majorHAnsi" w:hAnsiTheme="majorHAnsi" w:cstheme="majorHAnsi"/>
        </w:rPr>
      </w:pPr>
      <w:r w:rsidRPr="00203BC3">
        <w:rPr>
          <w:rFonts w:asciiTheme="majorHAnsi" w:hAnsiTheme="majorHAnsi" w:cstheme="majorHAnsi"/>
        </w:rPr>
        <w:t xml:space="preserve"> II prioritetas: Vidutiniai. TRVIS funkcionavimo sutrikimai, dėl kurių neįmanomas sklandus TRVIS darbas, naudotojai turi galimybę dirbti, tačiau ne visu pajėgumu. Reakcijos laikas - ne ilgiau kaip 2 darbo valandos. Nustačius sutrikimo priežastis, sutrikimo šalinimo laikas 6 valandos.</w:t>
      </w:r>
    </w:p>
    <w:p w14:paraId="5E2428C1" w14:textId="77777777" w:rsidR="00166595" w:rsidRPr="00203BC3" w:rsidRDefault="00166595" w:rsidP="00166595">
      <w:pPr>
        <w:pStyle w:val="Sraopastraipa"/>
        <w:numPr>
          <w:ilvl w:val="2"/>
          <w:numId w:val="2"/>
        </w:numPr>
        <w:suppressAutoHyphens w:val="0"/>
        <w:autoSpaceDN/>
        <w:spacing w:after="0" w:line="264" w:lineRule="auto"/>
        <w:ind w:left="567" w:firstLine="459"/>
        <w:jc w:val="both"/>
        <w:textAlignment w:val="auto"/>
        <w:rPr>
          <w:rFonts w:asciiTheme="majorHAnsi" w:hAnsiTheme="majorHAnsi" w:cstheme="majorHAnsi"/>
        </w:rPr>
      </w:pPr>
      <w:r w:rsidRPr="00203BC3">
        <w:rPr>
          <w:rFonts w:asciiTheme="majorHAnsi" w:hAnsiTheme="majorHAnsi" w:cstheme="majorHAnsi"/>
        </w:rPr>
        <w:t xml:space="preserve"> III prioritetas: Kiti. Veiklos procesai ir TRVIS funkcionavimas paveiktas nežymiai, sutrikimas nekelia grėsmės duomenims ir TRVIS funkcionavimui, problemos sprendimas yra būtinas, bet ne kritinis. Reakcijos laikas – ne ilgiau kaip 8 darbo valandos. Nustačius sutrikimo priežastis, sutrikimo šalinimo laikas derinamas su Perkančiąja organizacija.</w:t>
      </w:r>
    </w:p>
    <w:p w14:paraId="2C3C55E5" w14:textId="77777777" w:rsidR="00166595" w:rsidRPr="00203BC3" w:rsidRDefault="00166595" w:rsidP="00166595">
      <w:pPr>
        <w:pStyle w:val="Sraopastraipa"/>
        <w:numPr>
          <w:ilvl w:val="1"/>
          <w:numId w:val="1"/>
        </w:numPr>
        <w:suppressAutoHyphens w:val="0"/>
        <w:autoSpaceDN/>
        <w:spacing w:after="0" w:line="264" w:lineRule="auto"/>
        <w:ind w:left="567" w:firstLine="426"/>
        <w:jc w:val="both"/>
        <w:textAlignment w:val="auto"/>
        <w:rPr>
          <w:rFonts w:asciiTheme="majorHAnsi" w:hAnsiTheme="majorHAnsi" w:cstheme="majorHAnsi"/>
        </w:rPr>
      </w:pPr>
      <w:r w:rsidRPr="00203BC3">
        <w:rPr>
          <w:rFonts w:asciiTheme="majorHAnsi" w:hAnsiTheme="majorHAnsi" w:cstheme="majorHAnsi"/>
        </w:rPr>
        <w:t>Paslaugos teikėjas turi prisiimti ir užtikrinti garantinius įsipareigojimus TRVIS programinės įrangos patobulintam funkcionalumui ne bloginant garantinio aptarnavimo sąlygų šiuo metu esamai programinei įrangai.</w:t>
      </w:r>
    </w:p>
    <w:p w14:paraId="21B80D9B" w14:textId="77777777" w:rsidR="00166595" w:rsidRPr="00203BC3" w:rsidRDefault="00166595" w:rsidP="00166595">
      <w:pPr>
        <w:pStyle w:val="Sraopastraipa"/>
        <w:numPr>
          <w:ilvl w:val="1"/>
          <w:numId w:val="1"/>
        </w:numPr>
        <w:suppressAutoHyphens w:val="0"/>
        <w:autoSpaceDN/>
        <w:spacing w:after="0" w:line="264" w:lineRule="auto"/>
        <w:ind w:left="567" w:firstLine="426"/>
        <w:jc w:val="both"/>
        <w:textAlignment w:val="auto"/>
        <w:rPr>
          <w:rFonts w:asciiTheme="majorHAnsi" w:hAnsiTheme="majorHAnsi" w:cstheme="majorHAnsi"/>
        </w:rPr>
      </w:pPr>
      <w:bookmarkStart w:id="1" w:name="_Hlk183520899"/>
      <w:r w:rsidRPr="00203BC3">
        <w:rPr>
          <w:rFonts w:asciiTheme="majorHAnsi" w:hAnsiTheme="majorHAnsi" w:cstheme="majorHAnsi"/>
        </w:rPr>
        <w:t>Garantinio laikotarpio pabaigoje paslaugos teikėjas naudos gavėjui turi perduoti atnaujintą techninę dokumentaciją, atnaujintas programinės įrangos diegimo instrukcijas, atnaujintų ar pakeistų taikomųjų programų tekstus, programinius komponentus.</w:t>
      </w:r>
    </w:p>
    <w:bookmarkEnd w:id="1"/>
    <w:p w14:paraId="2CEEBDDD" w14:textId="77777777" w:rsidR="00166595" w:rsidRPr="00203BC3" w:rsidRDefault="00166595" w:rsidP="00166595">
      <w:pPr>
        <w:spacing w:after="0" w:line="264" w:lineRule="auto"/>
        <w:rPr>
          <w:rFonts w:asciiTheme="majorHAnsi" w:hAnsiTheme="majorHAnsi" w:cstheme="majorHAnsi"/>
          <w:sz w:val="22"/>
        </w:rPr>
      </w:pPr>
    </w:p>
    <w:p w14:paraId="5DF696DC" w14:textId="77777777" w:rsidR="00166595" w:rsidRPr="00203BC3" w:rsidRDefault="00166595" w:rsidP="00166595">
      <w:pPr>
        <w:spacing w:line="264" w:lineRule="auto"/>
        <w:ind w:left="567" w:firstLine="426"/>
        <w:rPr>
          <w:rFonts w:asciiTheme="majorHAnsi" w:hAnsiTheme="majorHAnsi" w:cstheme="majorHAnsi"/>
          <w:b/>
          <w:sz w:val="22"/>
        </w:rPr>
      </w:pPr>
      <w:r w:rsidRPr="00203BC3">
        <w:rPr>
          <w:rFonts w:asciiTheme="majorHAnsi" w:hAnsiTheme="majorHAnsi" w:cstheme="majorHAnsi"/>
          <w:b/>
          <w:sz w:val="22"/>
        </w:rPr>
        <w:t>Funkciniai reikalavimai</w:t>
      </w:r>
    </w:p>
    <w:p w14:paraId="58064C03" w14:textId="77777777" w:rsidR="00166595" w:rsidRPr="00203BC3" w:rsidRDefault="00166595" w:rsidP="00166595">
      <w:pPr>
        <w:pStyle w:val="Sraopastraipa"/>
        <w:numPr>
          <w:ilvl w:val="1"/>
          <w:numId w:val="1"/>
        </w:numPr>
        <w:suppressAutoHyphens w:val="0"/>
        <w:autoSpaceDN/>
        <w:spacing w:after="0" w:line="264" w:lineRule="auto"/>
        <w:ind w:left="567" w:firstLine="426"/>
        <w:jc w:val="both"/>
        <w:textAlignment w:val="auto"/>
        <w:rPr>
          <w:rFonts w:asciiTheme="majorHAnsi" w:hAnsiTheme="majorHAnsi" w:cstheme="majorHAnsi"/>
        </w:rPr>
      </w:pPr>
      <w:r w:rsidRPr="00203BC3">
        <w:rPr>
          <w:rFonts w:asciiTheme="majorHAnsi" w:hAnsiTheme="majorHAnsi" w:cstheme="majorHAnsi"/>
        </w:rPr>
        <w:t>Turi būti įdiegti TRVIS SIRENE formų aprašo dokumento (DEBS) versijoje 5.0.3 bei atitinkamoje duomenų schemoje (XSD v.2.0.3) įvesti reikalavimai.</w:t>
      </w:r>
    </w:p>
    <w:p w14:paraId="049F03FB" w14:textId="77777777" w:rsidR="00166595" w:rsidRPr="00203BC3" w:rsidRDefault="00166595" w:rsidP="00166595">
      <w:pPr>
        <w:pStyle w:val="Sraopastraipa"/>
        <w:numPr>
          <w:ilvl w:val="1"/>
          <w:numId w:val="1"/>
        </w:numPr>
        <w:suppressAutoHyphens w:val="0"/>
        <w:autoSpaceDN/>
        <w:spacing w:after="0" w:line="264" w:lineRule="auto"/>
        <w:ind w:left="567" w:firstLine="426"/>
        <w:jc w:val="both"/>
        <w:textAlignment w:val="auto"/>
        <w:rPr>
          <w:rFonts w:asciiTheme="majorHAnsi" w:hAnsiTheme="majorHAnsi" w:cstheme="majorHAnsi"/>
        </w:rPr>
      </w:pPr>
      <w:r w:rsidRPr="00203BC3">
        <w:rPr>
          <w:rFonts w:asciiTheme="majorHAnsi" w:hAnsiTheme="majorHAnsi" w:cstheme="majorHAnsi"/>
        </w:rPr>
        <w:t>U formoje naudojami laukai bei kiti pakeitimai nuo šiuo metu naudojamos schemos (XSD versija 1.4.0) nurodyti žemiau pateiktoje lentelėje.</w:t>
      </w:r>
    </w:p>
    <w:p w14:paraId="63687572" w14:textId="77777777" w:rsidR="00166595" w:rsidRPr="00203BC3" w:rsidRDefault="00166595" w:rsidP="00166595">
      <w:pPr>
        <w:spacing w:after="0" w:line="264" w:lineRule="auto"/>
        <w:rPr>
          <w:rFonts w:asciiTheme="majorHAnsi" w:hAnsiTheme="majorHAnsi" w:cstheme="majorHAnsi"/>
          <w:sz w:val="22"/>
        </w:rPr>
      </w:pPr>
    </w:p>
    <w:p w14:paraId="396E7845" w14:textId="77777777" w:rsidR="00166595" w:rsidRPr="0008786A" w:rsidRDefault="00166595" w:rsidP="00166595">
      <w:pPr>
        <w:spacing w:after="0"/>
        <w:rPr>
          <w:szCs w:val="24"/>
        </w:rPr>
      </w:pPr>
      <w:r w:rsidRPr="0008786A">
        <w:rPr>
          <w:rFonts w:eastAsia="Times New Roman"/>
          <w:noProof/>
        </w:rPr>
        <w:lastRenderedPageBreak/>
        <w:drawing>
          <wp:inline distT="0" distB="0" distL="0" distR="0" wp14:anchorId="3BBF19AD" wp14:editId="2D48C7E8">
            <wp:extent cx="6571615" cy="4214179"/>
            <wp:effectExtent l="0" t="0" r="635" b="0"/>
            <wp:docPr id="1" name="Picture 1" descr="A table with text and numbers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able with text and numbers  Description automatically generated with medium confidence"/>
                    <pic:cNvPicPr/>
                  </pic:nvPicPr>
                  <pic:blipFill>
                    <a:blip r:embed="rId6"/>
                    <a:stretch>
                      <a:fillRect/>
                    </a:stretch>
                  </pic:blipFill>
                  <pic:spPr>
                    <a:xfrm>
                      <a:off x="0" y="0"/>
                      <a:ext cx="6571615" cy="4214179"/>
                    </a:xfrm>
                    <a:prstGeom prst="rect">
                      <a:avLst/>
                    </a:prstGeom>
                  </pic:spPr>
                </pic:pic>
              </a:graphicData>
            </a:graphic>
          </wp:inline>
        </w:drawing>
      </w:r>
    </w:p>
    <w:p w14:paraId="5E08D172" w14:textId="77777777" w:rsidR="00166595" w:rsidRDefault="00166595" w:rsidP="00166595">
      <w:pPr>
        <w:spacing w:after="0"/>
        <w:rPr>
          <w:szCs w:val="24"/>
        </w:rPr>
      </w:pPr>
    </w:p>
    <w:p w14:paraId="1357EF37" w14:textId="77777777" w:rsidR="00166595" w:rsidRPr="00203BC3" w:rsidRDefault="00166595" w:rsidP="00166595">
      <w:pPr>
        <w:tabs>
          <w:tab w:val="left" w:pos="851"/>
        </w:tabs>
        <w:spacing w:after="0" w:line="264" w:lineRule="auto"/>
        <w:jc w:val="center"/>
        <w:rPr>
          <w:rFonts w:asciiTheme="majorHAnsi" w:hAnsiTheme="majorHAnsi" w:cstheme="majorHAnsi"/>
          <w:b/>
          <w:sz w:val="22"/>
        </w:rPr>
      </w:pPr>
      <w:r w:rsidRPr="00203BC3">
        <w:rPr>
          <w:rFonts w:asciiTheme="majorHAnsi" w:hAnsiTheme="majorHAnsi" w:cstheme="majorHAnsi"/>
          <w:b/>
          <w:sz w:val="22"/>
        </w:rPr>
        <w:t>Teisės aktai, kuriais privalo vadovautis ir Paslaugų teikėjas teikdamas paslaugas</w:t>
      </w:r>
    </w:p>
    <w:p w14:paraId="2F80BA91" w14:textId="77777777" w:rsidR="00166595" w:rsidRPr="00203BC3" w:rsidRDefault="00166595" w:rsidP="00166595">
      <w:pPr>
        <w:tabs>
          <w:tab w:val="left" w:pos="851"/>
        </w:tabs>
        <w:spacing w:after="0" w:line="264" w:lineRule="auto"/>
        <w:rPr>
          <w:rFonts w:asciiTheme="majorHAnsi" w:hAnsiTheme="majorHAnsi" w:cstheme="majorHAnsi"/>
          <w:b/>
          <w:sz w:val="22"/>
        </w:rPr>
      </w:pPr>
      <w:r w:rsidRPr="00203BC3">
        <w:rPr>
          <w:rFonts w:asciiTheme="majorHAnsi" w:hAnsiTheme="majorHAnsi" w:cstheme="majorHAnsi"/>
          <w:b/>
          <w:sz w:val="22"/>
        </w:rPr>
        <w:t xml:space="preserve"> </w:t>
      </w:r>
    </w:p>
    <w:p w14:paraId="78821F3E" w14:textId="77777777" w:rsidR="00166595" w:rsidRPr="00203BC3" w:rsidRDefault="00166595" w:rsidP="00166595">
      <w:pPr>
        <w:pStyle w:val="Sraopastraipa"/>
        <w:numPr>
          <w:ilvl w:val="1"/>
          <w:numId w:val="1"/>
        </w:numPr>
        <w:tabs>
          <w:tab w:val="left" w:pos="993"/>
        </w:tabs>
        <w:autoSpaceDN/>
        <w:spacing w:after="0" w:line="264" w:lineRule="auto"/>
        <w:ind w:left="142" w:firstLine="567"/>
        <w:contextualSpacing w:val="0"/>
        <w:jc w:val="both"/>
        <w:textAlignment w:val="auto"/>
        <w:rPr>
          <w:rFonts w:asciiTheme="majorHAnsi" w:hAnsiTheme="majorHAnsi" w:cstheme="majorHAnsi"/>
          <w:bCs/>
        </w:rPr>
      </w:pPr>
      <w:r w:rsidRPr="00203BC3">
        <w:rPr>
          <w:rFonts w:asciiTheme="majorHAnsi" w:hAnsiTheme="majorHAnsi" w:cstheme="majorHAnsi"/>
          <w:bCs/>
        </w:rPr>
        <w:t>2016 m. balandžio 27 d. Europos Parlamento ir Tarybos reglamentu (ES) 2016/679 dėl fizinių asmenų apsaugos tvarkant asmens duomenis ir dėl laisvo tokių duomenų judėjimo ir kuriuo panaikinama Direktyva 95/46/EB (Bendrasis duomenų apsaugos reglamentas);</w:t>
      </w:r>
    </w:p>
    <w:p w14:paraId="32F5942C" w14:textId="77777777" w:rsidR="00166595" w:rsidRPr="00203BC3" w:rsidRDefault="00166595" w:rsidP="00166595">
      <w:pPr>
        <w:pStyle w:val="Sraopastraipa"/>
        <w:numPr>
          <w:ilvl w:val="1"/>
          <w:numId w:val="1"/>
        </w:numPr>
        <w:tabs>
          <w:tab w:val="left" w:pos="993"/>
        </w:tabs>
        <w:autoSpaceDN/>
        <w:spacing w:after="0" w:line="264" w:lineRule="auto"/>
        <w:ind w:left="142" w:firstLine="567"/>
        <w:contextualSpacing w:val="0"/>
        <w:jc w:val="both"/>
        <w:textAlignment w:val="auto"/>
        <w:rPr>
          <w:rFonts w:asciiTheme="majorHAnsi" w:hAnsiTheme="majorHAnsi" w:cstheme="majorHAnsi"/>
          <w:bCs/>
        </w:rPr>
      </w:pPr>
      <w:r w:rsidRPr="00203BC3">
        <w:rPr>
          <w:rFonts w:asciiTheme="majorHAnsi" w:eastAsia="Times New Roman" w:hAnsiTheme="majorHAnsi" w:cstheme="majorHAnsi"/>
        </w:rPr>
        <w:t>Lietuvos Respublikos asmens duomenų teisinės apsaugos įstatymu;</w:t>
      </w:r>
    </w:p>
    <w:p w14:paraId="12421F33" w14:textId="77777777" w:rsidR="00166595" w:rsidRPr="00203BC3" w:rsidRDefault="00166595" w:rsidP="00166595">
      <w:pPr>
        <w:pStyle w:val="Sraopastraipa"/>
        <w:numPr>
          <w:ilvl w:val="1"/>
          <w:numId w:val="1"/>
        </w:numPr>
        <w:tabs>
          <w:tab w:val="left" w:pos="993"/>
        </w:tabs>
        <w:autoSpaceDN/>
        <w:spacing w:after="0" w:line="264" w:lineRule="auto"/>
        <w:ind w:left="142" w:firstLine="567"/>
        <w:contextualSpacing w:val="0"/>
        <w:jc w:val="both"/>
        <w:textAlignment w:val="auto"/>
        <w:rPr>
          <w:rFonts w:asciiTheme="majorHAnsi" w:hAnsiTheme="majorHAnsi" w:cstheme="majorHAnsi"/>
          <w:bCs/>
        </w:rPr>
      </w:pPr>
      <w:r w:rsidRPr="00203BC3">
        <w:rPr>
          <w:rFonts w:asciiTheme="majorHAnsi" w:hAnsiTheme="majorHAnsi" w:cstheme="majorHAnsi"/>
          <w:bCs/>
        </w:rPr>
        <w:t>Lietuvos Respublikos kibernetinio saugumo įstatymu;</w:t>
      </w:r>
    </w:p>
    <w:p w14:paraId="0DB39862" w14:textId="77777777" w:rsidR="00166595" w:rsidRPr="00203BC3" w:rsidRDefault="00166595" w:rsidP="00166595">
      <w:pPr>
        <w:pStyle w:val="Sraopastraipa"/>
        <w:numPr>
          <w:ilvl w:val="1"/>
          <w:numId w:val="1"/>
        </w:numPr>
        <w:tabs>
          <w:tab w:val="left" w:pos="993"/>
        </w:tabs>
        <w:autoSpaceDN/>
        <w:spacing w:after="0" w:line="264" w:lineRule="auto"/>
        <w:ind w:left="142" w:firstLine="567"/>
        <w:contextualSpacing w:val="0"/>
        <w:jc w:val="both"/>
        <w:textAlignment w:val="auto"/>
        <w:rPr>
          <w:rFonts w:asciiTheme="majorHAnsi" w:hAnsiTheme="majorHAnsi" w:cstheme="majorHAnsi"/>
          <w:bCs/>
        </w:rPr>
      </w:pPr>
      <w:r w:rsidRPr="00203BC3">
        <w:rPr>
          <w:rFonts w:asciiTheme="majorHAnsi" w:hAnsiTheme="majorHAnsi" w:cstheme="majorHAnsi"/>
          <w:bCs/>
        </w:rPr>
        <w:t>Lietuvos Respublikos valstybės informacinių išteklių valdymo įstatymu;</w:t>
      </w:r>
    </w:p>
    <w:p w14:paraId="3DE9AB90" w14:textId="77777777" w:rsidR="00166595" w:rsidRPr="00203BC3" w:rsidRDefault="00166595" w:rsidP="00166595">
      <w:pPr>
        <w:pStyle w:val="Sraopastraipa"/>
        <w:numPr>
          <w:ilvl w:val="1"/>
          <w:numId w:val="1"/>
        </w:numPr>
        <w:tabs>
          <w:tab w:val="left" w:pos="993"/>
        </w:tabs>
        <w:autoSpaceDN/>
        <w:spacing w:after="0" w:line="264" w:lineRule="auto"/>
        <w:ind w:left="142" w:firstLine="567"/>
        <w:contextualSpacing w:val="0"/>
        <w:jc w:val="both"/>
        <w:textAlignment w:val="auto"/>
        <w:rPr>
          <w:rFonts w:asciiTheme="majorHAnsi" w:hAnsiTheme="majorHAnsi" w:cstheme="majorHAnsi"/>
          <w:bCs/>
        </w:rPr>
      </w:pPr>
      <w:r w:rsidRPr="00203BC3">
        <w:rPr>
          <w:rFonts w:asciiTheme="majorHAnsi" w:eastAsia="Times New Roman" w:hAnsiTheme="majorHAnsi" w:cstheme="majorHAnsi"/>
        </w:rPr>
        <w:t>Lietuvos Respublikos Vyriausybės 2024 m. gegužės 15 d. nutarimu Nr. 349 „Dėl Lietuvos Respublikos valstybės informacinių išteklių valdymo įstatymo įgyvendinimo“;</w:t>
      </w:r>
    </w:p>
    <w:p w14:paraId="4867837C" w14:textId="77777777" w:rsidR="00166595" w:rsidRPr="00203BC3" w:rsidRDefault="00166595" w:rsidP="00166595">
      <w:pPr>
        <w:pStyle w:val="Sraopastraipa"/>
        <w:numPr>
          <w:ilvl w:val="1"/>
          <w:numId w:val="1"/>
        </w:numPr>
        <w:tabs>
          <w:tab w:val="left" w:pos="993"/>
        </w:tabs>
        <w:autoSpaceDN/>
        <w:spacing w:after="0" w:line="264" w:lineRule="auto"/>
        <w:ind w:left="142" w:firstLine="567"/>
        <w:contextualSpacing w:val="0"/>
        <w:jc w:val="both"/>
        <w:textAlignment w:val="auto"/>
        <w:rPr>
          <w:rFonts w:asciiTheme="majorHAnsi" w:hAnsiTheme="majorHAnsi" w:cstheme="majorHAnsi"/>
          <w:bCs/>
        </w:rPr>
      </w:pPr>
      <w:r w:rsidRPr="00203BC3">
        <w:rPr>
          <w:rFonts w:asciiTheme="majorHAnsi" w:eastAsia="Times New Roman" w:hAnsiTheme="majorHAnsi" w:cstheme="majorHAnsi"/>
          <w:lang w:eastAsia="lt-LT"/>
        </w:rPr>
        <w:t xml:space="preserve">Kibernetinio saugumo reikalavimų aprašu, patvirtintu </w:t>
      </w:r>
      <w:r w:rsidRPr="00203BC3">
        <w:rPr>
          <w:rFonts w:asciiTheme="majorHAnsi" w:eastAsia="Times New Roman" w:hAnsiTheme="majorHAnsi" w:cstheme="majorHAnsi"/>
        </w:rPr>
        <w:t>Lietuvos Respublikos Vyriausybės 2018 m. rugpjūčio 13 d. nutarimu Nr. 818 „Dėl Lietuvos Respublikos kibernetinio saugumo įstatymo įgyvendinimo“ (toliau – Aprašas);</w:t>
      </w:r>
    </w:p>
    <w:p w14:paraId="462C1386" w14:textId="77777777" w:rsidR="00166595" w:rsidRPr="00203BC3" w:rsidRDefault="00166595" w:rsidP="00166595">
      <w:pPr>
        <w:pStyle w:val="Sraopastraipa"/>
        <w:numPr>
          <w:ilvl w:val="1"/>
          <w:numId w:val="1"/>
        </w:numPr>
        <w:tabs>
          <w:tab w:val="left" w:pos="993"/>
        </w:tabs>
        <w:autoSpaceDN/>
        <w:spacing w:after="0" w:line="264" w:lineRule="auto"/>
        <w:ind w:left="142" w:firstLine="567"/>
        <w:contextualSpacing w:val="0"/>
        <w:jc w:val="both"/>
        <w:textAlignment w:val="auto"/>
        <w:rPr>
          <w:rFonts w:asciiTheme="majorHAnsi" w:hAnsiTheme="majorHAnsi" w:cstheme="majorHAnsi"/>
          <w:bCs/>
        </w:rPr>
      </w:pPr>
      <w:r w:rsidRPr="00203BC3">
        <w:rPr>
          <w:rFonts w:asciiTheme="majorHAnsi" w:eastAsia="Times New Roman" w:hAnsiTheme="majorHAnsi" w:cstheme="majorHAnsi"/>
        </w:rPr>
        <w:t>Lietuvos Respublikos vidaus reikalų ministro 2017 m. gruodžio 22 d. įsakymu Nr. 1V-883 „Dėl Kai kurių Lietuvos Respublikos vidaus reikalų ministerijos valdomų registrų ir valstybės informacinių sistemų duomenų saugos nuostatų patvirtinimo“;</w:t>
      </w:r>
    </w:p>
    <w:p w14:paraId="23F5CF9A" w14:textId="77777777" w:rsidR="00166595" w:rsidRPr="00203BC3" w:rsidRDefault="00166595" w:rsidP="00166595">
      <w:pPr>
        <w:pStyle w:val="Sraopastraipa"/>
        <w:numPr>
          <w:ilvl w:val="1"/>
          <w:numId w:val="1"/>
        </w:numPr>
        <w:tabs>
          <w:tab w:val="left" w:pos="993"/>
        </w:tabs>
        <w:suppressAutoHyphens w:val="0"/>
        <w:autoSpaceDN/>
        <w:spacing w:after="160" w:line="264" w:lineRule="auto"/>
        <w:ind w:left="142" w:firstLine="567"/>
        <w:jc w:val="both"/>
        <w:textAlignment w:val="auto"/>
        <w:rPr>
          <w:rFonts w:asciiTheme="majorHAnsi" w:hAnsiTheme="majorHAnsi" w:cstheme="majorHAnsi"/>
          <w:bCs/>
        </w:rPr>
      </w:pPr>
      <w:r w:rsidRPr="00203BC3">
        <w:rPr>
          <w:rFonts w:asciiTheme="majorHAnsi" w:hAnsiTheme="majorHAnsi" w:cstheme="majorHAnsi"/>
          <w:bCs/>
        </w:rPr>
        <w:t xml:space="preserve">1990 m. birželio 19 d. Konvencija dėl Šengeno susitarimo, 1985 m. birželio 14 d. sudaryto tarp Beniliukso ekonominės sąjungos valstybių, Vokietijos Federacinės Respublikos ir Prancūzijos Respublikos Vyriausybių, dėl laipsniško jų bendrų sienų kontrolės panaikinimo įgyvendinimo (OL 2004 m. specialusis leidimas, 19 skyrius, 2 tomas, p. 9) su paskutiniais pakeitimais, padarytais 2005 m. liepos 6 d. Europos Parlamento ir Tarybos reglamentu (EB) Nr. 1160/2005 (OL 2005 L 191, p. 18), ir 2006 m. kovo 15 d. Europos Parlamento ir Tarybos reglamentą </w:t>
      </w:r>
      <w:r w:rsidRPr="00203BC3">
        <w:rPr>
          <w:rFonts w:asciiTheme="majorHAnsi" w:hAnsiTheme="majorHAnsi" w:cstheme="majorHAnsi"/>
          <w:bCs/>
        </w:rPr>
        <w:lastRenderedPageBreak/>
        <w:t>(EB) Nr. 562/2006, nustatantį taisyklių, reguliuojančių asmenų judėjimą per sienas, Bendrijos kodeksą (Šengeno sienų kodeksas) (OL 2006 L 105, p. 1);</w:t>
      </w:r>
    </w:p>
    <w:p w14:paraId="282A0B35" w14:textId="77777777" w:rsidR="00166595" w:rsidRPr="00203BC3" w:rsidRDefault="00166595" w:rsidP="00166595">
      <w:pPr>
        <w:pStyle w:val="Sraopastraipa"/>
        <w:numPr>
          <w:ilvl w:val="1"/>
          <w:numId w:val="1"/>
        </w:numPr>
        <w:tabs>
          <w:tab w:val="left" w:pos="993"/>
        </w:tabs>
        <w:suppressAutoHyphens w:val="0"/>
        <w:autoSpaceDN/>
        <w:spacing w:after="160" w:line="264" w:lineRule="auto"/>
        <w:ind w:left="142" w:firstLine="567"/>
        <w:jc w:val="both"/>
        <w:textAlignment w:val="auto"/>
        <w:rPr>
          <w:rFonts w:asciiTheme="majorHAnsi" w:hAnsiTheme="majorHAnsi" w:cstheme="majorHAnsi"/>
          <w:bCs/>
        </w:rPr>
      </w:pPr>
      <w:r w:rsidRPr="00203BC3">
        <w:rPr>
          <w:rFonts w:asciiTheme="majorHAnsi" w:hAnsiTheme="majorHAnsi" w:cstheme="majorHAnsi"/>
          <w:bCs/>
        </w:rPr>
        <w:t>Lietuvos Respublikos vidaus reikalų ministro 2018 m. gegužės 29 d. įsakymas Nr. 1V-388 „Dėl Lietuvos Respublikos vidaus reikalų ministro 2007 m. rugsėjo 17 d. įsakymo Nr. 1V-324 „Dėl Lietuvos nacionalinės Šengeno informacinės sistemos nuostatų patvirtinimo“ pakeitimo“;</w:t>
      </w:r>
    </w:p>
    <w:p w14:paraId="6FFCB5EF" w14:textId="77777777" w:rsidR="00166595" w:rsidRPr="00203BC3" w:rsidRDefault="00166595" w:rsidP="00166595">
      <w:pPr>
        <w:pStyle w:val="Sraopastraipa"/>
        <w:numPr>
          <w:ilvl w:val="1"/>
          <w:numId w:val="1"/>
        </w:numPr>
        <w:tabs>
          <w:tab w:val="left" w:pos="993"/>
        </w:tabs>
        <w:autoSpaceDN/>
        <w:spacing w:after="0" w:line="264" w:lineRule="auto"/>
        <w:ind w:left="142" w:firstLine="567"/>
        <w:jc w:val="both"/>
        <w:textAlignment w:val="auto"/>
        <w:rPr>
          <w:rFonts w:asciiTheme="majorHAnsi" w:hAnsiTheme="majorHAnsi" w:cstheme="majorHAnsi"/>
          <w:bCs/>
        </w:rPr>
      </w:pPr>
      <w:r w:rsidRPr="00203BC3">
        <w:rPr>
          <w:rFonts w:asciiTheme="majorHAnsi" w:hAnsiTheme="majorHAnsi" w:cstheme="majorHAnsi"/>
          <w:bCs/>
        </w:rPr>
        <w:t>2018 m. lapkričio 28 d. Europos Parlamento ir Tarybos reglamentas (ES) 2018/1860 dėl Šengeno informacinės sistemos naudojimo neteisėtai esančių trečiųjų šalių piliečių grąžinimui (toliau – Reglamentas 2018/1860);</w:t>
      </w:r>
    </w:p>
    <w:p w14:paraId="4CDC8F2E" w14:textId="77777777" w:rsidR="00166595" w:rsidRPr="00203BC3" w:rsidRDefault="00166595" w:rsidP="00166595">
      <w:pPr>
        <w:pStyle w:val="Sraopastraipa"/>
        <w:numPr>
          <w:ilvl w:val="1"/>
          <w:numId w:val="1"/>
        </w:numPr>
        <w:tabs>
          <w:tab w:val="left" w:pos="993"/>
        </w:tabs>
        <w:autoSpaceDN/>
        <w:spacing w:after="0" w:line="264" w:lineRule="auto"/>
        <w:ind w:left="142" w:firstLine="567"/>
        <w:jc w:val="both"/>
        <w:textAlignment w:val="auto"/>
        <w:rPr>
          <w:rFonts w:asciiTheme="majorHAnsi" w:hAnsiTheme="majorHAnsi" w:cstheme="majorHAnsi"/>
          <w:bCs/>
        </w:rPr>
      </w:pPr>
      <w:r w:rsidRPr="00203BC3">
        <w:rPr>
          <w:rFonts w:asciiTheme="majorHAnsi" w:hAnsiTheme="majorHAnsi" w:cstheme="majorHAnsi"/>
          <w:bCs/>
        </w:rPr>
        <w:t>2018 m. lapkričio 28 d. Europos Parlamento ir Tarybos reglamentas (ES) 2018/1861 dėl Šengeno informacinės sistemos (SIS) sukūrimo, eksploatavimo ir naudojimo patikrinimams kertant sieną, kuriuo iš dalies keičiama Konvencija dėl Šengeno susitarimo įgyvendinimo ir iš dalies keičiamas bei panaikinamas Reglamentas (EB) Nr. 1987/2006 (toliau – Reglamentas 2018/1861);</w:t>
      </w:r>
    </w:p>
    <w:p w14:paraId="446DAD34" w14:textId="77777777" w:rsidR="00166595" w:rsidRPr="00203BC3" w:rsidRDefault="00166595" w:rsidP="00166595">
      <w:pPr>
        <w:pStyle w:val="Sraopastraipa"/>
        <w:numPr>
          <w:ilvl w:val="1"/>
          <w:numId w:val="1"/>
        </w:numPr>
        <w:tabs>
          <w:tab w:val="left" w:pos="993"/>
        </w:tabs>
        <w:autoSpaceDN/>
        <w:spacing w:after="0" w:line="264" w:lineRule="auto"/>
        <w:ind w:left="142" w:firstLine="567"/>
        <w:contextualSpacing w:val="0"/>
        <w:jc w:val="both"/>
        <w:textAlignment w:val="auto"/>
        <w:rPr>
          <w:rFonts w:asciiTheme="majorHAnsi" w:hAnsiTheme="majorHAnsi" w:cstheme="majorHAnsi"/>
          <w:bCs/>
        </w:rPr>
      </w:pPr>
      <w:r w:rsidRPr="00203BC3">
        <w:rPr>
          <w:rFonts w:asciiTheme="majorHAnsi" w:hAnsiTheme="majorHAnsi" w:cstheme="majorHAnsi"/>
          <w:bCs/>
        </w:rPr>
        <w:t>2018 m. lapkričio 28 d. Europos Parlamento ir Tarybos reglamentas (ES) 2018/1862 dėl Šengeno informacinės sistemos (SIS) sukūrimo, eksploatavimo ir naudojimo policijos bendradarbiavimui ir teisminiam bendradarbiavimui baudžiamosiose bylose, kuriuo iš dalies keičiamas ir panaikinamas Tarybos sprendimas 2007/533/TVR ir panaikinamas Europos Parlamento ir Tarybos reglamentas (EB) Nr. 1986/2006 ir Komisijos sprendimas 2010/261/ES (toliau – Reglamentas 2018/1862);</w:t>
      </w:r>
    </w:p>
    <w:p w14:paraId="3E9A8765" w14:textId="77777777" w:rsidR="00166595" w:rsidRPr="00203BC3" w:rsidRDefault="00166595" w:rsidP="00166595">
      <w:pPr>
        <w:pStyle w:val="Sraopastraipa"/>
        <w:numPr>
          <w:ilvl w:val="1"/>
          <w:numId w:val="1"/>
        </w:numPr>
        <w:tabs>
          <w:tab w:val="left" w:pos="993"/>
        </w:tabs>
        <w:autoSpaceDN/>
        <w:spacing w:after="0" w:line="264" w:lineRule="auto"/>
        <w:ind w:left="142" w:firstLine="567"/>
        <w:contextualSpacing w:val="0"/>
        <w:jc w:val="both"/>
        <w:textAlignment w:val="auto"/>
        <w:rPr>
          <w:rFonts w:asciiTheme="majorHAnsi" w:hAnsiTheme="majorHAnsi" w:cstheme="majorHAnsi"/>
          <w:bCs/>
        </w:rPr>
      </w:pPr>
      <w:r w:rsidRPr="00203BC3">
        <w:rPr>
          <w:rFonts w:asciiTheme="majorHAnsi" w:hAnsiTheme="majorHAnsi" w:cstheme="majorHAnsi"/>
          <w:bCs/>
        </w:rPr>
        <w:t>2018 m. rugsėjo 12 d. Europos Parlamento ir Tarybos reglamentas (ES) 2018/1240, kuriuo sukuriama Europos kelionių informacijos ir leidimų sistema (ETIAS) ir iš dalies keičiami reglamentai (ES) Nr. 1077/2011, (ES) Nr. 515/2014, (ES) 2016/399, (ES) 2016/1624 ir (ES) 2017/2226 (OL L 236, 2018 9 19, p. 1);</w:t>
      </w:r>
    </w:p>
    <w:p w14:paraId="49490FEC" w14:textId="77777777" w:rsidR="00166595" w:rsidRPr="00203BC3" w:rsidRDefault="00166595" w:rsidP="00166595">
      <w:pPr>
        <w:pStyle w:val="Sraopastraipa"/>
        <w:numPr>
          <w:ilvl w:val="1"/>
          <w:numId w:val="1"/>
        </w:numPr>
        <w:tabs>
          <w:tab w:val="left" w:pos="993"/>
        </w:tabs>
        <w:autoSpaceDN/>
        <w:spacing w:after="0" w:line="264" w:lineRule="auto"/>
        <w:ind w:left="142" w:firstLine="567"/>
        <w:contextualSpacing w:val="0"/>
        <w:jc w:val="both"/>
        <w:textAlignment w:val="auto"/>
        <w:rPr>
          <w:rFonts w:asciiTheme="majorHAnsi" w:hAnsiTheme="majorHAnsi" w:cstheme="majorHAnsi"/>
          <w:bCs/>
        </w:rPr>
      </w:pPr>
      <w:r w:rsidRPr="00203BC3">
        <w:rPr>
          <w:rFonts w:asciiTheme="majorHAnsi" w:hAnsiTheme="majorHAnsi" w:cstheme="majorHAnsi"/>
          <w:bCs/>
        </w:rPr>
        <w:t>2021 m. lapkričio 18 d. Komisijos įgyvendinimo sprendimas, kuriuo nustatomos išsamios SIRENE biurų užduočių vykdymo ir keitimosi papildoma su perspėjimais Šengeno informacinėje sistemoje susijusia informacija patikrinimų kertant sieną ir grąžinimo srityje taisyklės (SIRENE vadovas.  Sienos ir grąžinimas);</w:t>
      </w:r>
    </w:p>
    <w:p w14:paraId="12F4AF99" w14:textId="77777777" w:rsidR="00166595" w:rsidRPr="00203BC3" w:rsidRDefault="00166595" w:rsidP="00166595">
      <w:pPr>
        <w:pStyle w:val="Sraopastraipa"/>
        <w:numPr>
          <w:ilvl w:val="1"/>
          <w:numId w:val="1"/>
        </w:numPr>
        <w:tabs>
          <w:tab w:val="left" w:pos="993"/>
        </w:tabs>
        <w:autoSpaceDN/>
        <w:spacing w:after="0" w:line="264" w:lineRule="auto"/>
        <w:ind w:left="142" w:firstLine="567"/>
        <w:contextualSpacing w:val="0"/>
        <w:jc w:val="both"/>
        <w:textAlignment w:val="auto"/>
        <w:rPr>
          <w:rFonts w:asciiTheme="majorHAnsi" w:hAnsiTheme="majorHAnsi" w:cstheme="majorHAnsi"/>
          <w:bCs/>
        </w:rPr>
      </w:pPr>
      <w:r w:rsidRPr="00203BC3">
        <w:rPr>
          <w:rFonts w:asciiTheme="majorHAnsi" w:hAnsiTheme="majorHAnsi" w:cstheme="majorHAnsi"/>
          <w:bCs/>
        </w:rPr>
        <w:t xml:space="preserve">2021 m. lapkričio 18 d. Komisijos įgyvendinimo sprendimas kuriuo nustatomos išsamios SIRENE biurų užduočių vykdymo ir keitimosi papildoma su perspėjimais Šengeno informacinėje sistemoje susijusia informacija policijos bendradarbiavimo ir teisminio bendradarbiavimo baudžiamosiose bylose srityje taisyklės (SIRENE vadovas. Policija) </w:t>
      </w:r>
    </w:p>
    <w:p w14:paraId="50013269" w14:textId="77777777" w:rsidR="00166595" w:rsidRPr="00203BC3" w:rsidRDefault="00166595" w:rsidP="00166595">
      <w:pPr>
        <w:tabs>
          <w:tab w:val="left" w:pos="993"/>
          <w:tab w:val="left" w:pos="1276"/>
        </w:tabs>
        <w:spacing w:after="0" w:line="264" w:lineRule="auto"/>
        <w:jc w:val="center"/>
        <w:rPr>
          <w:rFonts w:asciiTheme="majorHAnsi" w:eastAsia="Times New Roman" w:hAnsiTheme="majorHAnsi" w:cstheme="majorHAnsi"/>
          <w:b/>
          <w:bCs/>
          <w:sz w:val="22"/>
        </w:rPr>
      </w:pPr>
      <w:r w:rsidRPr="00203BC3">
        <w:rPr>
          <w:rFonts w:asciiTheme="majorHAnsi" w:eastAsia="Times New Roman" w:hAnsiTheme="majorHAnsi" w:cstheme="majorHAnsi"/>
          <w:b/>
          <w:bCs/>
          <w:sz w:val="22"/>
        </w:rPr>
        <w:t>Kiti reikalavimai</w:t>
      </w:r>
    </w:p>
    <w:p w14:paraId="58F7B7F7" w14:textId="77777777" w:rsidR="00166595" w:rsidRPr="00203BC3" w:rsidRDefault="00166595" w:rsidP="00166595">
      <w:pPr>
        <w:tabs>
          <w:tab w:val="left" w:pos="993"/>
          <w:tab w:val="left" w:pos="1276"/>
        </w:tabs>
        <w:spacing w:after="0" w:line="264" w:lineRule="auto"/>
        <w:jc w:val="center"/>
        <w:rPr>
          <w:rFonts w:asciiTheme="majorHAnsi" w:eastAsia="Times New Roman" w:hAnsiTheme="majorHAnsi" w:cstheme="majorHAnsi"/>
          <w:b/>
          <w:bCs/>
          <w:sz w:val="22"/>
        </w:rPr>
      </w:pPr>
    </w:p>
    <w:p w14:paraId="3259660F" w14:textId="77777777" w:rsidR="00166595" w:rsidRPr="00203BC3" w:rsidRDefault="00166595" w:rsidP="00166595">
      <w:pPr>
        <w:pStyle w:val="Sraopastraipa"/>
        <w:numPr>
          <w:ilvl w:val="1"/>
          <w:numId w:val="1"/>
        </w:numPr>
        <w:tabs>
          <w:tab w:val="left" w:pos="993"/>
        </w:tabs>
        <w:autoSpaceDN/>
        <w:spacing w:after="0" w:line="264" w:lineRule="auto"/>
        <w:ind w:left="142" w:firstLine="709"/>
        <w:contextualSpacing w:val="0"/>
        <w:jc w:val="both"/>
        <w:textAlignment w:val="auto"/>
        <w:rPr>
          <w:rFonts w:asciiTheme="majorHAnsi" w:hAnsiTheme="majorHAnsi" w:cstheme="majorHAnsi"/>
          <w:bCs/>
        </w:rPr>
      </w:pPr>
      <w:r w:rsidRPr="00203BC3">
        <w:rPr>
          <w:rFonts w:asciiTheme="majorHAnsi" w:hAnsiTheme="majorHAnsi" w:cstheme="majorHAnsi"/>
        </w:rPr>
        <w:t xml:space="preserve"> Paslaugų teikėjas privalo atlikti šiuos veiksmus ir pranešti apie kibernetinį incidentą, įvykusį jo tinklų ir informacinių sistemų infrastruktūroje, Perkančiajai organizacijai šiais terminais ir nurodyti tokią informaciją:</w:t>
      </w:r>
    </w:p>
    <w:p w14:paraId="2AAD136F" w14:textId="77777777" w:rsidR="00166595" w:rsidRPr="00203BC3" w:rsidRDefault="00166595" w:rsidP="00166595">
      <w:pPr>
        <w:pStyle w:val="Sraopastraipa"/>
        <w:numPr>
          <w:ilvl w:val="2"/>
          <w:numId w:val="1"/>
        </w:numPr>
        <w:tabs>
          <w:tab w:val="left" w:pos="993"/>
        </w:tabs>
        <w:suppressAutoHyphens w:val="0"/>
        <w:autoSpaceDN/>
        <w:spacing w:after="0" w:line="264" w:lineRule="auto"/>
        <w:ind w:left="142" w:firstLine="709"/>
        <w:jc w:val="both"/>
        <w:textAlignment w:val="auto"/>
        <w:rPr>
          <w:rFonts w:asciiTheme="majorHAnsi" w:hAnsiTheme="majorHAnsi" w:cstheme="majorHAnsi"/>
        </w:rPr>
      </w:pPr>
      <w:r w:rsidRPr="00203BC3">
        <w:rPr>
          <w:rFonts w:asciiTheme="majorHAnsi" w:hAnsiTheme="majorHAnsi" w:cstheme="majorHAnsi"/>
        </w:rPr>
        <w:t>nedelsiant, bet ne vėliau kaip per 24 valandas nuo sužinojimo apie didelį kibernetinį incidentą momento – pateikti ankstyvąjį perspėjimą, kuriame pagal galimybes nurodoma, ar didelį kibernetinį incidentą, kaip įtariama, sukėlė neteisėti ar piktavališki veiksmai ir ar jis galėtų daryti tarpvalstybinį poveikį;</w:t>
      </w:r>
    </w:p>
    <w:p w14:paraId="4CCF55D3" w14:textId="77777777" w:rsidR="00166595" w:rsidRPr="000B3896" w:rsidRDefault="00166595" w:rsidP="00166595">
      <w:pPr>
        <w:pStyle w:val="Sraopastraipa"/>
        <w:numPr>
          <w:ilvl w:val="2"/>
          <w:numId w:val="1"/>
        </w:numPr>
        <w:tabs>
          <w:tab w:val="left" w:pos="993"/>
        </w:tabs>
        <w:suppressAutoHyphens w:val="0"/>
        <w:autoSpaceDN/>
        <w:spacing w:after="0" w:line="264" w:lineRule="auto"/>
        <w:ind w:left="142" w:firstLine="709"/>
        <w:jc w:val="both"/>
        <w:textAlignment w:val="auto"/>
        <w:rPr>
          <w:rFonts w:asciiTheme="majorHAnsi" w:hAnsiTheme="majorHAnsi" w:cstheme="majorHAnsi"/>
        </w:rPr>
      </w:pPr>
      <w:r w:rsidRPr="00203BC3">
        <w:rPr>
          <w:rFonts w:asciiTheme="majorHAnsi" w:hAnsiTheme="majorHAnsi" w:cstheme="majorHAnsi"/>
        </w:rPr>
        <w:t xml:space="preserve">Nedelsiant, bet ne vėliau kaip per 72 valandas nuo sužinojimo apie kitą kibernetinį incidentą momento – pateikti ankstyvąjį perspėjimą apie kitą kibernetinį incidentą, kuriame pagal galimybes nurodoma ar kibernetinį incidentą, kaip įtariama, sukėlė neteisėti ar piktavališki veiksmai ir ar jis galėtų daryti poveikį perkančiosios organizacijos tinklams ir </w:t>
      </w:r>
      <w:r w:rsidRPr="000B3896">
        <w:rPr>
          <w:rFonts w:asciiTheme="majorHAnsi" w:hAnsiTheme="majorHAnsi" w:cstheme="majorHAnsi"/>
        </w:rPr>
        <w:t xml:space="preserve">informacinėms sistemoms; </w:t>
      </w:r>
    </w:p>
    <w:p w14:paraId="491C6AF3" w14:textId="77777777" w:rsidR="00166595" w:rsidRPr="00203BC3" w:rsidRDefault="00166595" w:rsidP="00166595">
      <w:pPr>
        <w:pStyle w:val="Sraopastraipa"/>
        <w:numPr>
          <w:ilvl w:val="2"/>
          <w:numId w:val="1"/>
        </w:numPr>
        <w:tabs>
          <w:tab w:val="left" w:pos="993"/>
        </w:tabs>
        <w:suppressAutoHyphens w:val="0"/>
        <w:autoSpaceDN/>
        <w:spacing w:after="0" w:line="264" w:lineRule="auto"/>
        <w:ind w:left="142" w:firstLine="709"/>
        <w:jc w:val="both"/>
        <w:textAlignment w:val="auto"/>
        <w:rPr>
          <w:rFonts w:asciiTheme="majorHAnsi" w:hAnsiTheme="majorHAnsi" w:cstheme="majorHAnsi"/>
        </w:rPr>
      </w:pPr>
      <w:r w:rsidRPr="000B3896">
        <w:rPr>
          <w:rFonts w:asciiTheme="majorHAnsi" w:hAnsiTheme="majorHAnsi" w:cstheme="majorHAnsi"/>
        </w:rPr>
        <w:lastRenderedPageBreak/>
        <w:t>ne vėliau kaip per vieną mėnesį nuo 1.36.1  ar 1.36.2</w:t>
      </w:r>
      <w:r w:rsidRPr="00203BC3">
        <w:rPr>
          <w:rFonts w:asciiTheme="majorHAnsi" w:hAnsiTheme="majorHAnsi" w:cstheme="majorHAnsi"/>
        </w:rPr>
        <w:t xml:space="preserve"> papunktyje nurodyto pranešimo apie kibernetinį incidentą pateikimo dienos – pateikti galutinę ataskaitą, kurioje pateikiama informacija, nurodyta ši informacija pagal Kibernetinio saugumo įstatymo 18 straipsnio 4 dalies 4 punktą.</w:t>
      </w:r>
    </w:p>
    <w:p w14:paraId="623FCA50" w14:textId="77777777" w:rsidR="00166595" w:rsidRPr="00203BC3" w:rsidRDefault="00166595" w:rsidP="00166595">
      <w:pPr>
        <w:pStyle w:val="Sraopastraipa"/>
        <w:numPr>
          <w:ilvl w:val="1"/>
          <w:numId w:val="1"/>
        </w:numPr>
        <w:tabs>
          <w:tab w:val="left" w:pos="993"/>
        </w:tabs>
        <w:autoSpaceDN/>
        <w:spacing w:after="0" w:line="264" w:lineRule="auto"/>
        <w:ind w:left="142" w:firstLine="567"/>
        <w:contextualSpacing w:val="0"/>
        <w:jc w:val="both"/>
        <w:textAlignment w:val="auto"/>
        <w:rPr>
          <w:rFonts w:asciiTheme="majorHAnsi" w:hAnsiTheme="majorHAnsi" w:cstheme="majorHAnsi"/>
          <w:bCs/>
        </w:rPr>
      </w:pPr>
      <w:r w:rsidRPr="00203BC3">
        <w:rPr>
          <w:rFonts w:asciiTheme="majorHAnsi" w:hAnsiTheme="majorHAnsi" w:cstheme="majorHAnsi"/>
        </w:rPr>
        <w:t xml:space="preserve">Perkančioji organizacija arba jos įgalioti paslaugų teikėjai turi teisę atlikti Paslaugų teikėjo atitikties Aprašo reikalavimams auditą (įskaitant neplaninį), o ir Paslaugų tiekėjas turi pareigą sudaryti sąlygas tokiam auditui atlikti pirkimo sutarties vykdymo laikotarpiu ar įvykus dideliam incidentui. </w:t>
      </w:r>
    </w:p>
    <w:p w14:paraId="44413754" w14:textId="77777777" w:rsidR="00166595" w:rsidRPr="00203BC3" w:rsidRDefault="00166595" w:rsidP="00166595">
      <w:pPr>
        <w:pStyle w:val="Sraopastraipa"/>
        <w:numPr>
          <w:ilvl w:val="1"/>
          <w:numId w:val="1"/>
        </w:numPr>
        <w:tabs>
          <w:tab w:val="left" w:pos="993"/>
        </w:tabs>
        <w:autoSpaceDN/>
        <w:spacing w:after="0" w:line="264" w:lineRule="auto"/>
        <w:ind w:left="142" w:firstLine="567"/>
        <w:contextualSpacing w:val="0"/>
        <w:jc w:val="both"/>
        <w:textAlignment w:val="auto"/>
        <w:rPr>
          <w:rFonts w:asciiTheme="majorHAnsi" w:hAnsiTheme="majorHAnsi" w:cstheme="majorHAnsi"/>
          <w:bCs/>
        </w:rPr>
      </w:pPr>
      <w:r w:rsidRPr="00203BC3">
        <w:rPr>
          <w:rFonts w:asciiTheme="majorHAnsi" w:hAnsiTheme="majorHAnsi" w:cstheme="majorHAnsi"/>
        </w:rPr>
        <w:t xml:space="preserve"> Paslaugų teikėjas visą sutarties vykdymo laikotarpį privalo ne rečiau kaip kartą per metus, įvykus esminiams kibernetinio saugumo subjekto organizaciniams ar kitiems reikšmingiems pokyčiams, taip pat įvykus dideliam kibernetiniam incidentui atlikti savo valdomų tinklų ir informacinių sistemų rizikos vertinimą. Taip pat, reguliariai, ne rečiau kaip kartą per metus, įvertinti savo atitiktį Kibernetinio saugumo įstatymui, Aprašo ir tiekėjo patvirtintiems kibernetinio saugumo politikos dokumentuose nustatytiems reikalavimams. Paslaugų teikėjas įsipareigoja Perkančiajai organizacijai pareikalavus pateikti visą reikalingą informaciją, dokumentus, reikalingus įsitikinti, kad tiekėjas atlieka rizikos ir atitikties vertinimus.</w:t>
      </w:r>
    </w:p>
    <w:p w14:paraId="14F46A4F" w14:textId="77777777" w:rsidR="00166595" w:rsidRPr="00203BC3" w:rsidRDefault="00166595" w:rsidP="00166595">
      <w:pPr>
        <w:pStyle w:val="Sraopastraipa"/>
        <w:numPr>
          <w:ilvl w:val="1"/>
          <w:numId w:val="1"/>
        </w:numPr>
        <w:tabs>
          <w:tab w:val="left" w:pos="993"/>
        </w:tabs>
        <w:autoSpaceDN/>
        <w:spacing w:after="0" w:line="264" w:lineRule="auto"/>
        <w:ind w:left="142" w:firstLine="567"/>
        <w:contextualSpacing w:val="0"/>
        <w:jc w:val="both"/>
        <w:textAlignment w:val="auto"/>
        <w:rPr>
          <w:rFonts w:asciiTheme="majorHAnsi" w:hAnsiTheme="majorHAnsi" w:cstheme="majorHAnsi"/>
          <w:bCs/>
        </w:rPr>
      </w:pPr>
      <w:r w:rsidRPr="00203BC3">
        <w:rPr>
          <w:rFonts w:asciiTheme="majorHAnsi" w:hAnsiTheme="majorHAnsi" w:cstheme="majorHAnsi"/>
        </w:rPr>
        <w:t>Paslaugų teikėjas įsipareigoja užtikrinti jo tinklų ir informacinės sistemų spragų, keliančių riziką Perkančiosios organizacijos tinklams ir informacinėms sistemoms, valdymą.</w:t>
      </w:r>
    </w:p>
    <w:p w14:paraId="7F9F158A" w14:textId="77777777" w:rsidR="00166595" w:rsidRPr="00203BC3" w:rsidRDefault="00166595" w:rsidP="00166595">
      <w:pPr>
        <w:pStyle w:val="Sraopastraipa"/>
        <w:numPr>
          <w:ilvl w:val="1"/>
          <w:numId w:val="1"/>
        </w:numPr>
        <w:tabs>
          <w:tab w:val="left" w:pos="993"/>
        </w:tabs>
        <w:autoSpaceDN/>
        <w:spacing w:after="0" w:line="264" w:lineRule="auto"/>
        <w:ind w:left="142" w:firstLine="567"/>
        <w:contextualSpacing w:val="0"/>
        <w:jc w:val="both"/>
        <w:textAlignment w:val="auto"/>
        <w:rPr>
          <w:rFonts w:asciiTheme="majorHAnsi" w:hAnsiTheme="majorHAnsi" w:cstheme="majorHAnsi"/>
          <w:bCs/>
        </w:rPr>
      </w:pPr>
      <w:r w:rsidRPr="00203BC3">
        <w:rPr>
          <w:rFonts w:asciiTheme="majorHAnsi" w:hAnsiTheme="majorHAnsi" w:cstheme="majorHAnsi"/>
        </w:rPr>
        <w:t>Paslaugų teikėjas įsipareigoja užtikrinti, kad jo patalpos, įranga, tinklai ir informacinių sistemų priežiūra, informacijos perdavimas tinklais atitinka Aprašo reikalavimus.</w:t>
      </w:r>
    </w:p>
    <w:p w14:paraId="150A3BDB" w14:textId="77777777" w:rsidR="00166595" w:rsidRPr="00203BC3" w:rsidRDefault="00166595" w:rsidP="00166595">
      <w:pPr>
        <w:pStyle w:val="Sraopastraipa"/>
        <w:numPr>
          <w:ilvl w:val="1"/>
          <w:numId w:val="1"/>
        </w:numPr>
        <w:tabs>
          <w:tab w:val="left" w:pos="993"/>
        </w:tabs>
        <w:autoSpaceDN/>
        <w:spacing w:after="0" w:line="264" w:lineRule="auto"/>
        <w:ind w:left="142" w:firstLine="567"/>
        <w:contextualSpacing w:val="0"/>
        <w:jc w:val="both"/>
        <w:textAlignment w:val="auto"/>
        <w:rPr>
          <w:rFonts w:asciiTheme="majorHAnsi" w:hAnsiTheme="majorHAnsi" w:cstheme="majorHAnsi"/>
          <w:bCs/>
        </w:rPr>
      </w:pPr>
      <w:r w:rsidRPr="00203BC3">
        <w:rPr>
          <w:rFonts w:asciiTheme="majorHAnsi" w:hAnsiTheme="majorHAnsi" w:cstheme="majorHAnsi"/>
        </w:rPr>
        <w:t>Paslaugų teikėjui fizinė prieiga prie Perkančiosios organizacijos tinklų, kitos techninės infrastruktūros ir informacinių sistemų nėra suteikiama. Paslaugų teikėjui suteikiama loginė prieiga per Perkančiosios organizacijos saugų VPN sprendimą prie kūrimo ar testavimo aplinkų. Atskiru Perkančiosios organizacijos sprendimu (pvz. sprendžiant kritinius sutrikimus (klaidas), laikina loginė prieiga gali būti  suteikta prie darbinių aplinkų. Loginė prieiga suteikiama prie Perkančiosios organizacijos kontroliuojamo nuotolinio darbalaukio serverio, kuriame visi tiekėjo veiksmai yra fiksuojami.</w:t>
      </w:r>
    </w:p>
    <w:p w14:paraId="44A7099D" w14:textId="77777777" w:rsidR="00166595" w:rsidRPr="00203BC3" w:rsidRDefault="00166595" w:rsidP="00166595">
      <w:pPr>
        <w:pStyle w:val="Sraopastraipa"/>
        <w:numPr>
          <w:ilvl w:val="1"/>
          <w:numId w:val="1"/>
        </w:numPr>
        <w:tabs>
          <w:tab w:val="left" w:pos="993"/>
        </w:tabs>
        <w:autoSpaceDN/>
        <w:spacing w:after="0" w:line="264" w:lineRule="auto"/>
        <w:ind w:left="142" w:firstLine="567"/>
        <w:contextualSpacing w:val="0"/>
        <w:jc w:val="both"/>
        <w:textAlignment w:val="auto"/>
        <w:rPr>
          <w:rFonts w:asciiTheme="majorHAnsi" w:hAnsiTheme="majorHAnsi" w:cstheme="majorHAnsi"/>
          <w:bCs/>
        </w:rPr>
      </w:pPr>
      <w:r w:rsidRPr="00203BC3">
        <w:rPr>
          <w:rFonts w:asciiTheme="majorHAnsi" w:hAnsiTheme="majorHAnsi" w:cstheme="majorHAnsi"/>
          <w:bCs/>
        </w:rPr>
        <w:t>Paslaugų priėmimo ir garantinio aptarnavimo metu paslaugų teikėjas užtikrintų trečiųjų šalių licencinės (mokamos ir nemokamos) programinės įrangos, kuri panaudota kuriant ar modernizuojant informacinę sistemą, bibliotekų atnaujinimą, užtikrinant, kad nebūtų pažeidžiamumų.</w:t>
      </w:r>
    </w:p>
    <w:p w14:paraId="5728A9B2" w14:textId="77777777" w:rsidR="00166595" w:rsidRPr="00203BC3" w:rsidRDefault="00166595" w:rsidP="00166595">
      <w:pPr>
        <w:autoSpaceDE w:val="0"/>
        <w:adjustRightInd w:val="0"/>
        <w:spacing w:after="0" w:line="264" w:lineRule="auto"/>
        <w:ind w:left="567" w:firstLine="425"/>
        <w:rPr>
          <w:rFonts w:asciiTheme="majorHAnsi" w:hAnsiTheme="majorHAnsi" w:cstheme="majorHAnsi"/>
          <w:sz w:val="22"/>
        </w:rPr>
      </w:pPr>
      <w:r w:rsidRPr="00203BC3">
        <w:rPr>
          <w:rFonts w:asciiTheme="majorHAnsi" w:hAnsiTheme="majorHAnsi" w:cstheme="majorHAnsi"/>
          <w:bCs/>
          <w:sz w:val="22"/>
        </w:rPr>
        <w:t xml:space="preserve"> </w:t>
      </w:r>
    </w:p>
    <w:tbl>
      <w:tblPr>
        <w:tblW w:w="9374" w:type="dxa"/>
        <w:tblInd w:w="165" w:type="dxa"/>
        <w:tblLook w:val="04A0" w:firstRow="1" w:lastRow="0" w:firstColumn="1" w:lastColumn="0" w:noHBand="0" w:noVBand="1"/>
      </w:tblPr>
      <w:tblGrid>
        <w:gridCol w:w="4659"/>
        <w:gridCol w:w="4715"/>
      </w:tblGrid>
      <w:tr w:rsidR="00166595" w:rsidRPr="00EC2620" w14:paraId="57F69E00" w14:textId="77777777" w:rsidTr="00462C42">
        <w:trPr>
          <w:trHeight w:val="4041"/>
        </w:trPr>
        <w:tc>
          <w:tcPr>
            <w:tcW w:w="4659" w:type="dxa"/>
          </w:tcPr>
          <w:p w14:paraId="615C422C" w14:textId="6CBB58D5" w:rsidR="00166595" w:rsidRPr="00EC2620" w:rsidRDefault="00166595" w:rsidP="00462C42">
            <w:pPr>
              <w:widowControl w:val="0"/>
              <w:tabs>
                <w:tab w:val="left" w:pos="9630"/>
              </w:tabs>
              <w:suppressAutoHyphens w:val="0"/>
              <w:autoSpaceDN/>
              <w:spacing w:after="0" w:line="240" w:lineRule="auto"/>
              <w:textAlignment w:val="auto"/>
              <w:rPr>
                <w:rFonts w:eastAsia="Times New Roman"/>
                <w:b/>
                <w:szCs w:val="24"/>
                <w:highlight w:val="lightGray"/>
              </w:rPr>
            </w:pPr>
            <w:r>
              <w:rPr>
                <w:rFonts w:asciiTheme="majorHAnsi" w:hAnsiTheme="majorHAnsi" w:cstheme="majorHAnsi"/>
                <w:sz w:val="22"/>
              </w:rPr>
              <w:t xml:space="preserve">                                                                     </w:t>
            </w:r>
          </w:p>
          <w:p w14:paraId="2B637351" w14:textId="77777777" w:rsidR="00166595" w:rsidRPr="00EC2620" w:rsidRDefault="00166595" w:rsidP="00462C42">
            <w:pPr>
              <w:widowControl w:val="0"/>
              <w:tabs>
                <w:tab w:val="left" w:pos="720"/>
                <w:tab w:val="left" w:pos="1008"/>
                <w:tab w:val="left" w:pos="9630"/>
              </w:tabs>
              <w:suppressAutoHyphens w:val="0"/>
              <w:autoSpaceDN/>
              <w:spacing w:after="0" w:line="240" w:lineRule="auto"/>
              <w:textAlignment w:val="auto"/>
              <w:rPr>
                <w:rFonts w:eastAsia="Times New Roman"/>
                <w:b/>
                <w:szCs w:val="24"/>
              </w:rPr>
            </w:pPr>
            <w:r w:rsidRPr="00EC2620">
              <w:rPr>
                <w:rFonts w:eastAsia="Times New Roman"/>
                <w:b/>
                <w:szCs w:val="24"/>
              </w:rPr>
              <w:t>KLIENTAS</w:t>
            </w:r>
          </w:p>
          <w:p w14:paraId="214BC265" w14:textId="77777777" w:rsidR="00166595" w:rsidRPr="00EC2620" w:rsidRDefault="00166595" w:rsidP="00462C42">
            <w:pPr>
              <w:widowControl w:val="0"/>
              <w:tabs>
                <w:tab w:val="left" w:pos="720"/>
                <w:tab w:val="left" w:pos="1008"/>
                <w:tab w:val="left" w:pos="9630"/>
              </w:tabs>
              <w:suppressAutoHyphens w:val="0"/>
              <w:autoSpaceDN/>
              <w:spacing w:after="0" w:line="240" w:lineRule="auto"/>
              <w:textAlignment w:val="auto"/>
              <w:rPr>
                <w:rFonts w:eastAsia="Times New Roman"/>
                <w:szCs w:val="24"/>
                <w:highlight w:val="lightGray"/>
              </w:rPr>
            </w:pPr>
          </w:p>
          <w:p w14:paraId="726D599B" w14:textId="77777777" w:rsidR="00166595" w:rsidRPr="00EC2620" w:rsidRDefault="00166595" w:rsidP="00462C42">
            <w:pPr>
              <w:widowControl w:val="0"/>
              <w:suppressAutoHyphens w:val="0"/>
              <w:autoSpaceDN/>
              <w:spacing w:after="0" w:line="240" w:lineRule="auto"/>
              <w:textAlignment w:val="auto"/>
              <w:rPr>
                <w:rFonts w:eastAsia="Times New Roman"/>
                <w:b/>
                <w:bCs/>
                <w:szCs w:val="24"/>
              </w:rPr>
            </w:pPr>
            <w:r w:rsidRPr="00EC2620">
              <w:rPr>
                <w:rFonts w:eastAsia="Times New Roman"/>
                <w:b/>
                <w:bCs/>
                <w:szCs w:val="24"/>
              </w:rPr>
              <w:t xml:space="preserve">Informatikos ir ryšių departamentas </w:t>
            </w:r>
          </w:p>
          <w:p w14:paraId="681382FF" w14:textId="77777777" w:rsidR="00166595" w:rsidRPr="00EC2620" w:rsidRDefault="00166595" w:rsidP="00462C42">
            <w:pPr>
              <w:widowControl w:val="0"/>
              <w:suppressAutoHyphens w:val="0"/>
              <w:autoSpaceDN/>
              <w:spacing w:after="0" w:line="240" w:lineRule="auto"/>
              <w:textAlignment w:val="auto"/>
              <w:rPr>
                <w:rFonts w:eastAsia="Times New Roman"/>
                <w:b/>
                <w:bCs/>
                <w:szCs w:val="24"/>
              </w:rPr>
            </w:pPr>
            <w:r w:rsidRPr="00EC2620">
              <w:rPr>
                <w:rFonts w:eastAsia="Times New Roman"/>
                <w:b/>
                <w:bCs/>
                <w:szCs w:val="24"/>
              </w:rPr>
              <w:t xml:space="preserve">prie Lietuvos Respublikos </w:t>
            </w:r>
          </w:p>
          <w:p w14:paraId="4F955BDC" w14:textId="77777777" w:rsidR="00166595" w:rsidRPr="00EC2620" w:rsidRDefault="00166595" w:rsidP="00462C42">
            <w:pPr>
              <w:widowControl w:val="0"/>
              <w:suppressAutoHyphens w:val="0"/>
              <w:autoSpaceDN/>
              <w:spacing w:after="0" w:line="240" w:lineRule="auto"/>
              <w:textAlignment w:val="auto"/>
              <w:rPr>
                <w:rFonts w:eastAsia="Times New Roman"/>
                <w:b/>
                <w:bCs/>
                <w:szCs w:val="24"/>
              </w:rPr>
            </w:pPr>
            <w:r w:rsidRPr="00EC2620">
              <w:rPr>
                <w:rFonts w:eastAsia="Times New Roman"/>
                <w:b/>
                <w:bCs/>
                <w:szCs w:val="24"/>
              </w:rPr>
              <w:t xml:space="preserve">vidaus reikalų ministerijos </w:t>
            </w:r>
          </w:p>
          <w:p w14:paraId="2FF1DDFD" w14:textId="77777777" w:rsidR="00166595" w:rsidRPr="00EC2620" w:rsidRDefault="00166595" w:rsidP="00462C42">
            <w:pPr>
              <w:widowControl w:val="0"/>
              <w:suppressAutoHyphens w:val="0"/>
              <w:autoSpaceDN/>
              <w:spacing w:after="0" w:line="240" w:lineRule="auto"/>
              <w:jc w:val="both"/>
              <w:textAlignment w:val="auto"/>
              <w:rPr>
                <w:rFonts w:eastAsia="Times New Roman"/>
                <w:szCs w:val="24"/>
              </w:rPr>
            </w:pPr>
          </w:p>
          <w:p w14:paraId="6CDE0F4B" w14:textId="77777777" w:rsidR="00166595" w:rsidRPr="00EC2620" w:rsidRDefault="00166595" w:rsidP="00462C42">
            <w:pPr>
              <w:widowControl w:val="0"/>
              <w:suppressAutoHyphens w:val="0"/>
              <w:autoSpaceDN/>
              <w:spacing w:after="0" w:line="240" w:lineRule="auto"/>
              <w:jc w:val="both"/>
              <w:textAlignment w:val="auto"/>
              <w:rPr>
                <w:rFonts w:eastAsia="Times New Roman"/>
                <w:szCs w:val="24"/>
              </w:rPr>
            </w:pPr>
          </w:p>
          <w:p w14:paraId="1DFDAF07" w14:textId="77777777" w:rsidR="00166595" w:rsidRPr="00EC2620" w:rsidRDefault="00166595" w:rsidP="00462C42">
            <w:pPr>
              <w:widowControl w:val="0"/>
              <w:suppressAutoHyphens w:val="0"/>
              <w:autoSpaceDN/>
              <w:spacing w:after="0" w:line="240" w:lineRule="auto"/>
              <w:textAlignment w:val="auto"/>
              <w:rPr>
                <w:rFonts w:eastAsia="Times New Roman"/>
                <w:szCs w:val="24"/>
              </w:rPr>
            </w:pPr>
            <w:r w:rsidRPr="00EC2620">
              <w:rPr>
                <w:rFonts w:eastAsia="Times New Roman"/>
                <w:szCs w:val="24"/>
              </w:rPr>
              <w:t xml:space="preserve">Direktorė </w:t>
            </w:r>
          </w:p>
          <w:p w14:paraId="28305FE8" w14:textId="77777777" w:rsidR="00166595" w:rsidRPr="00EC2620" w:rsidRDefault="00166595" w:rsidP="00462C42">
            <w:pPr>
              <w:widowControl w:val="0"/>
              <w:suppressAutoHyphens w:val="0"/>
              <w:autoSpaceDN/>
              <w:spacing w:after="0" w:line="240" w:lineRule="auto"/>
              <w:textAlignment w:val="auto"/>
              <w:rPr>
                <w:rFonts w:eastAsia="Times New Roman"/>
                <w:szCs w:val="24"/>
              </w:rPr>
            </w:pPr>
          </w:p>
          <w:p w14:paraId="62DC223E" w14:textId="77777777" w:rsidR="00166595" w:rsidRPr="00EC2620" w:rsidRDefault="00166595" w:rsidP="00462C42">
            <w:pPr>
              <w:widowControl w:val="0"/>
              <w:suppressAutoHyphens w:val="0"/>
              <w:autoSpaceDN/>
              <w:spacing w:after="0" w:line="240" w:lineRule="auto"/>
              <w:textAlignment w:val="auto"/>
              <w:rPr>
                <w:rFonts w:eastAsia="Times New Roman"/>
                <w:szCs w:val="24"/>
              </w:rPr>
            </w:pPr>
          </w:p>
          <w:p w14:paraId="321A91FF" w14:textId="77777777" w:rsidR="00166595" w:rsidRPr="00EC2620" w:rsidRDefault="00166595" w:rsidP="00462C42">
            <w:pPr>
              <w:widowControl w:val="0"/>
              <w:suppressAutoHyphens w:val="0"/>
              <w:autoSpaceDN/>
              <w:spacing w:after="0" w:line="240" w:lineRule="auto"/>
              <w:textAlignment w:val="auto"/>
              <w:rPr>
                <w:rFonts w:eastAsia="Times New Roman"/>
                <w:szCs w:val="24"/>
              </w:rPr>
            </w:pPr>
            <w:r w:rsidRPr="00EC2620">
              <w:rPr>
                <w:rFonts w:eastAsia="Times New Roman"/>
                <w:szCs w:val="24"/>
              </w:rPr>
              <w:t xml:space="preserve">Viktorija </w:t>
            </w:r>
            <w:proofErr w:type="spellStart"/>
            <w:r w:rsidRPr="00EC2620">
              <w:rPr>
                <w:rFonts w:eastAsia="Times New Roman"/>
                <w:szCs w:val="24"/>
              </w:rPr>
              <w:t>Rūkštelė</w:t>
            </w:r>
            <w:proofErr w:type="spellEnd"/>
          </w:p>
          <w:p w14:paraId="405FA593" w14:textId="77777777" w:rsidR="00166595" w:rsidRPr="00EC2620" w:rsidRDefault="00166595" w:rsidP="00462C42">
            <w:pPr>
              <w:widowControl w:val="0"/>
              <w:tabs>
                <w:tab w:val="left" w:pos="9630"/>
              </w:tabs>
              <w:suppressAutoHyphens w:val="0"/>
              <w:autoSpaceDN/>
              <w:spacing w:after="0" w:line="240" w:lineRule="auto"/>
              <w:textAlignment w:val="auto"/>
              <w:rPr>
                <w:rFonts w:eastAsia="Times New Roman"/>
                <w:szCs w:val="24"/>
                <w:highlight w:val="lightGray"/>
              </w:rPr>
            </w:pPr>
          </w:p>
        </w:tc>
        <w:tc>
          <w:tcPr>
            <w:tcW w:w="4715" w:type="dxa"/>
          </w:tcPr>
          <w:p w14:paraId="305FCC40" w14:textId="77777777" w:rsidR="00166595" w:rsidRPr="00EC2620" w:rsidRDefault="00166595" w:rsidP="00462C42">
            <w:pPr>
              <w:widowControl w:val="0"/>
              <w:tabs>
                <w:tab w:val="left" w:pos="9630"/>
              </w:tabs>
              <w:suppressAutoHyphens w:val="0"/>
              <w:autoSpaceDN/>
              <w:spacing w:after="0" w:line="240" w:lineRule="auto"/>
              <w:jc w:val="both"/>
              <w:textAlignment w:val="auto"/>
              <w:outlineLvl w:val="0"/>
              <w:rPr>
                <w:rFonts w:eastAsia="Arial Unicode MS"/>
                <w:b/>
                <w:bCs/>
                <w:szCs w:val="24"/>
                <w:highlight w:val="lightGray"/>
              </w:rPr>
            </w:pPr>
          </w:p>
          <w:p w14:paraId="662B708A" w14:textId="77777777" w:rsidR="00166595" w:rsidRPr="00EC2620" w:rsidRDefault="00166595" w:rsidP="00462C42">
            <w:pPr>
              <w:widowControl w:val="0"/>
              <w:tabs>
                <w:tab w:val="left" w:pos="9630"/>
              </w:tabs>
              <w:suppressAutoHyphens w:val="0"/>
              <w:autoSpaceDN/>
              <w:spacing w:after="0" w:line="240" w:lineRule="auto"/>
              <w:jc w:val="both"/>
              <w:textAlignment w:val="auto"/>
              <w:outlineLvl w:val="0"/>
              <w:rPr>
                <w:rFonts w:eastAsia="Arial Unicode MS"/>
                <w:b/>
                <w:bCs/>
                <w:szCs w:val="24"/>
              </w:rPr>
            </w:pPr>
            <w:r w:rsidRPr="00EC2620">
              <w:rPr>
                <w:rFonts w:eastAsia="Arial Unicode MS"/>
                <w:b/>
                <w:bCs/>
                <w:szCs w:val="24"/>
              </w:rPr>
              <w:t>PASLAUGŲ TEIKĖJAS</w:t>
            </w:r>
          </w:p>
          <w:p w14:paraId="2B894E4D" w14:textId="77777777" w:rsidR="00166595" w:rsidRPr="00EC2620" w:rsidRDefault="00166595" w:rsidP="00462C42">
            <w:pPr>
              <w:widowControl w:val="0"/>
              <w:tabs>
                <w:tab w:val="left" w:pos="9630"/>
              </w:tabs>
              <w:suppressAutoHyphens w:val="0"/>
              <w:autoSpaceDN/>
              <w:spacing w:after="0" w:line="240" w:lineRule="auto"/>
              <w:jc w:val="both"/>
              <w:textAlignment w:val="auto"/>
              <w:rPr>
                <w:rFonts w:eastAsia="Times New Roman"/>
                <w:b/>
                <w:szCs w:val="24"/>
                <w:lang w:eastAsia="lt-LT"/>
              </w:rPr>
            </w:pPr>
          </w:p>
          <w:p w14:paraId="4D8DB697" w14:textId="77777777" w:rsidR="00166595" w:rsidRPr="00A73089" w:rsidRDefault="00166595" w:rsidP="00462C42">
            <w:pPr>
              <w:widowControl w:val="0"/>
              <w:tabs>
                <w:tab w:val="left" w:pos="9360"/>
              </w:tabs>
              <w:suppressAutoHyphens w:val="0"/>
              <w:autoSpaceDN/>
              <w:spacing w:after="0" w:line="240" w:lineRule="auto"/>
              <w:jc w:val="both"/>
              <w:textAlignment w:val="auto"/>
              <w:outlineLvl w:val="0"/>
              <w:rPr>
                <w:rFonts w:eastAsia="Times New Roman"/>
                <w:bCs/>
                <w:szCs w:val="24"/>
              </w:rPr>
            </w:pPr>
            <w:r w:rsidRPr="00A73089">
              <w:rPr>
                <w:rFonts w:eastAsia="Times New Roman"/>
                <w:b/>
                <w:bCs/>
                <w:szCs w:val="24"/>
              </w:rPr>
              <w:t>UAB „</w:t>
            </w:r>
            <w:proofErr w:type="spellStart"/>
            <w:r w:rsidRPr="00A73089">
              <w:rPr>
                <w:rFonts w:eastAsia="Times New Roman"/>
                <w:b/>
                <w:bCs/>
                <w:szCs w:val="24"/>
              </w:rPr>
              <w:t>Insoft</w:t>
            </w:r>
            <w:proofErr w:type="spellEnd"/>
            <w:r w:rsidRPr="00A73089">
              <w:rPr>
                <w:rFonts w:eastAsia="Times New Roman"/>
                <w:b/>
                <w:bCs/>
                <w:szCs w:val="24"/>
              </w:rPr>
              <w:t xml:space="preserve">“ </w:t>
            </w:r>
          </w:p>
          <w:p w14:paraId="50A297CB" w14:textId="77777777" w:rsidR="00166595" w:rsidRPr="00A73089" w:rsidRDefault="00166595" w:rsidP="00462C42">
            <w:pPr>
              <w:widowControl w:val="0"/>
              <w:suppressAutoHyphens w:val="0"/>
              <w:autoSpaceDN/>
              <w:spacing w:after="0" w:line="240" w:lineRule="auto"/>
              <w:textAlignment w:val="auto"/>
              <w:rPr>
                <w:rFonts w:eastAsia="Times New Roman"/>
                <w:szCs w:val="24"/>
              </w:rPr>
            </w:pPr>
          </w:p>
          <w:p w14:paraId="08A637E4" w14:textId="77777777" w:rsidR="00166595" w:rsidRPr="00A73089" w:rsidRDefault="00166595" w:rsidP="00462C42">
            <w:pPr>
              <w:widowControl w:val="0"/>
              <w:suppressAutoHyphens w:val="0"/>
              <w:autoSpaceDN/>
              <w:spacing w:after="0" w:line="240" w:lineRule="auto"/>
              <w:textAlignment w:val="auto"/>
              <w:rPr>
                <w:rFonts w:eastAsia="Times New Roman"/>
                <w:szCs w:val="24"/>
              </w:rPr>
            </w:pPr>
          </w:p>
          <w:p w14:paraId="6BBAE3F1" w14:textId="77777777" w:rsidR="00166595" w:rsidRPr="00A73089" w:rsidRDefault="00166595" w:rsidP="00462C42">
            <w:pPr>
              <w:widowControl w:val="0"/>
              <w:tabs>
                <w:tab w:val="left" w:pos="720"/>
              </w:tabs>
              <w:suppressAutoHyphens w:val="0"/>
              <w:autoSpaceDN/>
              <w:spacing w:after="0" w:line="240" w:lineRule="auto"/>
              <w:textAlignment w:val="auto"/>
              <w:rPr>
                <w:rFonts w:eastAsia="Times New Roman"/>
                <w:bCs/>
                <w:szCs w:val="24"/>
              </w:rPr>
            </w:pPr>
          </w:p>
          <w:p w14:paraId="7BC784A4" w14:textId="77777777" w:rsidR="00166595" w:rsidRPr="00A73089" w:rsidRDefault="00166595" w:rsidP="00462C42">
            <w:pPr>
              <w:widowControl w:val="0"/>
              <w:suppressAutoHyphens w:val="0"/>
              <w:autoSpaceDN/>
              <w:spacing w:after="0" w:line="240" w:lineRule="auto"/>
              <w:textAlignment w:val="auto"/>
              <w:rPr>
                <w:rFonts w:eastAsia="Times New Roman"/>
                <w:szCs w:val="24"/>
              </w:rPr>
            </w:pPr>
          </w:p>
          <w:p w14:paraId="30387D97" w14:textId="77777777" w:rsidR="00166595" w:rsidRPr="00A73089" w:rsidRDefault="00166595" w:rsidP="00462C42">
            <w:pPr>
              <w:widowControl w:val="0"/>
              <w:suppressAutoHyphens w:val="0"/>
              <w:autoSpaceDN/>
              <w:spacing w:after="0" w:line="240" w:lineRule="auto"/>
              <w:textAlignment w:val="auto"/>
              <w:rPr>
                <w:rFonts w:eastAsia="Times New Roman"/>
                <w:szCs w:val="24"/>
              </w:rPr>
            </w:pPr>
            <w:r w:rsidRPr="00A73089">
              <w:rPr>
                <w:rFonts w:eastAsia="Times New Roman"/>
                <w:szCs w:val="24"/>
              </w:rPr>
              <w:t>Direktorius</w:t>
            </w:r>
          </w:p>
          <w:p w14:paraId="0236E6FF" w14:textId="77777777" w:rsidR="00166595" w:rsidRPr="00A73089" w:rsidRDefault="00166595" w:rsidP="00462C42">
            <w:pPr>
              <w:widowControl w:val="0"/>
              <w:suppressAutoHyphens w:val="0"/>
              <w:autoSpaceDN/>
              <w:spacing w:after="0" w:line="240" w:lineRule="auto"/>
              <w:textAlignment w:val="auto"/>
              <w:rPr>
                <w:rFonts w:eastAsia="Times New Roman"/>
                <w:szCs w:val="24"/>
              </w:rPr>
            </w:pPr>
          </w:p>
          <w:p w14:paraId="0F486FA6" w14:textId="77777777" w:rsidR="00166595" w:rsidRPr="00A73089" w:rsidRDefault="00166595" w:rsidP="00462C42">
            <w:pPr>
              <w:widowControl w:val="0"/>
              <w:suppressAutoHyphens w:val="0"/>
              <w:autoSpaceDN/>
              <w:spacing w:after="0" w:line="240" w:lineRule="auto"/>
              <w:ind w:left="720"/>
              <w:contextualSpacing/>
              <w:jc w:val="center"/>
              <w:textAlignment w:val="auto"/>
              <w:rPr>
                <w:rFonts w:eastAsia="Times New Roman"/>
                <w:szCs w:val="24"/>
              </w:rPr>
            </w:pPr>
            <w:r w:rsidRPr="00A73089">
              <w:rPr>
                <w:rFonts w:eastAsia="Times New Roman"/>
                <w:szCs w:val="24"/>
              </w:rPr>
              <w:t xml:space="preserve">                                     </w:t>
            </w:r>
          </w:p>
          <w:p w14:paraId="68EFF0D2" w14:textId="77777777" w:rsidR="00166595" w:rsidRPr="00EC2620" w:rsidRDefault="00166595" w:rsidP="00462C42">
            <w:pPr>
              <w:widowControl w:val="0"/>
              <w:tabs>
                <w:tab w:val="left" w:pos="720"/>
                <w:tab w:val="left" w:pos="9630"/>
              </w:tabs>
              <w:suppressAutoHyphens w:val="0"/>
              <w:autoSpaceDN/>
              <w:spacing w:after="0" w:line="240" w:lineRule="auto"/>
              <w:textAlignment w:val="auto"/>
              <w:rPr>
                <w:rFonts w:eastAsia="Times New Roman"/>
                <w:szCs w:val="24"/>
              </w:rPr>
            </w:pPr>
            <w:r w:rsidRPr="00A73089">
              <w:rPr>
                <w:rFonts w:eastAsia="Times New Roman"/>
                <w:szCs w:val="24"/>
              </w:rPr>
              <w:t>Mindaugas Mikulėnas</w:t>
            </w:r>
          </w:p>
        </w:tc>
      </w:tr>
    </w:tbl>
    <w:p w14:paraId="2B184D8D" w14:textId="77777777" w:rsidR="00166595" w:rsidRPr="00203BC3" w:rsidRDefault="00166595" w:rsidP="00166595">
      <w:pPr>
        <w:pStyle w:val="Patvirtinta"/>
        <w:tabs>
          <w:tab w:val="left" w:pos="7020"/>
          <w:tab w:val="left" w:pos="7200"/>
        </w:tabs>
        <w:ind w:left="0" w:firstLine="0"/>
        <w:jc w:val="left"/>
        <w:rPr>
          <w:rFonts w:asciiTheme="majorHAnsi" w:hAnsiTheme="majorHAnsi" w:cstheme="majorHAnsi"/>
          <w:sz w:val="22"/>
          <w:szCs w:val="22"/>
          <w:lang w:val="lt-LT"/>
        </w:rPr>
      </w:pPr>
    </w:p>
    <w:p w14:paraId="5E63F51C" w14:textId="77777777" w:rsidR="00166595" w:rsidRPr="00203BC3" w:rsidRDefault="00166595" w:rsidP="00166595">
      <w:pPr>
        <w:rPr>
          <w:rFonts w:asciiTheme="majorHAnsi" w:hAnsiTheme="majorHAnsi" w:cstheme="majorHAnsi"/>
          <w:iCs/>
          <w:sz w:val="22"/>
        </w:rPr>
      </w:pPr>
    </w:p>
    <w:p w14:paraId="52DE94ED" w14:textId="77777777" w:rsidR="00166595" w:rsidRDefault="00166595"/>
    <w:sectPr w:rsidR="00166595" w:rsidSect="0016659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7444"/>
    <w:multiLevelType w:val="multilevel"/>
    <w:tmpl w:val="39829E0C"/>
    <w:lvl w:ilvl="0">
      <w:start w:val="1"/>
      <w:numFmt w:val="decimal"/>
      <w:lvlText w:val="%1."/>
      <w:lvlJc w:val="left"/>
      <w:pPr>
        <w:ind w:left="420" w:hanging="420"/>
      </w:pPr>
    </w:lvl>
    <w:lvl w:ilvl="1">
      <w:start w:val="1"/>
      <w:numFmt w:val="decimal"/>
      <w:lvlText w:val="%1.%2."/>
      <w:lvlJc w:val="left"/>
      <w:pPr>
        <w:ind w:left="2122" w:hanging="420"/>
      </w:pPr>
      <w:rPr>
        <w:b w:val="0"/>
      </w:rPr>
    </w:lvl>
    <w:lvl w:ilvl="2">
      <w:start w:val="1"/>
      <w:numFmt w:val="decimal"/>
      <w:lvlText w:val="%1.%2.%3."/>
      <w:lvlJc w:val="left"/>
      <w:pPr>
        <w:ind w:left="1746" w:hanging="720"/>
      </w:p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num w:numId="1" w16cid:durableId="1891728855">
    <w:abstractNumId w:val="0"/>
  </w:num>
  <w:num w:numId="2" w16cid:durableId="18200759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595"/>
    <w:rsid w:val="00166595"/>
    <w:rsid w:val="00DD3C82"/>
    <w:rsid w:val="00FB3E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80FA"/>
  <w15:chartTrackingRefBased/>
  <w15:docId w15:val="{44346906-CA24-420B-8EF3-65671F14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66595"/>
    <w:pPr>
      <w:suppressAutoHyphens/>
      <w:autoSpaceDN w:val="0"/>
      <w:spacing w:after="200" w:line="276" w:lineRule="auto"/>
      <w:textAlignment w:val="baseline"/>
    </w:pPr>
    <w:rPr>
      <w:rFonts w:ascii="Times New Roman" w:eastAsia="Calibri" w:hAnsi="Times New Roman" w:cs="Times New Roman"/>
      <w:kern w:val="0"/>
      <w:szCs w:val="22"/>
      <w14:ligatures w14:val="none"/>
    </w:rPr>
  </w:style>
  <w:style w:type="paragraph" w:styleId="Antrat1">
    <w:name w:val="heading 1"/>
    <w:basedOn w:val="prastasis"/>
    <w:next w:val="prastasis"/>
    <w:link w:val="Antrat1Diagrama"/>
    <w:uiPriority w:val="9"/>
    <w:qFormat/>
    <w:rsid w:val="001665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665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6659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6659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6659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6659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6659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6659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6659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6659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6659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6659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6659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6659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6659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6659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6659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6659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66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6659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6659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6659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6659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66595"/>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166595"/>
    <w:pPr>
      <w:ind w:left="720"/>
      <w:contextualSpacing/>
    </w:pPr>
  </w:style>
  <w:style w:type="character" w:styleId="Rykuspabraukimas">
    <w:name w:val="Intense Emphasis"/>
    <w:basedOn w:val="Numatytasispastraiposriftas"/>
    <w:uiPriority w:val="21"/>
    <w:qFormat/>
    <w:rsid w:val="00166595"/>
    <w:rPr>
      <w:i/>
      <w:iCs/>
      <w:color w:val="0F4761" w:themeColor="accent1" w:themeShade="BF"/>
    </w:rPr>
  </w:style>
  <w:style w:type="paragraph" w:styleId="Iskirtacitata">
    <w:name w:val="Intense Quote"/>
    <w:basedOn w:val="prastasis"/>
    <w:next w:val="prastasis"/>
    <w:link w:val="IskirtacitataDiagrama"/>
    <w:uiPriority w:val="30"/>
    <w:qFormat/>
    <w:rsid w:val="001665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66595"/>
    <w:rPr>
      <w:i/>
      <w:iCs/>
      <w:color w:val="0F4761" w:themeColor="accent1" w:themeShade="BF"/>
    </w:rPr>
  </w:style>
  <w:style w:type="character" w:styleId="Rykinuoroda">
    <w:name w:val="Intense Reference"/>
    <w:basedOn w:val="Numatytasispastraiposriftas"/>
    <w:uiPriority w:val="32"/>
    <w:qFormat/>
    <w:rsid w:val="00166595"/>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66595"/>
  </w:style>
  <w:style w:type="character" w:styleId="Hipersaitas">
    <w:name w:val="Hyperlink"/>
    <w:aliases w:val="Alna"/>
    <w:basedOn w:val="Numatytasispastraiposriftas"/>
    <w:unhideWhenUsed/>
    <w:rsid w:val="00166595"/>
    <w:rPr>
      <w:color w:val="467886" w:themeColor="hyperlink"/>
      <w:u w:val="single"/>
    </w:rPr>
  </w:style>
  <w:style w:type="paragraph" w:customStyle="1" w:styleId="Patvirtinta">
    <w:name w:val="Patvirtinta"/>
    <w:qFormat/>
    <w:rsid w:val="00166595"/>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kern w:val="0"/>
      <w:sz w:val="20"/>
      <w:szCs w:val="20"/>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ittpagalba.vrm.lt/MS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10986</Words>
  <Characters>6263</Characters>
  <Application>Microsoft Office Word</Application>
  <DocSecurity>0</DocSecurity>
  <Lines>52</Lines>
  <Paragraphs>34</Paragraphs>
  <ScaleCrop>false</ScaleCrop>
  <Company/>
  <LinksUpToDate>false</LinksUpToDate>
  <CharactersWithSpaces>17215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2</cp:revision>
  <dcterms:created xsi:type="dcterms:W3CDTF">2025-03-27T12:05:00Z</dcterms:created>
  <dcterms:modified xsi:type="dcterms:W3CDTF">2025-03-27T12:07:00Z</dcterms:modified>
</cp:coreProperties>
</file>