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789" w:leader="none"/>
        </w:tabs>
        <w:jc w:val="center"/>
        <w:rPr>
          <w:rFonts w:ascii="Times New Roman" w:hAnsi="Times New Roman"/>
          <w:b/>
          <w:sz w:val="24"/>
          <w:szCs w:val="24"/>
        </w:rPr>
      </w:pPr>
      <w:r>
        <w:rPr>
          <w:rFonts w:ascii="Times New Roman" w:hAnsi="Times New Roman"/>
          <w:b/>
          <w:caps/>
          <w:sz w:val="24"/>
          <w:szCs w:val="24"/>
        </w:rPr>
        <w:t>PASLAUGŲ TEIKIMO SUTARTIS n</w:t>
      </w:r>
      <w:r>
        <w:rPr>
          <w:rFonts w:ascii="Times New Roman" w:hAnsi="Times New Roman"/>
          <w:b/>
          <w:sz w:val="24"/>
          <w:szCs w:val="24"/>
        </w:rPr>
        <w:t xml:space="preserve">r. </w:t>
      </w:r>
    </w:p>
    <w:p>
      <w:pPr>
        <w:pStyle w:val="Normal"/>
        <w:tabs>
          <w:tab w:val="clear" w:pos="720"/>
          <w:tab w:val="left" w:pos="8789" w:leader="none"/>
        </w:tabs>
        <w:jc w:val="center"/>
        <w:rPr>
          <w:rFonts w:ascii="Times New Roman" w:hAnsi="Times New Roman"/>
          <w:szCs w:val="22"/>
        </w:rPr>
      </w:pPr>
      <w:r>
        <w:rPr>
          <w:rFonts w:ascii="Times New Roman" w:hAnsi="Times New Roman"/>
          <w:sz w:val="24"/>
          <w:szCs w:val="24"/>
        </w:rPr>
        <w:br/>
        <w:t>Vilnius</w:t>
      </w:r>
      <w:r>
        <w:rPr>
          <w:rFonts w:ascii="Times New Roman" w:hAnsi="Times New Roman"/>
          <w:szCs w:val="22"/>
        </w:rPr>
        <w:t>, 2025 m. kovo       d.</w:t>
      </w:r>
    </w:p>
    <w:p>
      <w:pPr>
        <w:pStyle w:val="Normal"/>
        <w:jc w:val="both"/>
        <w:rPr>
          <w:rFonts w:ascii="Times New Roman" w:hAnsi="Times New Roman"/>
          <w:szCs w:val="22"/>
        </w:rPr>
      </w:pPr>
      <w:r>
        <w:rPr>
          <w:rFonts w:ascii="Times New Roman" w:hAnsi="Times New Roman"/>
          <w:szCs w:val="22"/>
        </w:rPr>
      </w:r>
    </w:p>
    <w:p>
      <w:pPr>
        <w:pStyle w:val="Normal"/>
        <w:jc w:val="both"/>
        <w:rPr>
          <w:rFonts w:ascii="Times New Roman" w:hAnsi="Times New Roman"/>
          <w:szCs w:val="22"/>
        </w:rPr>
      </w:pPr>
      <w:r>
        <w:rPr>
          <w:rFonts w:ascii="Times New Roman" w:hAnsi="Times New Roman"/>
          <w:szCs w:val="22"/>
        </w:rPr>
      </w:r>
    </w:p>
    <w:p>
      <w:pPr>
        <w:pStyle w:val="BodyText"/>
        <w:rPr>
          <w:rFonts w:ascii="Times New Roman" w:hAnsi="Times New Roman"/>
          <w:szCs w:val="22"/>
          <w:highlight w:val="yellow"/>
          <w:lang w:val="lt-LT"/>
        </w:rPr>
      </w:pPr>
      <w:r>
        <w:rPr>
          <w:rFonts w:ascii="Times New Roman" w:hAnsi="Times New Roman"/>
          <w:bCs/>
          <w:szCs w:val="22"/>
          <w:lang w:val="lt-LT"/>
        </w:rPr>
        <w:t xml:space="preserve">Vyriausioji tarnybinės etikos komisija, juridinio asmens kodas 188736355, kurios buveinė registruota adresu  A. Goštauto g. 9, Vilniuje, duomenys apie įstaigą kaupiami ir saugomi Lietuvos Respublikos juridinių asmenų registre, atstovaujama komisijos pirmininko Gedimino Sakalausko, veikiančio pagal Lietuvos Respublikos Vyriausiosios tarnybinės etikos komisijos įstatymą </w:t>
      </w:r>
      <w:r>
        <w:rPr>
          <w:rFonts w:ascii="Times New Roman" w:hAnsi="Times New Roman"/>
          <w:szCs w:val="22"/>
          <w:lang w:val="lt-LT"/>
        </w:rPr>
        <w:t xml:space="preserve">(toliau vadinama UŽSAKOVU), ir UAB </w:t>
      </w:r>
      <w:r>
        <w:rPr>
          <w:rFonts w:ascii="Times New Roman" w:hAnsi="Times New Roman"/>
          <w:bCs/>
          <w:szCs w:val="22"/>
          <w:lang w:val="lt-LT"/>
        </w:rPr>
        <w:t>„</w:t>
      </w:r>
      <w:r>
        <w:rPr>
          <w:rFonts w:ascii="Times New Roman" w:hAnsi="Times New Roman"/>
          <w:szCs w:val="22"/>
          <w:lang w:val="lt-LT"/>
        </w:rPr>
        <w:t>Impartner</w:t>
      </w:r>
      <w:r>
        <w:rPr>
          <w:rFonts w:ascii="Times New Roman" w:hAnsi="Times New Roman"/>
          <w:bCs/>
          <w:szCs w:val="22"/>
          <w:lang w:val="lt-LT"/>
        </w:rPr>
        <w:t>” atstovaujama</w:t>
      </w:r>
      <w:r>
        <w:rPr>
          <w:rFonts w:ascii="Times New Roman" w:hAnsi="Times New Roman"/>
          <w:szCs w:val="22"/>
          <w:lang w:val="lt-LT"/>
        </w:rPr>
        <w:t xml:space="preserve"> direktoriaus Martyno Kelero, veikiančio pagal įstatus (toliau vadinama VYKDYTOJU), toliau sutartyje vadinamos ŠALIMIS, sudarė šią sutartį</w:t>
      </w:r>
      <w:r>
        <w:rPr>
          <w:rFonts w:ascii="Times New Roman" w:hAnsi="Times New Roman"/>
          <w:lang w:val="lt-LT"/>
        </w:rPr>
        <w:t>:</w:t>
      </w:r>
    </w:p>
    <w:p>
      <w:pPr>
        <w:pStyle w:val="Normal"/>
        <w:jc w:val="both"/>
        <w:rPr>
          <w:rFonts w:ascii="Times New Roman" w:hAnsi="Times New Roman"/>
          <w:szCs w:val="22"/>
        </w:rPr>
      </w:pPr>
      <w:r>
        <w:rPr>
          <w:rFonts w:ascii="Times New Roman" w:hAnsi="Times New Roman"/>
          <w:szCs w:val="22"/>
        </w:rPr>
      </w:r>
    </w:p>
    <w:p>
      <w:pPr>
        <w:pStyle w:val="Normal"/>
        <w:numPr>
          <w:ilvl w:val="0"/>
          <w:numId w:val="3"/>
        </w:numPr>
        <w:tabs>
          <w:tab w:val="clear" w:pos="720"/>
          <w:tab w:val="left" w:pos="1134" w:leader="none"/>
        </w:tabs>
        <w:jc w:val="both"/>
        <w:rPr>
          <w:rFonts w:ascii="Times New Roman" w:hAnsi="Times New Roman"/>
          <w:b/>
          <w:szCs w:val="22"/>
        </w:rPr>
      </w:pPr>
      <w:r>
        <w:rPr>
          <w:rFonts w:ascii="Times New Roman" w:hAnsi="Times New Roman"/>
          <w:b/>
          <w:szCs w:val="22"/>
        </w:rPr>
        <w:t>Sutarties objektas</w:t>
      </w:r>
    </w:p>
    <w:p>
      <w:pPr>
        <w:pStyle w:val="Normal"/>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s>
        <w:jc w:val="both"/>
        <w:rPr>
          <w:rFonts w:ascii="Times New Roman" w:hAnsi="Times New Roman"/>
          <w:szCs w:val="22"/>
        </w:rPr>
      </w:pPr>
      <w:r>
        <w:rPr>
          <w:rFonts w:ascii="Times New Roman" w:hAnsi="Times New Roman"/>
          <w:szCs w:val="22"/>
        </w:rPr>
        <w:t>VYKDYTOJAS įsipareigoja suteikti prieigą prie interneto monitoringo sistemos „NewsPoint WEB“ ir „NewsPoint Social Media“, o UŽSAKOVAS įsipareigoja šias paslaugas priimti ir jas apmokėti.</w:t>
      </w:r>
    </w:p>
    <w:p>
      <w:pPr>
        <w:pStyle w:val="Normal"/>
        <w:numPr>
          <w:ilvl w:val="1"/>
          <w:numId w:val="2"/>
        </w:numPr>
        <w:tabs>
          <w:tab w:val="clear" w:pos="720"/>
          <w:tab w:val="left" w:pos="1134" w:leader="none"/>
        </w:tabs>
        <w:jc w:val="both"/>
        <w:rPr>
          <w:rFonts w:ascii="Times New Roman" w:hAnsi="Times New Roman"/>
          <w:szCs w:val="22"/>
        </w:rPr>
      </w:pPr>
      <w:r>
        <w:rPr>
          <w:rFonts w:ascii="Times New Roman" w:hAnsi="Times New Roman"/>
          <w:szCs w:val="22"/>
        </w:rPr>
        <w:t>Prieiga prie „NewsPoint“ sistemos UŽSAKOVUI suteikiama ne vėliau kaip Sutarties sudarymo dieną.</w:t>
      </w:r>
    </w:p>
    <w:p>
      <w:pPr>
        <w:pStyle w:val="Normal"/>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s>
        <w:jc w:val="both"/>
        <w:rPr>
          <w:rFonts w:ascii="Times New Roman" w:hAnsi="Times New Roman"/>
          <w:b/>
          <w:szCs w:val="22"/>
        </w:rPr>
      </w:pPr>
      <w:r>
        <w:rPr>
          <w:rFonts w:ascii="Times New Roman" w:hAnsi="Times New Roman"/>
          <w:b/>
          <w:szCs w:val="22"/>
        </w:rPr>
        <w:t>Sutarties kaina ir atsiskaitymo tvarka</w:t>
      </w:r>
    </w:p>
    <w:p>
      <w:pPr>
        <w:pStyle w:val="Normal"/>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s>
        <w:jc w:val="both"/>
        <w:rPr>
          <w:rFonts w:ascii="Times New Roman" w:hAnsi="Times New Roman"/>
          <w:szCs w:val="22"/>
        </w:rPr>
      </w:pPr>
      <w:r>
        <w:rPr>
          <w:rFonts w:ascii="Times New Roman" w:hAnsi="Times New Roman"/>
          <w:szCs w:val="22"/>
        </w:rPr>
        <w:t>VYKDYTOJAS suteikia UŽSAKOVUI prieigą prie „NewsPoint“ sistemos ir užtikrina naudojimąsi žemiau išvardintomis sistemos funkcijomis, o UŽSAKOVAS įsipareigoja mokėti mėnesinį 19</w:t>
      </w:r>
      <w:r>
        <w:rPr>
          <w:rFonts w:ascii="Times New Roman" w:hAnsi="Times New Roman"/>
          <w:szCs w:val="22"/>
        </w:rPr>
        <w:t>4</w:t>
      </w:r>
      <w:r>
        <w:rPr>
          <w:rFonts w:ascii="Times New Roman" w:hAnsi="Times New Roman"/>
          <w:szCs w:val="22"/>
        </w:rPr>
        <w:t xml:space="preserve"> EUR (šimto devyniasdešimt keturių eurų) mokestį prie kurio pridedamas PVM.</w:t>
      </w:r>
    </w:p>
    <w:p>
      <w:pPr>
        <w:pStyle w:val="Normal"/>
        <w:tabs>
          <w:tab w:val="clear" w:pos="720"/>
          <w:tab w:val="left" w:pos="1701" w:leader="none"/>
        </w:tabs>
        <w:ind w:left="567"/>
        <w:jc w:val="both"/>
        <w:rPr>
          <w:rFonts w:ascii="Times New Roman" w:hAnsi="Times New Roman"/>
          <w:szCs w:val="22"/>
        </w:rPr>
      </w:pPr>
      <w:r>
        <w:rPr>
          <w:rFonts w:ascii="Times New Roman" w:hAnsi="Times New Roman"/>
          <w:szCs w:val="22"/>
        </w:rPr>
      </w:r>
    </w:p>
    <w:p>
      <w:pPr>
        <w:pStyle w:val="Normal"/>
        <w:numPr>
          <w:ilvl w:val="1"/>
          <w:numId w:val="2"/>
        </w:numPr>
        <w:tabs>
          <w:tab w:val="clear" w:pos="720"/>
          <w:tab w:val="left" w:pos="1418" w:leader="none"/>
        </w:tabs>
        <w:jc w:val="both"/>
        <w:rPr>
          <w:rFonts w:ascii="Times New Roman" w:hAnsi="Times New Roman"/>
          <w:szCs w:val="22"/>
        </w:rPr>
      </w:pPr>
      <w:r>
        <w:rPr>
          <w:rFonts w:ascii="Times New Roman" w:hAnsi="Times New Roman"/>
          <w:szCs w:val="22"/>
        </w:rPr>
        <w:t>UŽSAKOVAS gali naudotis šiomis „NewsPoint“ sistemos funkcijomis:</w:t>
      </w:r>
    </w:p>
    <w:p>
      <w:pPr>
        <w:pStyle w:val="Normal"/>
        <w:numPr>
          <w:ilvl w:val="2"/>
          <w:numId w:val="2"/>
        </w:numPr>
        <w:tabs>
          <w:tab w:val="clear" w:pos="720"/>
          <w:tab w:val="left" w:pos="1560" w:leader="none"/>
        </w:tabs>
        <w:jc w:val="both"/>
        <w:rPr>
          <w:rFonts w:ascii="Times New Roman" w:hAnsi="Times New Roman"/>
          <w:szCs w:val="22"/>
        </w:rPr>
      </w:pPr>
      <w:r>
        <w:rPr>
          <w:rFonts w:ascii="Times New Roman" w:hAnsi="Times New Roman"/>
          <w:szCs w:val="22"/>
        </w:rPr>
        <w:t>Neribojamas raktažodžių ir paieškų skaičius;</w:t>
      </w:r>
    </w:p>
    <w:p>
      <w:pPr>
        <w:pStyle w:val="Normal"/>
        <w:numPr>
          <w:ilvl w:val="2"/>
          <w:numId w:val="2"/>
        </w:numPr>
        <w:tabs>
          <w:tab w:val="clear" w:pos="720"/>
          <w:tab w:val="left" w:pos="1560" w:leader="none"/>
        </w:tabs>
        <w:jc w:val="both"/>
        <w:rPr>
          <w:rFonts w:ascii="Times New Roman" w:hAnsi="Times New Roman"/>
          <w:szCs w:val="22"/>
        </w:rPr>
      </w:pPr>
      <w:r>
        <w:rPr>
          <w:rFonts w:ascii="Times New Roman" w:hAnsi="Times New Roman"/>
          <w:szCs w:val="22"/>
        </w:rPr>
        <w:t>Neribojamas paieškos profilių skaičius;</w:t>
      </w:r>
    </w:p>
    <w:p>
      <w:pPr>
        <w:pStyle w:val="Normal"/>
        <w:numPr>
          <w:ilvl w:val="2"/>
          <w:numId w:val="2"/>
        </w:numPr>
        <w:tabs>
          <w:tab w:val="clear" w:pos="720"/>
          <w:tab w:val="left" w:pos="1560" w:leader="none"/>
        </w:tabs>
        <w:jc w:val="both"/>
        <w:rPr>
          <w:rFonts w:ascii="Times New Roman" w:hAnsi="Times New Roman"/>
          <w:szCs w:val="22"/>
        </w:rPr>
      </w:pPr>
      <w:r>
        <w:rPr>
          <w:rFonts w:ascii="Times New Roman" w:hAnsi="Times New Roman"/>
          <w:szCs w:val="22"/>
        </w:rPr>
        <w:t>Neribojamas pranešimų elektroniniu paštu ir jų gavėjų skaičius;</w:t>
      </w:r>
    </w:p>
    <w:p>
      <w:pPr>
        <w:pStyle w:val="Normal"/>
        <w:numPr>
          <w:ilvl w:val="2"/>
          <w:numId w:val="2"/>
        </w:numPr>
        <w:tabs>
          <w:tab w:val="clear" w:pos="720"/>
          <w:tab w:val="left" w:pos="1560" w:leader="none"/>
        </w:tabs>
        <w:jc w:val="both"/>
        <w:rPr>
          <w:rFonts w:ascii="Times New Roman" w:hAnsi="Times New Roman"/>
          <w:szCs w:val="22"/>
        </w:rPr>
      </w:pPr>
      <w:r>
        <w:rPr>
          <w:rFonts w:ascii="Times New Roman" w:hAnsi="Times New Roman"/>
          <w:szCs w:val="22"/>
        </w:rPr>
        <w:t>Papildomai neapmokestinamas naujų šaltinių įtraukimas į monitoringo sistemą;</w:t>
      </w:r>
    </w:p>
    <w:p>
      <w:pPr>
        <w:pStyle w:val="Normal"/>
        <w:numPr>
          <w:ilvl w:val="2"/>
          <w:numId w:val="2"/>
        </w:numPr>
        <w:tabs>
          <w:tab w:val="clear" w:pos="720"/>
          <w:tab w:val="left" w:pos="1560" w:leader="none"/>
        </w:tabs>
        <w:jc w:val="both"/>
        <w:rPr>
          <w:rFonts w:ascii="Times New Roman" w:hAnsi="Times New Roman"/>
          <w:szCs w:val="22"/>
        </w:rPr>
      </w:pPr>
      <w:r>
        <w:rPr>
          <w:rFonts w:ascii="Times New Roman" w:hAnsi="Times New Roman"/>
          <w:szCs w:val="22"/>
        </w:rPr>
        <w:t>Statistikos modulis su neribojamu eksportuojamų ataskaitų skaičiumi.</w:t>
      </w:r>
    </w:p>
    <w:p>
      <w:pPr>
        <w:pStyle w:val="Normal"/>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2268" w:leader="none"/>
        </w:tabs>
        <w:jc w:val="both"/>
        <w:rPr>
          <w:rFonts w:ascii="Times New Roman" w:hAnsi="Times New Roman"/>
          <w:b/>
          <w:szCs w:val="22"/>
        </w:rPr>
      </w:pPr>
      <w:r>
        <w:rPr>
          <w:rFonts w:ascii="Times New Roman" w:hAnsi="Times New Roman"/>
          <w:b/>
          <w:szCs w:val="22"/>
        </w:rPr>
        <w:t>Sistemos paskyros</w:t>
      </w:r>
    </w:p>
    <w:p>
      <w:pPr>
        <w:pStyle w:val="Normal"/>
        <w:tabs>
          <w:tab w:val="clear" w:pos="720"/>
          <w:tab w:val="left" w:pos="2268" w:leader="none"/>
        </w:tabs>
        <w:ind w:left="567"/>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2268" w:leader="none"/>
        </w:tabs>
        <w:jc w:val="both"/>
        <w:rPr>
          <w:rFonts w:ascii="Times New Roman" w:hAnsi="Times New Roman"/>
          <w:szCs w:val="22"/>
        </w:rPr>
      </w:pPr>
      <w:r>
        <w:rPr>
          <w:rFonts w:ascii="Times New Roman" w:hAnsi="Times New Roman"/>
          <w:szCs w:val="22"/>
        </w:rPr>
        <w:t>Vieną UŽSAKOVUI priskirtą „NewsPoint“ sistemos paskyrą galima išnaudoti tik paties UŽSAKOVO poreikiams tenkinti. Profiliuose esantys raktažodžiai turi būti glaudžiai susieti su UŽSAKOVO vykdoma veikla ir projektais.</w:t>
      </w:r>
    </w:p>
    <w:p>
      <w:pPr>
        <w:pStyle w:val="Normal"/>
        <w:jc w:val="both"/>
        <w:rPr>
          <w:rFonts w:ascii="Times New Roman" w:hAnsi="Times New Roman"/>
          <w:szCs w:val="22"/>
        </w:rPr>
      </w:pPr>
      <w:r>
        <w:rPr>
          <w:rFonts w:ascii="Times New Roman" w:hAnsi="Times New Roman"/>
          <w:szCs w:val="22"/>
        </w:rPr>
      </w:r>
    </w:p>
    <w:p>
      <w:pPr>
        <w:pStyle w:val="BodyTextIndent2"/>
        <w:numPr>
          <w:ilvl w:val="0"/>
          <w:numId w:val="2"/>
        </w:numPr>
        <w:tabs>
          <w:tab w:val="clear" w:pos="1106"/>
          <w:tab w:val="left" w:pos="1134" w:leader="none"/>
          <w:tab w:val="left" w:pos="1247" w:leader="none"/>
        </w:tabs>
        <w:rPr>
          <w:rFonts w:ascii="Times New Roman" w:hAnsi="Times New Roman"/>
          <w:b/>
          <w:szCs w:val="22"/>
          <w:lang w:val="lt-LT"/>
        </w:rPr>
      </w:pPr>
      <w:r>
        <w:rPr>
          <w:rFonts w:ascii="Times New Roman" w:hAnsi="Times New Roman"/>
          <w:b/>
          <w:szCs w:val="22"/>
          <w:lang w:val="lt-LT"/>
        </w:rPr>
        <w:t>ŠALIŲ įsipareigojimai</w:t>
      </w:r>
    </w:p>
    <w:p>
      <w:pPr>
        <w:pStyle w:val="BodyTextIndent2"/>
        <w:ind w:hanging="0" w:left="0"/>
        <w:rPr>
          <w:rFonts w:ascii="Times New Roman" w:hAnsi="Times New Roman"/>
          <w:szCs w:val="22"/>
          <w:lang w:val="lt-LT"/>
        </w:rPr>
      </w:pPr>
      <w:r>
        <w:rPr>
          <w:rFonts w:ascii="Times New Roman" w:hAnsi="Times New Roman"/>
          <w:szCs w:val="22"/>
          <w:lang w:val="lt-LT"/>
        </w:rPr>
      </w:r>
    </w:p>
    <w:p>
      <w:pPr>
        <w:pStyle w:val="Normal"/>
        <w:numPr>
          <w:ilvl w:val="1"/>
          <w:numId w:val="2"/>
        </w:numPr>
        <w:tabs>
          <w:tab w:val="clear" w:pos="720"/>
          <w:tab w:val="left" w:pos="1134" w:leader="none"/>
          <w:tab w:val="left" w:pos="1247" w:leader="none"/>
        </w:tabs>
        <w:jc w:val="both"/>
        <w:rPr>
          <w:szCs w:val="22"/>
        </w:rPr>
      </w:pPr>
      <w:r>
        <w:rPr>
          <w:rFonts w:ascii="Times New Roman" w:hAnsi="Times New Roman"/>
          <w:szCs w:val="22"/>
        </w:rPr>
        <w:t>VYKDYTOJAS įsipareigoja išrašyti PVM sąskaitą-faktūrą UŽSAKOVUI paskutinę kiekvieno mėnesio darbo d</w:t>
      </w:r>
      <w:r>
        <w:rPr>
          <w:rFonts w:ascii="Times New Roman" w:hAnsi="Times New Roman"/>
          <w:color w:val="000000"/>
          <w:szCs w:val="22"/>
        </w:rPr>
        <w:t>ieną.</w:t>
      </w:r>
      <w:r>
        <w:rPr>
          <w:szCs w:val="22"/>
        </w:rPr>
        <w:t xml:space="preserve"> </w:t>
      </w:r>
    </w:p>
    <w:p>
      <w:pPr>
        <w:pStyle w:val="ListParagraph"/>
        <w:numPr>
          <w:ilvl w:val="1"/>
          <w:numId w:val="2"/>
        </w:numPr>
        <w:jc w:val="both"/>
        <w:rPr>
          <w:rFonts w:ascii="Times New Roman" w:hAnsi="Times New Roman"/>
          <w:color w:val="000000"/>
          <w:szCs w:val="22"/>
        </w:rPr>
      </w:pPr>
      <w:r>
        <w:rPr>
          <w:rFonts w:ascii="Times New Roman" w:hAnsi="Times New Roman"/>
          <w:color w:val="000000"/>
          <w:szCs w:val="22"/>
        </w:rPr>
        <w:t xml:space="preserve">Sąskaita faktūra turi būti pateikiama per Sąskaitų administravimo bendrąją informacinę sistemą, </w:t>
      </w:r>
      <w:hyperlink r:id="rId2">
        <w:r>
          <w:rPr>
            <w:rStyle w:val="Hyperlink"/>
            <w:rFonts w:ascii="Times New Roman" w:hAnsi="Times New Roman"/>
            <w:szCs w:val="22"/>
          </w:rPr>
          <w:t>https://sabis.nbfc.lt/</w:t>
        </w:r>
      </w:hyperlink>
      <w:r>
        <w:rPr>
          <w:rFonts w:ascii="Times New Roman" w:hAnsi="Times New Roman"/>
          <w:color w:val="000000"/>
          <w:szCs w:val="22"/>
        </w:rPr>
        <w:t xml:space="preserve"> </w:t>
      </w:r>
      <w:r>
        <w:rPr>
          <w:rFonts w:ascii="Times New Roman" w:hAnsi="Times New Roman"/>
          <w:color w:val="000000"/>
          <w:szCs w:val="22"/>
          <w:lang w:eastAsia="en-US"/>
        </w:rPr>
        <w:t>pateikiama</w:t>
      </w:r>
      <w:r>
        <w:rPr>
          <w:rFonts w:ascii="Times New Roman" w:hAnsi="Times New Roman"/>
          <w:color w:val="C9211E"/>
          <w:szCs w:val="22"/>
        </w:rPr>
        <w:t xml:space="preserve"> </w:t>
      </w:r>
      <w:r>
        <w:rPr>
          <w:rFonts w:ascii="Times New Roman" w:hAnsi="Times New Roman"/>
          <w:color w:val="000000"/>
          <w:szCs w:val="22"/>
        </w:rPr>
        <w:t>iki kito mėnesio 7 d. imtinai.</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 xml:space="preserve">UŽSAKOVAS įsipareigoja sumokėti VYKDYTOJUI už suteiktas paslaugas per 30 (trisdešimt) dienų po PVM sąskaitos-faktūros gavimo. </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UŽSAKOVAS įsipareigoja neperduoti prisijungimo prie NewsPoint sistemos duomenų trečiosioms šalims ir naudoti sistemos teikiamus duomenis tik savo reikmėms.</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VYKDYTOJAS įsipareigoja nuolat užtikrinti tinkamą NewsPoint sistemos veikimą, o bet kuriuos paaiškėjusius gedimus ir/ar sutrikimus pašalinti per tam objektyviai būtiną trumpiausią laikotarpį.</w:t>
      </w:r>
    </w:p>
    <w:p>
      <w:pPr>
        <w:pStyle w:val="Normal"/>
        <w:tabs>
          <w:tab w:val="clear" w:pos="720"/>
          <w:tab w:val="left" w:pos="680" w:leader="none"/>
        </w:tabs>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ŠALIŲ atsakomybė</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 xml:space="preserve">Jeigu UŽSAKOVAS vėluoja apmokėti pagal nustatytus terminus, moka 0,02 proc. delspinigius nuo neapmokėtos sumos už kiekvieną vėlavimo dieną. </w:t>
      </w:r>
    </w:p>
    <w:p>
      <w:pPr>
        <w:pStyle w:val="Normal"/>
        <w:numPr>
          <w:ilvl w:val="1"/>
          <w:numId w:val="2"/>
        </w:numPr>
        <w:tabs>
          <w:tab w:val="clear" w:pos="720"/>
          <w:tab w:val="left" w:pos="567" w:leader="none"/>
          <w:tab w:val="left" w:pos="680" w:leader="none"/>
        </w:tabs>
        <w:jc w:val="both"/>
        <w:rPr>
          <w:rFonts w:ascii="Times New Roman" w:hAnsi="Times New Roman"/>
          <w:szCs w:val="22"/>
        </w:rPr>
      </w:pPr>
      <w:r>
        <w:rPr>
          <w:rFonts w:ascii="Times New Roman" w:hAnsi="Times New Roman"/>
          <w:szCs w:val="22"/>
        </w:rPr>
        <w:t>Jeigu VYKDYTOJAS vėluoja atlikti numatytus darbus, VYKDYTOJAS, UŽSAKOVUI pareikalavus, įsipareigoja UŽSAKOVUI mokėti 0,02 proc. delspinigius už kiekvieną vėlavimo dieną.</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dėl NewsPoint sistemos sutrikimų UŽSAKOVAS negali naudotis sistema ilgiau nei 8 valandas  iš eilės, arba jei tokie sutrikimai bendrai trunka daugiau nei 24 valandas per vieną mėnesį, UŽSAKOVUI nustatytas mėnesinis mokestis mažinamas proporcingai laikui, kol UŽSAKOVAS dėl sutrikimų negalėjo naudotis NewsPoint sistema.</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viena iš ŠALIŲ nevykdo arba netinkamai vykdo savo įsipareigojimus ir per kitos ŠALIES nustatytą protingą terminą pažeidimų nepašalina, kita ŠALIS turi teisę vienašališkai ne teismo tvarka nutraukti sutartį, įspėdama apie tai prieš 30 dienų.</w:t>
      </w:r>
    </w:p>
    <w:p>
      <w:pPr>
        <w:pStyle w:val="Normal"/>
        <w:tabs>
          <w:tab w:val="clear" w:pos="720"/>
          <w:tab w:val="left" w:pos="1106" w:leader="none"/>
        </w:tabs>
        <w:ind w:hanging="426" w:left="426"/>
        <w:jc w:val="both"/>
        <w:rPr>
          <w:rFonts w:ascii="Times New Roman" w:hAnsi="Times New Roman"/>
          <w:szCs w:val="22"/>
        </w:rPr>
      </w:pPr>
      <w:r>
        <w:rPr>
          <w:rFonts w:ascii="Times New Roman" w:hAnsi="Times New Roman"/>
          <w:szCs w:val="22"/>
        </w:rPr>
      </w:r>
    </w:p>
    <w:p>
      <w:pPr>
        <w:pStyle w:val="BodyTextIndent2"/>
        <w:numPr>
          <w:ilvl w:val="0"/>
          <w:numId w:val="2"/>
        </w:numPr>
        <w:tabs>
          <w:tab w:val="clear" w:pos="1106"/>
          <w:tab w:val="left" w:pos="1134" w:leader="none"/>
          <w:tab w:val="left" w:pos="1247" w:leader="none"/>
        </w:tabs>
        <w:rPr>
          <w:rFonts w:ascii="Times New Roman" w:hAnsi="Times New Roman"/>
          <w:b/>
          <w:szCs w:val="22"/>
          <w:lang w:val="lt-LT"/>
        </w:rPr>
      </w:pPr>
      <w:r>
        <w:rPr>
          <w:rFonts w:ascii="Times New Roman" w:hAnsi="Times New Roman"/>
          <w:b/>
          <w:szCs w:val="22"/>
          <w:lang w:val="lt-LT"/>
        </w:rPr>
        <w:t>Ginčų sprendimo tvarka</w:t>
      </w:r>
    </w:p>
    <w:p>
      <w:pPr>
        <w:pStyle w:val="BodyTextIndent2"/>
        <w:ind w:hanging="0" w:left="0"/>
        <w:rPr>
          <w:rFonts w:ascii="Times New Roman" w:hAnsi="Times New Roman"/>
          <w:b/>
          <w:szCs w:val="22"/>
          <w:lang w:val="lt-LT"/>
        </w:rPr>
      </w:pPr>
      <w:r>
        <w:rPr>
          <w:rFonts w:ascii="Times New Roman" w:hAnsi="Times New Roman"/>
          <w:b/>
          <w:szCs w:val="22"/>
          <w:lang w:val="lt-LT"/>
        </w:rPr>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Visi ginčai tarp ŠALIŲ dėl šios sutarties vykdymo sprendžiami ŠALIŲ susitarimu. ŠALIMS nesutarus, ginčas nagrinėjamas teisme pagal Lietuvos Respublikos įstatymus.</w:t>
      </w:r>
    </w:p>
    <w:p>
      <w:pPr>
        <w:pStyle w:val="BodyTextIndent2"/>
        <w:ind w:hanging="0" w:left="0"/>
        <w:rPr>
          <w:rFonts w:ascii="Times New Roman" w:hAnsi="Times New Roman"/>
          <w:szCs w:val="22"/>
          <w:lang w:val="lt-LT"/>
        </w:rPr>
      </w:pPr>
      <w:r>
        <w:rPr>
          <w:rFonts w:ascii="Times New Roman" w:hAnsi="Times New Roman"/>
          <w:szCs w:val="22"/>
          <w:lang w:val="lt-LT"/>
        </w:rPr>
        <w:t xml:space="preserve"> </w:t>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Nenugalima jėga (Force Majeure)</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 xml:space="preserve">Sutarties ŠALYS atleidžiamos nuo atsakomybės esant nenugalimos jėgos aplinkybėms, kaip numatyta Atleidimo nuo atsakomybės esant nenugalimos jėgos (Force Majeure) aplinkybėms taisyklėse, patvirtintose Lietuvos Respublikos Vyriausybės. </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Atsiradus tokioms aplinkybėms prašanti atleisti nuo atsakomybės ŠALIS privalo nedelsdama pranešti apie tai kitai sutarties ŠALIAI, kitaip ji neatleidžiama nuo atsakomybės.</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nenugalimos jėgos aplinkybės tęsiasi ilgiau nei 3 mėnesius, sutartis gali būti nutraukiama vienos iš ŠALIŲ iniciatyva, apie tai pranešus raštu kitai ŠALIAI.</w:t>
      </w:r>
    </w:p>
    <w:p>
      <w:pPr>
        <w:pStyle w:val="Normal"/>
        <w:tabs>
          <w:tab w:val="clear" w:pos="720"/>
          <w:tab w:val="left" w:pos="680" w:leader="none"/>
        </w:tabs>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Sutarties galiojimas ir kitos sąlygos</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Ši Sutartis įsigalioja nuo jos pasirašymo dienos ir galioja iki jos nutraukimo, bet ne anksčiau kaip iki 2026 m. balandžio 1 d.</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Nei viena iš ŠALIŲ negali perduoti savo įsipareigojimų tretiems asmenims be raštiško kitos ŠALIES sutikimo.</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Sutartis gali būti nutraukta:</w:t>
      </w:r>
    </w:p>
    <w:p>
      <w:pPr>
        <w:pStyle w:val="Normal"/>
        <w:numPr>
          <w:ilvl w:val="2"/>
          <w:numId w:val="2"/>
        </w:numPr>
        <w:tabs>
          <w:tab w:val="clear" w:pos="720"/>
          <w:tab w:val="left" w:pos="1287" w:leader="none"/>
          <w:tab w:val="left" w:pos="1400" w:leader="none"/>
        </w:tabs>
        <w:jc w:val="both"/>
        <w:rPr>
          <w:rFonts w:ascii="Times New Roman" w:hAnsi="Times New Roman"/>
          <w:szCs w:val="22"/>
        </w:rPr>
      </w:pPr>
      <w:r>
        <w:rPr>
          <w:rFonts w:ascii="Times New Roman" w:hAnsi="Times New Roman"/>
          <w:szCs w:val="22"/>
        </w:rPr>
        <w:t>ŠALIŲ susitarimu;</w:t>
      </w:r>
    </w:p>
    <w:p>
      <w:pPr>
        <w:pStyle w:val="Normal"/>
        <w:numPr>
          <w:ilvl w:val="2"/>
          <w:numId w:val="2"/>
        </w:numPr>
        <w:tabs>
          <w:tab w:val="clear" w:pos="720"/>
          <w:tab w:val="left" w:pos="1287" w:leader="none"/>
          <w:tab w:val="left" w:pos="1400" w:leader="none"/>
        </w:tabs>
        <w:jc w:val="both"/>
        <w:rPr>
          <w:rFonts w:ascii="Times New Roman" w:hAnsi="Times New Roman"/>
          <w:szCs w:val="22"/>
        </w:rPr>
      </w:pPr>
      <w:r>
        <w:rPr>
          <w:rFonts w:ascii="Times New Roman" w:hAnsi="Times New Roman"/>
          <w:szCs w:val="22"/>
        </w:rPr>
        <w:t>vienašališkai, sutarties 5.4 punkte nustatytais pagrindais ir tvarka;</w:t>
      </w:r>
    </w:p>
    <w:p>
      <w:pPr>
        <w:pStyle w:val="Normal"/>
        <w:numPr>
          <w:ilvl w:val="1"/>
          <w:numId w:val="2"/>
        </w:numPr>
        <w:tabs>
          <w:tab w:val="clear" w:pos="720"/>
          <w:tab w:val="left" w:pos="1134" w:leader="none"/>
          <w:tab w:val="left" w:pos="1247" w:leader="none"/>
        </w:tabs>
        <w:jc w:val="both"/>
        <w:rPr>
          <w:color w:val="000000"/>
        </w:rPr>
      </w:pPr>
      <w:r>
        <w:rPr>
          <w:rFonts w:ascii="Times New Roman" w:hAnsi="Times New Roman"/>
          <w:color w:val="000000"/>
          <w:szCs w:val="22"/>
        </w:rPr>
        <w:t>Sutartis gali būti keičiama Lietuvos Respublikos viešųjų pirkimų įstatymo 89 straipsnyje nustatyta tvarka. Visi sutarties pakeitimai gali būti daromi tik raštišku ŠALIŲ susitarimu ir yra neatskiriami šios sutarties priedai.</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Sutartis pasirašyta dviem egzemplioriais, turinčiais vienodą juridinę galią, po vieną UŽSAKOVUI ir VYKDYTOJUI.</w:t>
      </w:r>
    </w:p>
    <w:p>
      <w:pPr>
        <w:pStyle w:val="Heading1"/>
        <w:numPr>
          <w:ilvl w:val="0"/>
          <w:numId w:val="1"/>
        </w:numPr>
        <w:tabs>
          <w:tab w:val="left" w:pos="720" w:leader="none"/>
          <w:tab w:val="left" w:pos="1040" w:leader="none"/>
        </w:tabs>
        <w:ind w:left="360"/>
        <w:rPr>
          <w:rFonts w:ascii="Times New Roman" w:hAnsi="Times New Roman"/>
          <w:b w:val="false"/>
          <w:szCs w:val="22"/>
        </w:rPr>
      </w:pPr>
      <w:r>
        <w:rPr>
          <w:rFonts w:ascii="Times New Roman" w:hAnsi="Times New Roman"/>
          <w:b w:val="false"/>
          <w:szCs w:val="22"/>
        </w:rPr>
      </w:r>
    </w:p>
    <w:p>
      <w:pPr>
        <w:pStyle w:val="Normal"/>
        <w:rPr>
          <w:rFonts w:ascii="Times New Roman" w:hAnsi="Times New Roman"/>
          <w:szCs w:val="22"/>
        </w:rPr>
      </w:pPr>
      <w:r>
        <w:rPr>
          <w:rFonts w:ascii="Times New Roman" w:hAnsi="Times New Roman"/>
          <w:szCs w:val="22"/>
        </w:rPr>
      </w:r>
    </w:p>
    <w:tbl>
      <w:tblPr>
        <w:tblW w:w="9480" w:type="dxa"/>
        <w:jc w:val="left"/>
        <w:tblInd w:w="369" w:type="dxa"/>
        <w:tblLayout w:type="fixed"/>
        <w:tblCellMar>
          <w:top w:w="0" w:type="dxa"/>
          <w:left w:w="108" w:type="dxa"/>
          <w:bottom w:w="0" w:type="dxa"/>
          <w:right w:w="108" w:type="dxa"/>
        </w:tblCellMar>
        <w:tblLook w:firstRow="0" w:noVBand="0" w:lastRow="0" w:firstColumn="0" w:lastColumn="0" w:noHBand="0" w:val="0000"/>
      </w:tblPr>
      <w:tblGrid>
        <w:gridCol w:w="4528"/>
        <w:gridCol w:w="4951"/>
      </w:tblGrid>
      <w:tr>
        <w:trPr/>
        <w:tc>
          <w:tcPr>
            <w:tcW w:w="4528" w:type="dxa"/>
            <w:tcBorders/>
          </w:tcPr>
          <w:p>
            <w:pPr>
              <w:pStyle w:val="Normal"/>
              <w:tabs>
                <w:tab w:val="clear" w:pos="720"/>
                <w:tab w:val="left" w:pos="680" w:leader="none"/>
              </w:tabs>
              <w:snapToGrid w:val="false"/>
              <w:jc w:val="both"/>
              <w:rPr>
                <w:rFonts w:ascii="Times New Roman" w:hAnsi="Times New Roman"/>
                <w:b/>
                <w:szCs w:val="22"/>
              </w:rPr>
            </w:pPr>
            <w:r>
              <w:rPr>
                <w:rFonts w:ascii="Times New Roman" w:hAnsi="Times New Roman"/>
                <w:b/>
                <w:szCs w:val="22"/>
              </w:rPr>
              <w:t xml:space="preserve">UŽSAKOVO adresas ir rekvizitai </w:t>
            </w:r>
          </w:p>
          <w:p>
            <w:pPr>
              <w:pStyle w:val="Normal"/>
              <w:tabs>
                <w:tab w:val="clear" w:pos="720"/>
                <w:tab w:val="left" w:pos="680" w:leader="none"/>
              </w:tabs>
              <w:snapToGrid w:val="false"/>
              <w:jc w:val="both"/>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bCs/>
                <w:szCs w:val="22"/>
              </w:rPr>
              <w:t>Vyriausioji tarnybinės etikos komisija</w:t>
              <w:br/>
              <w:t>A. Goštauto g. 9-101, LT-01108 Vilnius</w:t>
            </w:r>
          </w:p>
          <w:p>
            <w:pPr>
              <w:pStyle w:val="BodyText"/>
              <w:rPr>
                <w:rFonts w:ascii="Times New Roman" w:hAnsi="Times New Roman"/>
                <w:bCs/>
                <w:szCs w:val="22"/>
                <w:lang w:val="en-US"/>
              </w:rPr>
            </w:pPr>
            <w:r>
              <w:rPr>
                <w:rFonts w:ascii="Times New Roman" w:hAnsi="Times New Roman"/>
                <w:bCs/>
                <w:szCs w:val="22"/>
                <w:lang w:val="lt-LT"/>
              </w:rPr>
              <w:t xml:space="preserve">Įmonės kodas: </w:t>
            </w:r>
            <w:r>
              <w:rPr>
                <w:rFonts w:ascii="Times New Roman" w:hAnsi="Times New Roman"/>
                <w:bCs/>
                <w:szCs w:val="22"/>
                <w:lang w:val="en-US"/>
              </w:rPr>
              <w:t>188736355</w:t>
            </w:r>
          </w:p>
          <w:p>
            <w:pPr>
              <w:pStyle w:val="Normal"/>
              <w:suppressAutoHyphens w:val="false"/>
              <w:rPr>
                <w:rFonts w:ascii="Times New Roman" w:hAnsi="Times New Roman"/>
              </w:rPr>
            </w:pPr>
            <w:r>
              <w:rPr>
                <w:rFonts w:ascii="Times New Roman" w:hAnsi="Times New Roman"/>
              </w:rPr>
              <w:t>Tel. 8 5 2124396</w:t>
            </w:r>
          </w:p>
          <w:p>
            <w:pPr>
              <w:pStyle w:val="Normal"/>
              <w:suppressAutoHyphens w:val="false"/>
              <w:rPr>
                <w:rFonts w:ascii="Times New Roman" w:hAnsi="Times New Roman"/>
              </w:rPr>
            </w:pPr>
            <w:r>
              <w:rPr>
                <w:rFonts w:ascii="Times New Roman" w:hAnsi="Times New Roman"/>
              </w:rPr>
              <w:t xml:space="preserve">El. p. vtek@vtek.lt </w:t>
            </w:r>
          </w:p>
          <w:p>
            <w:pPr>
              <w:pStyle w:val="BodyText"/>
              <w:rPr>
                <w:rFonts w:ascii="Times New Roman" w:hAnsi="Times New Roman"/>
                <w:szCs w:val="22"/>
                <w:lang w:val="lt-LT"/>
              </w:rPr>
            </w:pPr>
            <w:r>
              <w:rPr>
                <w:rFonts w:ascii="Times New Roman" w:hAnsi="Times New Roman"/>
                <w:szCs w:val="22"/>
                <w:lang w:val="lt-LT"/>
              </w:rPr>
              <w:t>AB Bankas Swedbank</w:t>
            </w:r>
          </w:p>
          <w:p>
            <w:pPr>
              <w:pStyle w:val="BodyText"/>
              <w:rPr>
                <w:rFonts w:ascii="Times New Roman" w:hAnsi="Times New Roman"/>
                <w:szCs w:val="22"/>
                <w:lang w:val="lt-LT"/>
              </w:rPr>
            </w:pPr>
            <w:r>
              <w:rPr>
                <w:rFonts w:ascii="Times New Roman" w:hAnsi="Times New Roman"/>
                <w:szCs w:val="22"/>
                <w:lang w:val="lt-LT"/>
              </w:rPr>
              <w:t>A/s LT267300010091146802</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____________________________________</w:t>
            </w:r>
          </w:p>
          <w:p>
            <w:pPr>
              <w:pStyle w:val="BodyText"/>
              <w:rPr>
                <w:rFonts w:ascii="Times New Roman" w:hAnsi="Times New Roman"/>
                <w:szCs w:val="22"/>
                <w:lang w:val="lt-LT"/>
              </w:rPr>
            </w:pPr>
            <w:r>
              <w:rPr>
                <w:rFonts w:ascii="Times New Roman" w:hAnsi="Times New Roman"/>
                <w:szCs w:val="22"/>
                <w:lang w:val="lt-LT"/>
              </w:rPr>
            </w:r>
          </w:p>
          <w:p>
            <w:pPr>
              <w:pStyle w:val="Normal"/>
              <w:suppressAutoHyphens w:val="false"/>
              <w:rPr>
                <w:rFonts w:ascii="Times New Roman" w:hAnsi="Times New Roman"/>
              </w:rPr>
            </w:pPr>
            <w:r>
              <w:rPr>
                <w:rFonts w:ascii="Times New Roman" w:hAnsi="Times New Roman"/>
              </w:rPr>
              <w:t>Gediminas Sakalauskas</w:t>
            </w:r>
          </w:p>
          <w:p>
            <w:pPr>
              <w:pStyle w:val="Normal"/>
              <w:suppressAutoHyphens w:val="false"/>
              <w:rPr>
                <w:rFonts w:ascii="Times New Roman" w:hAnsi="Times New Roman"/>
              </w:rPr>
            </w:pPr>
            <w:r>
              <w:rPr>
                <w:rFonts w:ascii="Times New Roman" w:hAnsi="Times New Roman"/>
              </w:rPr>
              <w:t>Komisijos pirmininkas</w:t>
            </w:r>
          </w:p>
          <w:p>
            <w:pPr>
              <w:pStyle w:val="Normal"/>
              <w:suppressAutoHyphens w:val="false"/>
              <w:rPr>
                <w:rFonts w:ascii="Times New Roman" w:hAnsi="Times New Roman"/>
              </w:rPr>
            </w:pPr>
            <w:r>
              <w:rPr>
                <w:rFonts w:ascii="Times New Roman" w:hAnsi="Times New Roman"/>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rPr>
            </w:pPr>
            <w:r>
              <w:rPr>
                <w:rFonts w:ascii="Times New Roman" w:hAnsi="Times New Roman"/>
                <w:szCs w:val="22"/>
              </w:rPr>
            </w:r>
          </w:p>
        </w:tc>
        <w:tc>
          <w:tcPr>
            <w:tcW w:w="4951" w:type="dxa"/>
            <w:tcBorders/>
          </w:tcPr>
          <w:p>
            <w:pPr>
              <w:pStyle w:val="BodyText"/>
              <w:snapToGrid w:val="false"/>
              <w:rPr>
                <w:rFonts w:ascii="Times New Roman" w:hAnsi="Times New Roman"/>
                <w:b/>
                <w:szCs w:val="22"/>
                <w:lang w:val="lt-LT"/>
              </w:rPr>
            </w:pPr>
            <w:r>
              <w:rPr>
                <w:rFonts w:ascii="Times New Roman" w:hAnsi="Times New Roman"/>
                <w:b/>
                <w:szCs w:val="22"/>
                <w:lang w:val="lt-LT"/>
              </w:rPr>
              <w:t>VYKDYTOJO adresas ir rekvizitai</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 xml:space="preserve">UAB </w:t>
            </w:r>
            <w:r>
              <w:rPr>
                <w:rFonts w:ascii="Times New Roman" w:hAnsi="Times New Roman"/>
                <w:bCs/>
                <w:szCs w:val="22"/>
                <w:lang w:val="lt-LT"/>
              </w:rPr>
              <w:t>„</w:t>
            </w:r>
            <w:r>
              <w:rPr>
                <w:rFonts w:ascii="Times New Roman" w:hAnsi="Times New Roman"/>
                <w:szCs w:val="22"/>
                <w:lang w:val="lt-LT"/>
              </w:rPr>
              <w:t>Impartner</w:t>
            </w:r>
            <w:r>
              <w:rPr>
                <w:rFonts w:ascii="Times New Roman" w:hAnsi="Times New Roman"/>
                <w:bCs/>
                <w:szCs w:val="22"/>
                <w:lang w:val="lt-LT"/>
              </w:rPr>
              <w:t>“</w:t>
            </w:r>
          </w:p>
          <w:p>
            <w:pPr>
              <w:pStyle w:val="BodyText"/>
              <w:rPr>
                <w:rFonts w:ascii="Times New Roman" w:hAnsi="Times New Roman"/>
                <w:szCs w:val="22"/>
                <w:lang w:val="lt-LT"/>
              </w:rPr>
            </w:pPr>
            <w:r>
              <w:rPr>
                <w:rFonts w:ascii="Times New Roman" w:hAnsi="Times New Roman"/>
                <w:szCs w:val="22"/>
                <w:lang w:val="lt-LT"/>
              </w:rPr>
              <w:t>Antakalnio g. 17, Vilnius LT-10312</w:t>
            </w:r>
          </w:p>
          <w:p>
            <w:pPr>
              <w:pStyle w:val="BodyText"/>
              <w:rPr>
                <w:rFonts w:ascii="Times New Roman" w:hAnsi="Times New Roman"/>
                <w:szCs w:val="22"/>
                <w:lang w:val="lt-LT"/>
              </w:rPr>
            </w:pPr>
            <w:r>
              <w:rPr>
                <w:rFonts w:ascii="Times New Roman" w:hAnsi="Times New Roman"/>
                <w:szCs w:val="22"/>
                <w:lang w:val="lt-LT"/>
              </w:rPr>
              <w:t>Įmonės kodas: 300058800</w:t>
            </w:r>
          </w:p>
          <w:p>
            <w:pPr>
              <w:pStyle w:val="BodyText"/>
              <w:rPr>
                <w:rFonts w:ascii="Times New Roman" w:hAnsi="Times New Roman"/>
                <w:szCs w:val="22"/>
                <w:lang w:val="lt-LT"/>
              </w:rPr>
            </w:pPr>
            <w:r>
              <w:rPr>
                <w:rFonts w:ascii="Times New Roman" w:hAnsi="Times New Roman"/>
                <w:szCs w:val="22"/>
                <w:lang w:val="lt-LT"/>
              </w:rPr>
              <w:t>PVM mokėtojo kodas: LT100001264219</w:t>
            </w:r>
          </w:p>
          <w:p>
            <w:pPr>
              <w:pStyle w:val="BodyText"/>
              <w:rPr>
                <w:rFonts w:ascii="Times New Roman" w:hAnsi="Times New Roman"/>
                <w:szCs w:val="22"/>
                <w:lang w:val="lt-LT"/>
              </w:rPr>
            </w:pPr>
            <w:r>
              <w:rPr>
                <w:rFonts w:ascii="Times New Roman" w:hAnsi="Times New Roman"/>
                <w:szCs w:val="22"/>
                <w:lang w:val="lt-LT"/>
              </w:rPr>
              <w:t>AB Bankas Swedbank</w:t>
            </w:r>
          </w:p>
          <w:p>
            <w:pPr>
              <w:pStyle w:val="BodyText"/>
              <w:rPr>
                <w:rFonts w:ascii="Times New Roman" w:hAnsi="Times New Roman"/>
                <w:szCs w:val="22"/>
                <w:lang w:val="lt-LT"/>
              </w:rPr>
            </w:pPr>
            <w:r>
              <w:rPr>
                <w:rFonts w:ascii="Times New Roman" w:hAnsi="Times New Roman"/>
                <w:szCs w:val="22"/>
                <w:lang w:val="lt-LT"/>
              </w:rPr>
              <w:t>A/s LT937300010085495637</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____________________________________</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Martynas Keleras</w:t>
            </w:r>
          </w:p>
          <w:p>
            <w:pPr>
              <w:pStyle w:val="BodyText"/>
              <w:rPr>
                <w:rFonts w:ascii="Times New Roman" w:hAnsi="Times New Roman"/>
                <w:szCs w:val="22"/>
                <w:lang w:val="lt-LT"/>
              </w:rPr>
            </w:pPr>
            <w:r>
              <w:rPr>
                <w:rFonts w:ascii="Times New Roman" w:hAnsi="Times New Roman"/>
                <w:szCs w:val="22"/>
                <w:lang w:val="lt-LT"/>
              </w:rPr>
              <w:t>Direktorius</w:t>
            </w:r>
          </w:p>
        </w:tc>
      </w:tr>
    </w:tbl>
    <w:p>
      <w:pPr>
        <w:pStyle w:val="Normal"/>
        <w:tabs>
          <w:tab w:val="clear" w:pos="720"/>
          <w:tab w:val="left" w:pos="680" w:leader="none"/>
        </w:tabs>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rPr>
      </w:r>
    </w:p>
    <w:sectPr>
      <w:footerReference w:type="default" r:id="rId3"/>
      <w:type w:val="nextPage"/>
      <w:pgSz w:w="11906" w:h="16838"/>
      <w:pgMar w:left="1134" w:right="1134" w:gutter="0" w:header="0"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Arial">
    <w:charset w:val="00"/>
    <w:family w:val="roman"/>
    <w:pitch w:val="variable"/>
  </w:font>
  <w:font w:name="Univers Condense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1"/>
      <w:numFmt w:val="decimal"/>
      <w:lvlText w:val="%1."/>
      <w:lvlJc w:val="left"/>
      <w:pPr>
        <w:tabs>
          <w:tab w:val="num" w:pos="567"/>
        </w:tabs>
        <w:ind w:left="567" w:hanging="567"/>
      </w:pPr>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hyphenationZone w:val="396"/>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Garamond" w:hAnsi="Garamond" w:eastAsia="Times New Roman" w:cs="Times New Roman"/>
      <w:color w:val="auto"/>
      <w:kern w:val="0"/>
      <w:sz w:val="22"/>
      <w:szCs w:val="20"/>
      <w:lang w:val="lt-LT" w:eastAsia="ar-SA" w:bidi="ar-SA"/>
    </w:rPr>
  </w:style>
  <w:style w:type="paragraph" w:styleId="Heading1">
    <w:name w:val="Heading 1"/>
    <w:basedOn w:val="Normal"/>
    <w:next w:val="Normal"/>
    <w:qFormat/>
    <w:pPr>
      <w:keepNext w:val="true"/>
      <w:numPr>
        <w:ilvl w:val="0"/>
        <w:numId w:val="1"/>
      </w:numPr>
      <w:tabs>
        <w:tab w:val="clear" w:pos="720"/>
        <w:tab w:val="left" w:pos="1040" w:leader="none"/>
      </w:tabs>
      <w:ind w:left="360"/>
      <w:jc w:val="both"/>
      <w:outlineLvl w:val="0"/>
    </w:pPr>
    <w:rPr>
      <w:b/>
      <w:bCs/>
    </w:rPr>
  </w:style>
  <w:style w:type="paragraph" w:styleId="Heading4">
    <w:name w:val="Heading 4"/>
    <w:basedOn w:val="Normal"/>
    <w:next w:val="Normal"/>
    <w:qFormat/>
    <w:pPr>
      <w:keepNext w:val="true"/>
      <w:pageBreakBefore/>
      <w:numPr>
        <w:ilvl w:val="3"/>
        <w:numId w:val="1"/>
      </w:numPr>
      <w:tabs>
        <w:tab w:val="clear" w:pos="720"/>
        <w:tab w:val="left" w:pos="680" w:leader="none"/>
      </w:tabs>
      <w:jc w:val="both"/>
      <w:outlineLvl w:val="3"/>
    </w:pPr>
    <w:rPr>
      <w:b/>
      <w:u w:val="single"/>
      <w:lang w:val="en-GB"/>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8Num12z0" w:customStyle="1">
    <w:name w:val="WW8Num12z0"/>
    <w:qFormat/>
    <w:rPr>
      <w:rFonts w:ascii="Symbol" w:hAnsi="Symbol"/>
    </w:rPr>
  </w:style>
  <w:style w:type="character" w:styleId="WW8Num12z2" w:customStyle="1">
    <w:name w:val="WW8Num12z2"/>
    <w:qFormat/>
    <w:rPr>
      <w:rFonts w:ascii="Wingdings" w:hAnsi="Wingdings"/>
    </w:rPr>
  </w:style>
  <w:style w:type="character" w:styleId="WW8Num12z4" w:customStyle="1">
    <w:name w:val="WW8Num12z4"/>
    <w:qFormat/>
    <w:rPr>
      <w:rFonts w:ascii="Courier New" w:hAnsi="Courier New" w:cs="Courier New"/>
    </w:rPr>
  </w:style>
  <w:style w:type="character" w:styleId="WW8Num16z0" w:customStyle="1">
    <w:name w:val="WW8Num16z0"/>
    <w:qFormat/>
    <w:rPr>
      <w:rFonts w:ascii="Symbol" w:hAnsi="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rPr>
  </w:style>
  <w:style w:type="character" w:styleId="WW8Num23z0" w:customStyle="1">
    <w:name w:val="WW8Num23z0"/>
    <w:qFormat/>
    <w:rPr>
      <w:rFonts w:ascii="Wingdings" w:hAnsi="Wingdings"/>
    </w:rPr>
  </w:style>
  <w:style w:type="character" w:styleId="WW-DefaultParagraphFont" w:customStyle="1">
    <w:name w:val="WW-Default Paragraph Font"/>
    <w:qFormat/>
    <w:rPr/>
  </w:style>
  <w:style w:type="character" w:styleId="Pagenumber">
    <w:name w:val="page number"/>
    <w:basedOn w:val="WW-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CommentTextChar" w:customStyle="1">
    <w:name w:val="Comment Text Char"/>
    <w:qFormat/>
    <w:rPr>
      <w:rFonts w:ascii="Garamond" w:hAnsi="Garamond"/>
    </w:rPr>
  </w:style>
  <w:style w:type="character" w:styleId="CommentSubjectChar" w:customStyle="1">
    <w:name w:val="Comment Subject Char"/>
    <w:qFormat/>
    <w:rPr>
      <w:rFonts w:ascii="Garamond" w:hAnsi="Garamond"/>
      <w:b/>
      <w:bCs/>
    </w:rPr>
  </w:style>
  <w:style w:type="character" w:styleId="BalloonTextChar" w:customStyle="1">
    <w:name w:val="Balloon Text Char"/>
    <w:qFormat/>
    <w:rPr>
      <w:rFonts w:ascii="Tahoma" w:hAnsi="Tahoma" w:cs="Tahoma"/>
      <w:sz w:val="16"/>
      <w:szCs w:val="16"/>
    </w:rPr>
  </w:style>
  <w:style w:type="character" w:styleId="UnresolvedMention">
    <w:name w:val="Unresolved Mention"/>
    <w:basedOn w:val="DefaultParagraphFont"/>
    <w:uiPriority w:val="99"/>
    <w:semiHidden/>
    <w:unhideWhenUsed/>
    <w:qFormat/>
    <w:rsid w:val="00745398"/>
    <w:rPr>
      <w:color w:val="605E5C"/>
      <w:shd w:fill="E1DFDD" w:val="clear"/>
    </w:rPr>
  </w:style>
  <w:style w:type="paragraph" w:styleId="Heading" w:customStyle="1">
    <w:name w:val="Heading"/>
    <w:basedOn w:val="Normal"/>
    <w:next w:val="BodyText"/>
    <w:qFormat/>
    <w:pPr>
      <w:keepNext w:val="true"/>
      <w:spacing w:before="240" w:after="120"/>
    </w:pPr>
    <w:rPr>
      <w:rFonts w:ascii="Arial" w:hAnsi="Arial" w:eastAsia="Arial Unicode MS" w:cs="Tahoma"/>
      <w:sz w:val="28"/>
      <w:szCs w:val="28"/>
    </w:rPr>
  </w:style>
  <w:style w:type="paragraph" w:styleId="BodyText">
    <w:name w:val="Body Text"/>
    <w:basedOn w:val="Normal"/>
    <w:pPr>
      <w:tabs>
        <w:tab w:val="clear" w:pos="720"/>
        <w:tab w:val="left" w:pos="680" w:leader="none"/>
      </w:tabs>
      <w:jc w:val="both"/>
    </w:pPr>
    <w:rPr>
      <w:lang w:val="en-GB"/>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Tahoma"/>
      <w:i/>
      <w:iCs/>
      <w:sz w:val="24"/>
      <w:szCs w:val="24"/>
    </w:rPr>
  </w:style>
  <w:style w:type="paragraph" w:styleId="HeaderandFooter" w:customStyle="1">
    <w:name w:val="Header and Footer"/>
    <w:basedOn w:val="Normal"/>
    <w:qFormat/>
    <w:pPr/>
    <w:rPr/>
  </w:style>
  <w:style w:type="paragraph" w:styleId="Footer">
    <w:name w:val="Footer"/>
    <w:basedOn w:val="Normal"/>
    <w:pPr>
      <w:tabs>
        <w:tab w:val="clear" w:pos="720"/>
        <w:tab w:val="center" w:pos="4320" w:leader="none"/>
        <w:tab w:val="right" w:pos="8640" w:leader="none"/>
      </w:tabs>
    </w:pPr>
    <w:rPr>
      <w:rFonts w:ascii="Times New Roman" w:hAnsi="Times New Roman"/>
      <w:sz w:val="24"/>
      <w:lang w:val="en-GB"/>
    </w:rPr>
  </w:style>
  <w:style w:type="paragraph" w:styleId="BodyTextIndent">
    <w:name w:val="Body Text Indent"/>
    <w:basedOn w:val="Normal"/>
    <w:pPr>
      <w:tabs>
        <w:tab w:val="clear" w:pos="720"/>
        <w:tab w:val="left" w:pos="1106" w:leader="none"/>
      </w:tabs>
      <w:ind w:hanging="426" w:left="426"/>
      <w:jc w:val="both"/>
    </w:pPr>
    <w:rPr>
      <w:rFonts w:ascii="Univers Condensed" w:hAnsi="Univers Condensed"/>
      <w:sz w:val="26"/>
      <w:lang w:val="en-GB"/>
    </w:rPr>
  </w:style>
  <w:style w:type="paragraph" w:styleId="BodyTextIndent2">
    <w:name w:val="Body Text Indent 2"/>
    <w:basedOn w:val="Normal"/>
    <w:qFormat/>
    <w:pPr>
      <w:tabs>
        <w:tab w:val="clear" w:pos="720"/>
        <w:tab w:val="left" w:pos="1106" w:leader="none"/>
      </w:tabs>
      <w:ind w:hanging="426" w:left="426"/>
      <w:jc w:val="both"/>
    </w:pPr>
    <w:rPr>
      <w:lang w:val="en-GB"/>
    </w:rPr>
  </w:style>
  <w:style w:type="paragraph" w:styleId="BodyTextIndent3">
    <w:name w:val="Body Text Indent 3"/>
    <w:basedOn w:val="Normal"/>
    <w:qFormat/>
    <w:pPr>
      <w:tabs>
        <w:tab w:val="clear" w:pos="720"/>
        <w:tab w:val="left" w:pos="746" w:leader="none"/>
      </w:tabs>
      <w:ind w:left="66"/>
    </w:pPr>
    <w:rPr/>
  </w:style>
  <w:style w:type="paragraph" w:styleId="Header">
    <w:name w:val="Header"/>
    <w:basedOn w:val="Normal"/>
    <w:pPr>
      <w:tabs>
        <w:tab w:val="clear" w:pos="720"/>
        <w:tab w:val="center" w:pos="4819" w:leader="none"/>
        <w:tab w:val="right" w:pos="9638" w:leader="none"/>
      </w:tabs>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uiPriority w:val="34"/>
    <w:qFormat/>
    <w:rsid w:val="00745398"/>
    <w:pPr>
      <w:spacing w:before="0" w:after="0"/>
      <w:ind w:left="72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bis.nbfc.l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LibreOffice/7.6.4.1$Windows_X86_64 LibreOffice_project/e19e193f88cd6c0525a17fb7a176ed8e6a3e2aa1</Application>
  <AppVersion>15.0000</AppVersion>
  <Pages>2</Pages>
  <Words>710</Words>
  <Characters>5004</Characters>
  <CharactersWithSpaces>5632</CharactersWithSpaces>
  <Paragraphs>62</Paragraphs>
  <Company>RK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2025-03-03T07:54:00Z</dcterms:created>
  <dc:creator>IMP</dc:creator>
  <dc:description/>
  <dc:language>en-US</dc:language>
  <cp:lastModifiedBy/>
  <cp:lastPrinted>2020-09-21T12:29:00Z</cp:lastPrinted>
  <dcterms:modified xsi:type="dcterms:W3CDTF">2025-04-01T13:19:50Z</dcterms:modified>
  <cp:revision>4</cp:revision>
  <dc:subject/>
  <dc:title>Sutartis</dc:title>
</cp:coreProperties>
</file>

<file path=docProps/custom.xml><?xml version="1.0" encoding="utf-8"?>
<Properties xmlns="http://schemas.openxmlformats.org/officeDocument/2006/custom-properties" xmlns:vt="http://schemas.openxmlformats.org/officeDocument/2006/docPropsVTypes"/>
</file>