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AB78" w14:textId="77777777" w:rsidR="003E65C6" w:rsidRPr="0099789C" w:rsidRDefault="003E65C6" w:rsidP="003E65C6">
      <w:pPr>
        <w:keepNext/>
        <w:jc w:val="center"/>
        <w:rPr>
          <w:b/>
          <w:bCs/>
        </w:rPr>
      </w:pPr>
      <w:r>
        <w:rPr>
          <w:b/>
          <w:bCs/>
          <w:lang w:val="lt-LT"/>
        </w:rPr>
        <w:t xml:space="preserve">SUSITARIMAS DĖL </w:t>
      </w:r>
      <w:r w:rsidRPr="00D6797B">
        <w:rPr>
          <w:b/>
          <w:bCs/>
          <w:lang w:val="lt-LT"/>
        </w:rPr>
        <w:t>PERSONALO VALDYMO SISTEMOS VYSTYMO IR PALAIKYMO PASLAUGŲ</w:t>
      </w:r>
      <w:r>
        <w:rPr>
          <w:b/>
          <w:bCs/>
        </w:rPr>
        <w:t xml:space="preserve"> </w:t>
      </w:r>
      <w:r w:rsidRPr="00D6797B">
        <w:rPr>
          <w:b/>
          <w:bCs/>
          <w:lang w:val="lt-LT"/>
        </w:rPr>
        <w:t>TEIKIMO SUTARTIES</w:t>
      </w:r>
      <w:r w:rsidRPr="37CC2780">
        <w:rPr>
          <w:b/>
          <w:bCs/>
          <w:caps/>
          <w:lang w:val="lt-LT"/>
        </w:rPr>
        <w:t xml:space="preserve"> NR. 2024/4-1-283 PAKEITIM</w:t>
      </w:r>
      <w:r>
        <w:rPr>
          <w:b/>
          <w:bCs/>
          <w:caps/>
          <w:lang w:val="lt-LT"/>
        </w:rPr>
        <w:t xml:space="preserve">O </w:t>
      </w:r>
    </w:p>
    <w:p w14:paraId="6D9F067D" w14:textId="77777777" w:rsidR="003E65C6" w:rsidRPr="0009417C" w:rsidRDefault="003E65C6" w:rsidP="003E65C6">
      <w:pPr>
        <w:keepNext/>
        <w:jc w:val="center"/>
        <w:rPr>
          <w:sz w:val="16"/>
          <w:szCs w:val="16"/>
          <w:lang w:val="lt-LT"/>
        </w:rPr>
      </w:pPr>
    </w:p>
    <w:p w14:paraId="08C8E678" w14:textId="77777777" w:rsidR="003E65C6" w:rsidRPr="0009417C" w:rsidRDefault="003E65C6" w:rsidP="003E65C6">
      <w:pPr>
        <w:keepNext/>
        <w:spacing w:after="120"/>
        <w:jc w:val="center"/>
        <w:rPr>
          <w:lang w:val="lt-LT"/>
        </w:rPr>
      </w:pPr>
      <w:r w:rsidRPr="37CC2780">
        <w:rPr>
          <w:lang w:val="lt-LT"/>
        </w:rPr>
        <w:t>2025 m.</w:t>
      </w:r>
      <w:r>
        <w:rPr>
          <w:lang w:val="lt-LT"/>
        </w:rPr>
        <w:t xml:space="preserve"> kovo       </w:t>
      </w:r>
      <w:r w:rsidRPr="37CC2780">
        <w:rPr>
          <w:lang w:val="lt-LT"/>
        </w:rPr>
        <w:t>d. Nr.</w:t>
      </w:r>
    </w:p>
    <w:p w14:paraId="1E3E4337" w14:textId="77777777" w:rsidR="003E65C6" w:rsidRPr="0009417C" w:rsidRDefault="003E65C6" w:rsidP="003E65C6">
      <w:pPr>
        <w:keepNext/>
        <w:spacing w:after="120"/>
        <w:jc w:val="center"/>
        <w:rPr>
          <w:lang w:val="lt-LT"/>
        </w:rPr>
      </w:pPr>
      <w:r w:rsidRPr="0009417C">
        <w:rPr>
          <w:lang w:val="lt-LT"/>
        </w:rPr>
        <w:t>Vilnius</w:t>
      </w:r>
    </w:p>
    <w:p w14:paraId="55A5629B" w14:textId="38703EFB" w:rsidR="003E65C6" w:rsidRPr="009E5826" w:rsidRDefault="003E65C6" w:rsidP="003E65C6">
      <w:pPr>
        <w:autoSpaceDE w:val="0"/>
        <w:autoSpaceDN w:val="0"/>
        <w:ind w:firstLine="567"/>
        <w:jc w:val="both"/>
        <w:rPr>
          <w:rFonts w:ascii="Calibri" w:hAnsi="Calibri"/>
          <w:sz w:val="23"/>
          <w:szCs w:val="23"/>
          <w:lang w:val="lt-LT"/>
        </w:rPr>
      </w:pPr>
      <w:r w:rsidRPr="009E5826">
        <w:rPr>
          <w:rStyle w:val="BodytextBold3"/>
          <w:rFonts w:eastAsiaTheme="majorEastAsia"/>
          <w:sz w:val="23"/>
          <w:szCs w:val="23"/>
          <w:lang w:val="lt-LT"/>
        </w:rPr>
        <w:t>Viešoji įstaiga Centrinė projektų valdymo agentūra,</w:t>
      </w:r>
      <w:r w:rsidRPr="009E5826">
        <w:rPr>
          <w:sz w:val="23"/>
          <w:szCs w:val="23"/>
          <w:lang w:val="lt-LT"/>
        </w:rPr>
        <w:t xml:space="preserve"> pagal Lietuvos įstatymus įsteigta ir veikianti įstaiga, juridinio asmens kodas 126125624, kurios registruota buveinė yra S. Konarskio g. 13, 03109 Vilnius, atstovaujama direktoriaus pavaduotojos </w:t>
      </w:r>
      <w:r>
        <w:rPr>
          <w:sz w:val="23"/>
          <w:szCs w:val="23"/>
          <w:lang w:val="lt-LT"/>
        </w:rPr>
        <w:t>____________</w:t>
      </w:r>
      <w:r w:rsidRPr="009E5826">
        <w:rPr>
          <w:sz w:val="23"/>
          <w:szCs w:val="23"/>
          <w:lang w:val="lt-LT"/>
        </w:rPr>
        <w:t xml:space="preserve">, veikiančios pagal 2011 m. sausio 25 d. įgaliojimą Nr. 2011/8-17 (aktuali redakcija) (toliau – </w:t>
      </w:r>
      <w:r w:rsidRPr="009E5826">
        <w:rPr>
          <w:rStyle w:val="BodytextBold3"/>
          <w:rFonts w:eastAsiaTheme="majorEastAsia"/>
          <w:sz w:val="23"/>
          <w:szCs w:val="23"/>
          <w:lang w:val="lt-LT"/>
        </w:rPr>
        <w:t>Paslaugų gavėjas),</w:t>
      </w:r>
      <w:r w:rsidRPr="009E5826">
        <w:rPr>
          <w:sz w:val="23"/>
          <w:szCs w:val="23"/>
          <w:lang w:val="lt-LT"/>
        </w:rPr>
        <w:t xml:space="preserve"> ir</w:t>
      </w:r>
    </w:p>
    <w:p w14:paraId="44C4B50B" w14:textId="23A7F4AD" w:rsidR="003E65C6" w:rsidRDefault="003E65C6" w:rsidP="003E65C6">
      <w:pPr>
        <w:keepNext/>
        <w:ind w:firstLine="567"/>
        <w:jc w:val="both"/>
        <w:rPr>
          <w:sz w:val="23"/>
          <w:szCs w:val="23"/>
          <w:lang w:val="lt-LT"/>
        </w:rPr>
      </w:pPr>
      <w:r w:rsidRPr="009E5826">
        <w:rPr>
          <w:b/>
          <w:bCs/>
          <w:sz w:val="23"/>
          <w:szCs w:val="23"/>
          <w:lang w:val="lt-LT"/>
        </w:rPr>
        <w:t>UAB „Edrana Baltic“,</w:t>
      </w:r>
      <w:r w:rsidRPr="009E5826">
        <w:rPr>
          <w:sz w:val="23"/>
          <w:szCs w:val="23"/>
          <w:lang w:val="lt-LT"/>
        </w:rPr>
        <w:t xml:space="preserve"> pagal Lietuvos įstatymus įsteigta ir veikianti bendrovė, juridinio asmens kodas </w:t>
      </w:r>
      <w:r w:rsidRPr="009E5826">
        <w:rPr>
          <w:rFonts w:eastAsiaTheme="minorEastAsia"/>
          <w:sz w:val="23"/>
          <w:szCs w:val="23"/>
          <w:lang w:val="lt-LT"/>
        </w:rPr>
        <w:t>124492283</w:t>
      </w:r>
      <w:r w:rsidRPr="009E5826">
        <w:rPr>
          <w:sz w:val="23"/>
          <w:szCs w:val="23"/>
          <w:lang w:val="lt-LT"/>
        </w:rPr>
        <w:t xml:space="preserve">, kurios registruota buveinė yra </w:t>
      </w:r>
      <w:r w:rsidRPr="00632041">
        <w:rPr>
          <w:sz w:val="23"/>
          <w:szCs w:val="23"/>
          <w:lang w:val="lt-LT"/>
        </w:rPr>
        <w:t>Ulonų g. 2, LT-08245 Vilnius</w:t>
      </w:r>
      <w:r w:rsidRPr="009E5826">
        <w:rPr>
          <w:sz w:val="23"/>
          <w:szCs w:val="23"/>
          <w:lang w:val="lt-LT"/>
        </w:rPr>
        <w:t xml:space="preserve">, atstovaujama generalinės direktorės </w:t>
      </w:r>
      <w:r>
        <w:rPr>
          <w:sz w:val="23"/>
          <w:szCs w:val="23"/>
          <w:lang w:val="lt-LT"/>
        </w:rPr>
        <w:t>__________</w:t>
      </w:r>
      <w:r w:rsidRPr="009E5826">
        <w:rPr>
          <w:sz w:val="23"/>
          <w:szCs w:val="23"/>
          <w:lang w:val="lt-LT"/>
        </w:rPr>
        <w:t xml:space="preserve">, veikiančios pagal bendrovės įstatus (toliau – </w:t>
      </w:r>
      <w:r w:rsidRPr="009E5826">
        <w:rPr>
          <w:rStyle w:val="BodytextBold3"/>
          <w:rFonts w:eastAsiaTheme="majorEastAsia"/>
          <w:sz w:val="23"/>
          <w:szCs w:val="23"/>
          <w:lang w:val="lt-LT"/>
        </w:rPr>
        <w:t>Paslaugų teikėjas)</w:t>
      </w:r>
      <w:r w:rsidRPr="009E5826">
        <w:rPr>
          <w:sz w:val="23"/>
          <w:szCs w:val="23"/>
          <w:lang w:val="lt-LT"/>
        </w:rPr>
        <w:t xml:space="preserve">, </w:t>
      </w:r>
    </w:p>
    <w:p w14:paraId="49622D94" w14:textId="77777777" w:rsidR="003E65C6" w:rsidRPr="009E5826" w:rsidRDefault="003E65C6" w:rsidP="003E65C6">
      <w:pPr>
        <w:keepNext/>
        <w:ind w:firstLine="567"/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>toliau abi kartu vadinamos Šalimis, o kiekviena atskirai – Šalimi, sudarė Susitarimą dėl Personalo valdymo sistemos vystymo ir palaikymo paslaugų teikimo sutarties Nr. 2024/4-1-283 (toliau – Sutartis) pakeitimo (toliau – Susitarimas).</w:t>
      </w:r>
    </w:p>
    <w:p w14:paraId="567B64A6" w14:textId="77777777" w:rsidR="003E65C6" w:rsidRPr="009E5826" w:rsidRDefault="003E65C6" w:rsidP="003E65C6">
      <w:pPr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>Šalys, vadovaudamosios:</w:t>
      </w:r>
    </w:p>
    <w:p w14:paraId="56D124FF" w14:textId="77777777" w:rsidR="003E65C6" w:rsidRPr="009E5826" w:rsidRDefault="003E65C6" w:rsidP="003E65C6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>2024 m. birželio 17 d. Personalo valdymo sistemos vystymo ir palaikymo paslaugų teikimo sutarties Nr. 2024/4-1-283 15.1 papunkčiu;</w:t>
      </w:r>
    </w:p>
    <w:p w14:paraId="30852BAC" w14:textId="77777777" w:rsidR="003E65C6" w:rsidRPr="008A2462" w:rsidRDefault="003E65C6" w:rsidP="003E65C6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 xml:space="preserve">Lietuvos Respublikos Viešųjų pirkimų įstatymo 89 straipsnio 2 dalimi; </w:t>
      </w:r>
    </w:p>
    <w:p w14:paraId="7FE92193" w14:textId="77777777" w:rsidR="003E65C6" w:rsidRPr="009E5826" w:rsidRDefault="003E65C6" w:rsidP="003E65C6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>Susitarė pakeisti žemiau išdėstytas Sutarties sąlygas:</w:t>
      </w:r>
    </w:p>
    <w:p w14:paraId="2DB9F82B" w14:textId="77777777" w:rsidR="003E65C6" w:rsidRPr="009E5826" w:rsidRDefault="003E65C6" w:rsidP="003E65C6">
      <w:pPr>
        <w:pStyle w:val="ListParagraph"/>
        <w:numPr>
          <w:ilvl w:val="1"/>
          <w:numId w:val="3"/>
        </w:numPr>
        <w:tabs>
          <w:tab w:val="left" w:pos="851"/>
        </w:tabs>
        <w:jc w:val="both"/>
        <w:rPr>
          <w:sz w:val="23"/>
          <w:szCs w:val="23"/>
          <w:lang w:val="lt-LT"/>
        </w:rPr>
      </w:pPr>
      <w:r w:rsidRPr="009E5826">
        <w:rPr>
          <w:rFonts w:eastAsia="Calibri"/>
          <w:sz w:val="23"/>
          <w:szCs w:val="23"/>
          <w:lang w:val="lt-LT"/>
        </w:rPr>
        <w:t xml:space="preserve"> Papildyti</w:t>
      </w:r>
      <w:r w:rsidRPr="009E5826">
        <w:rPr>
          <w:sz w:val="23"/>
          <w:szCs w:val="23"/>
          <w:lang w:val="lt-LT"/>
        </w:rPr>
        <w:t xml:space="preserve"> Sutarties 1 priedo techninę specifikaciją</w:t>
      </w:r>
      <w:r w:rsidRPr="009E5826">
        <w:rPr>
          <w:rFonts w:eastAsia="Calibri"/>
          <w:sz w:val="23"/>
          <w:szCs w:val="23"/>
          <w:lang w:val="lt-LT"/>
        </w:rPr>
        <w:t xml:space="preserve">, įtraukiant </w:t>
      </w:r>
      <w:r w:rsidRPr="009E5826">
        <w:rPr>
          <w:sz w:val="23"/>
          <w:szCs w:val="23"/>
          <w:lang w:val="lt-LT"/>
        </w:rPr>
        <w:t>personalo valdymo sistemos (PVS) bazinių modulių techninę specifikaciją (pridedama kaip šio Susitarimo 1 priedas).</w:t>
      </w:r>
    </w:p>
    <w:p w14:paraId="52725586" w14:textId="77777777" w:rsidR="003E65C6" w:rsidRPr="009E5826" w:rsidRDefault="003E65C6" w:rsidP="003E65C6">
      <w:pPr>
        <w:pStyle w:val="ListParagraph"/>
        <w:numPr>
          <w:ilvl w:val="1"/>
          <w:numId w:val="3"/>
        </w:numPr>
        <w:tabs>
          <w:tab w:val="left" w:pos="851"/>
        </w:tabs>
        <w:spacing w:after="60"/>
        <w:jc w:val="both"/>
        <w:rPr>
          <w:sz w:val="23"/>
          <w:szCs w:val="23"/>
          <w:lang w:val="lt-LT"/>
        </w:rPr>
      </w:pPr>
      <w:r w:rsidRPr="4456E55C">
        <w:rPr>
          <w:sz w:val="23"/>
          <w:szCs w:val="23"/>
          <w:lang w:val="lt-LT"/>
        </w:rPr>
        <w:t xml:space="preserve"> Pakeisti Sutarties 6.1 papunktį ir išdėstyti jį taip:</w:t>
      </w:r>
    </w:p>
    <w:p w14:paraId="0747CF99" w14:textId="77777777" w:rsidR="003E65C6" w:rsidRPr="009E5826" w:rsidRDefault="003E65C6" w:rsidP="003E65C6">
      <w:pPr>
        <w:pStyle w:val="ListParagraph"/>
        <w:tabs>
          <w:tab w:val="left" w:pos="851"/>
        </w:tabs>
        <w:spacing w:after="60"/>
        <w:ind w:left="0"/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shd w:val="clear" w:color="auto" w:fill="FFFFFF"/>
          <w:lang w:val="lt-LT"/>
        </w:rPr>
        <w:t xml:space="preserve">„6.1. Paslaugų teikėjo mėnesinis sistemos palaikymo paslaugų įkainis yra </w:t>
      </w:r>
      <w:r w:rsidRPr="009E5826">
        <w:rPr>
          <w:sz w:val="23"/>
          <w:szCs w:val="23"/>
          <w:lang w:val="lt-LT"/>
        </w:rPr>
        <w:t xml:space="preserve">3 104,00 Eur (trys tūkstančiai šimtas keturi eurai, 0 centų) be PVM, 21 proc. PVM – 651,84 Eur, įkainis su PVM – 3 755,84 </w:t>
      </w:r>
      <w:r w:rsidRPr="009E5826">
        <w:rPr>
          <w:rStyle w:val="BodytextBold1"/>
          <w:rFonts w:eastAsiaTheme="majorEastAsia"/>
          <w:sz w:val="23"/>
          <w:szCs w:val="23"/>
          <w:lang w:val="lt-LT"/>
        </w:rPr>
        <w:t>Eur (trys tūkstančiai septyni šimtai penkiasdešimt penki eurai, 84 centai).</w:t>
      </w:r>
      <w:r>
        <w:rPr>
          <w:rStyle w:val="BodytextBold1"/>
          <w:rFonts w:eastAsiaTheme="majorEastAsia"/>
          <w:sz w:val="23"/>
          <w:szCs w:val="23"/>
          <w:lang w:val="lt-LT"/>
        </w:rPr>
        <w:t xml:space="preserve"> Pakeistas mėnesinis sistemos palaikymo paslaugų įkainis bus pradėtas skaičiuoti tuomet, kai bus atlikti bei Paslaugų gavėjo priimti visi 6.1.1 papunktyje nurodyti diegimo darbai</w:t>
      </w:r>
      <w:r w:rsidRPr="009E5826">
        <w:rPr>
          <w:color w:val="000000" w:themeColor="text1"/>
          <w:sz w:val="23"/>
          <w:szCs w:val="23"/>
          <w:lang w:val="lt-LT"/>
        </w:rPr>
        <w:t>“</w:t>
      </w:r>
      <w:r>
        <w:rPr>
          <w:color w:val="000000" w:themeColor="text1"/>
          <w:sz w:val="23"/>
          <w:szCs w:val="23"/>
          <w:lang w:val="lt-LT"/>
        </w:rPr>
        <w:t>.</w:t>
      </w:r>
    </w:p>
    <w:p w14:paraId="68F3D2DB" w14:textId="77777777" w:rsidR="003E65C6" w:rsidRPr="009E5826" w:rsidRDefault="003E65C6" w:rsidP="003E65C6">
      <w:pPr>
        <w:pStyle w:val="ListParagraph"/>
        <w:numPr>
          <w:ilvl w:val="1"/>
          <w:numId w:val="3"/>
        </w:numPr>
        <w:tabs>
          <w:tab w:val="left" w:pos="851"/>
        </w:tabs>
        <w:spacing w:after="60"/>
        <w:contextualSpacing w:val="0"/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 xml:space="preserve"> Papildyti Sutartį 6.1.1 punktu:</w:t>
      </w:r>
    </w:p>
    <w:p w14:paraId="6CED1730" w14:textId="77777777" w:rsidR="003E65C6" w:rsidRPr="00632041" w:rsidRDefault="003E65C6" w:rsidP="003E65C6">
      <w:pPr>
        <w:pStyle w:val="Default"/>
        <w:jc w:val="both"/>
        <w:rPr>
          <w:sz w:val="23"/>
          <w:szCs w:val="23"/>
        </w:rPr>
      </w:pPr>
      <w:r w:rsidRPr="00632041">
        <w:rPr>
          <w:color w:val="000000" w:themeColor="text1"/>
          <w:sz w:val="23"/>
          <w:szCs w:val="23"/>
        </w:rPr>
        <w:t xml:space="preserve">6.1.1. </w:t>
      </w:r>
      <w:r w:rsidRPr="00632041">
        <w:rPr>
          <w:sz w:val="23"/>
          <w:szCs w:val="23"/>
        </w:rPr>
        <w:t>Verslo procesų valdymo sistemos PROFIT-WebSQL diegimo kaina yra 6 726,00 Eur (šeši tūkstančiai septyni šimtai dvidešimt šeši eurai 0 centų) be PVM, 21 proc. PVM – 1 412,46 Eur, kaina su PVM – 8 138,46 Eur (aštuoni tūkstančiai šimtas trisdešimt aštuoni eurai, 46 centai).</w:t>
      </w:r>
    </w:p>
    <w:p w14:paraId="5E9F8166" w14:textId="77777777" w:rsidR="003E65C6" w:rsidRPr="009E5826" w:rsidRDefault="003E65C6" w:rsidP="003E65C6">
      <w:pPr>
        <w:tabs>
          <w:tab w:val="left" w:pos="1560"/>
        </w:tabs>
        <w:ind w:firstLine="567"/>
        <w:jc w:val="both"/>
        <w:rPr>
          <w:color w:val="000000" w:themeColor="text1"/>
          <w:sz w:val="23"/>
          <w:szCs w:val="23"/>
          <w:lang w:val="lt-LT"/>
        </w:rPr>
      </w:pPr>
    </w:p>
    <w:p w14:paraId="283414BA" w14:textId="77777777" w:rsidR="003E65C6" w:rsidRPr="009E5826" w:rsidRDefault="003E65C6" w:rsidP="003E65C6">
      <w:pPr>
        <w:pStyle w:val="ListParagraph"/>
        <w:numPr>
          <w:ilvl w:val="0"/>
          <w:numId w:val="3"/>
        </w:numPr>
        <w:tabs>
          <w:tab w:val="left" w:pos="851"/>
        </w:tabs>
        <w:spacing w:before="60"/>
        <w:contextualSpacing w:val="0"/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 xml:space="preserve">Visos kitos Paslaugų teikimo sutarties sąlygos lieka nepakeistos. </w:t>
      </w:r>
    </w:p>
    <w:p w14:paraId="710BE1E8" w14:textId="77777777" w:rsidR="003E65C6" w:rsidRPr="009E5826" w:rsidRDefault="003E65C6" w:rsidP="003E65C6">
      <w:pPr>
        <w:pStyle w:val="ListParagraph"/>
        <w:numPr>
          <w:ilvl w:val="0"/>
          <w:numId w:val="3"/>
        </w:numPr>
        <w:tabs>
          <w:tab w:val="left" w:pos="851"/>
        </w:tabs>
        <w:spacing w:before="60"/>
        <w:contextualSpacing w:val="0"/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 xml:space="preserve">Susitarimas įsigalioja Šalims jį pasirašius el. parašais ir galioja iki visiško Šalių įsipareigojimų įvykdymo. </w:t>
      </w:r>
    </w:p>
    <w:p w14:paraId="6FE68647" w14:textId="77777777" w:rsidR="003E65C6" w:rsidRPr="009E5826" w:rsidRDefault="003E65C6" w:rsidP="003E65C6">
      <w:pPr>
        <w:pStyle w:val="ListParagraph"/>
        <w:numPr>
          <w:ilvl w:val="0"/>
          <w:numId w:val="3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 xml:space="preserve">Susitarimas, Susitarimo 1 ir 2 priedai yra neatskiriama Sutarties dalis. </w:t>
      </w:r>
    </w:p>
    <w:p w14:paraId="79BA3B83" w14:textId="77777777" w:rsidR="003E65C6" w:rsidRPr="009E5826" w:rsidRDefault="003E65C6" w:rsidP="003E65C6">
      <w:pPr>
        <w:pStyle w:val="ListParagraph"/>
        <w:numPr>
          <w:ilvl w:val="0"/>
          <w:numId w:val="3"/>
        </w:numPr>
        <w:tabs>
          <w:tab w:val="left" w:pos="851"/>
        </w:tabs>
        <w:spacing w:before="60"/>
        <w:ind w:left="0" w:firstLine="567"/>
        <w:contextualSpacing w:val="0"/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>Priedai:</w:t>
      </w:r>
    </w:p>
    <w:p w14:paraId="788A1C2E" w14:textId="77777777" w:rsidR="003E65C6" w:rsidRPr="009E5826" w:rsidRDefault="003E65C6" w:rsidP="003E65C6">
      <w:pPr>
        <w:pStyle w:val="ListParagraph"/>
        <w:numPr>
          <w:ilvl w:val="1"/>
          <w:numId w:val="3"/>
        </w:numPr>
        <w:tabs>
          <w:tab w:val="left" w:pos="851"/>
        </w:tabs>
        <w:spacing w:before="60"/>
        <w:contextualSpacing w:val="0"/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>1 priedas – Personalo valdymo sistemos (PVS) bazinių modulių techninė specifikacija;</w:t>
      </w:r>
    </w:p>
    <w:p w14:paraId="6567F9D5" w14:textId="77777777" w:rsidR="003E65C6" w:rsidRPr="009E5826" w:rsidRDefault="003E65C6" w:rsidP="003E65C6">
      <w:pPr>
        <w:tabs>
          <w:tab w:val="left" w:pos="851"/>
        </w:tabs>
        <w:spacing w:before="60"/>
        <w:ind w:left="567"/>
        <w:jc w:val="both"/>
        <w:rPr>
          <w:sz w:val="23"/>
          <w:szCs w:val="23"/>
          <w:lang w:val="lt-LT"/>
        </w:rPr>
      </w:pPr>
      <w:r w:rsidRPr="009E5826">
        <w:rPr>
          <w:sz w:val="23"/>
          <w:szCs w:val="23"/>
          <w:lang w:val="lt-LT"/>
        </w:rPr>
        <w:t>5.2 2 priedas – Tiekėjo pasiūlymas.</w:t>
      </w:r>
    </w:p>
    <w:p w14:paraId="60E85A96" w14:textId="77777777" w:rsidR="003E65C6" w:rsidRPr="009E5826" w:rsidRDefault="003E65C6" w:rsidP="003E65C6">
      <w:pPr>
        <w:jc w:val="both"/>
        <w:rPr>
          <w:sz w:val="23"/>
          <w:szCs w:val="23"/>
          <w:lang w:val="lt-LT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5063"/>
        <w:gridCol w:w="4791"/>
      </w:tblGrid>
      <w:tr w:rsidR="003E65C6" w:rsidRPr="00205364" w14:paraId="5521764A" w14:textId="77777777" w:rsidTr="00F75B03">
        <w:tc>
          <w:tcPr>
            <w:tcW w:w="5063" w:type="dxa"/>
          </w:tcPr>
          <w:p w14:paraId="4CE81025" w14:textId="77777777" w:rsidR="003E65C6" w:rsidRPr="009E5826" w:rsidRDefault="003E65C6" w:rsidP="00F75B03">
            <w:pPr>
              <w:tabs>
                <w:tab w:val="left" w:pos="720"/>
              </w:tabs>
              <w:rPr>
                <w:b/>
                <w:smallCaps/>
                <w:color w:val="000000" w:themeColor="text1"/>
                <w:sz w:val="23"/>
                <w:szCs w:val="23"/>
                <w:lang w:val="lt-LT"/>
              </w:rPr>
            </w:pPr>
            <w:r w:rsidRPr="009E5826">
              <w:rPr>
                <w:b/>
                <w:color w:val="000000" w:themeColor="text1"/>
                <w:sz w:val="23"/>
                <w:szCs w:val="23"/>
                <w:lang w:val="lt-LT"/>
              </w:rPr>
              <w:t>P</w:t>
            </w:r>
            <w:r>
              <w:rPr>
                <w:b/>
                <w:color w:val="000000" w:themeColor="text1"/>
                <w:sz w:val="23"/>
                <w:szCs w:val="23"/>
                <w:lang w:val="lt-LT"/>
              </w:rPr>
              <w:t>ASLAUGŲ GAVĖJAS</w:t>
            </w:r>
          </w:p>
        </w:tc>
        <w:tc>
          <w:tcPr>
            <w:tcW w:w="4791" w:type="dxa"/>
          </w:tcPr>
          <w:p w14:paraId="7DC04B9B" w14:textId="77777777" w:rsidR="003E65C6" w:rsidRPr="009E5826" w:rsidRDefault="003E65C6" w:rsidP="00F75B03">
            <w:pPr>
              <w:tabs>
                <w:tab w:val="left" w:pos="720"/>
              </w:tabs>
              <w:rPr>
                <w:b/>
                <w:smallCaps/>
                <w:color w:val="000000" w:themeColor="text1"/>
                <w:sz w:val="23"/>
                <w:szCs w:val="23"/>
                <w:lang w:val="lt-LT"/>
              </w:rPr>
            </w:pPr>
            <w:r w:rsidRPr="009E5826">
              <w:rPr>
                <w:b/>
                <w:smallCaps/>
                <w:color w:val="000000" w:themeColor="text1"/>
                <w:sz w:val="23"/>
                <w:szCs w:val="23"/>
                <w:lang w:val="lt-LT"/>
              </w:rPr>
              <w:t>PASLAUGŲ TEIKĖJAS</w:t>
            </w:r>
          </w:p>
        </w:tc>
      </w:tr>
      <w:tr w:rsidR="003E65C6" w:rsidRPr="00205364" w14:paraId="63EA7A96" w14:textId="77777777" w:rsidTr="00F75B03">
        <w:trPr>
          <w:trHeight w:val="137"/>
        </w:trPr>
        <w:tc>
          <w:tcPr>
            <w:tcW w:w="5063" w:type="dxa"/>
          </w:tcPr>
          <w:p w14:paraId="7FC3CDD2" w14:textId="77777777" w:rsidR="003E65C6" w:rsidRPr="009E5826" w:rsidRDefault="003E65C6" w:rsidP="00F75B03">
            <w:pPr>
              <w:tabs>
                <w:tab w:val="left" w:pos="720"/>
              </w:tabs>
              <w:rPr>
                <w:color w:val="000000" w:themeColor="text1"/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Viešoji įstaiga Centrinė projektų valdymo agentūra</w:t>
            </w:r>
          </w:p>
        </w:tc>
        <w:tc>
          <w:tcPr>
            <w:tcW w:w="4791" w:type="dxa"/>
          </w:tcPr>
          <w:p w14:paraId="15BBE26F" w14:textId="77777777" w:rsidR="003E65C6" w:rsidRPr="009E5826" w:rsidRDefault="003E65C6" w:rsidP="00F75B03">
            <w:pPr>
              <w:tabs>
                <w:tab w:val="left" w:pos="720"/>
              </w:tabs>
              <w:rPr>
                <w:color w:val="000000" w:themeColor="text1"/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UAB „Edrana Baltic“</w:t>
            </w:r>
          </w:p>
        </w:tc>
      </w:tr>
      <w:tr w:rsidR="003E65C6" w:rsidRPr="00632041" w14:paraId="56DDE068" w14:textId="77777777" w:rsidTr="00F75B03">
        <w:trPr>
          <w:trHeight w:val="137"/>
        </w:trPr>
        <w:tc>
          <w:tcPr>
            <w:tcW w:w="5063" w:type="dxa"/>
          </w:tcPr>
          <w:p w14:paraId="356DCA86" w14:textId="77777777" w:rsidR="003E65C6" w:rsidRPr="009E5826" w:rsidRDefault="003E65C6" w:rsidP="00F75B03">
            <w:pPr>
              <w:rPr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Įstaigos kodas 126125624</w:t>
            </w:r>
          </w:p>
          <w:p w14:paraId="4FFF3E16" w14:textId="77777777" w:rsidR="003E65C6" w:rsidRPr="009E5826" w:rsidRDefault="003E65C6" w:rsidP="00F75B03">
            <w:pPr>
              <w:rPr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Adresas: S. Konarskio g. 13, 03109 Vilnius</w:t>
            </w:r>
          </w:p>
          <w:p w14:paraId="0DFDAFCE" w14:textId="77777777" w:rsidR="003E65C6" w:rsidRPr="009E5826" w:rsidRDefault="003E65C6" w:rsidP="00F75B03">
            <w:pPr>
              <w:rPr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A/s LT63 4010 0510 0473 3444</w:t>
            </w:r>
          </w:p>
          <w:p w14:paraId="584E3532" w14:textId="77777777" w:rsidR="003E65C6" w:rsidRPr="009E5826" w:rsidRDefault="003E65C6" w:rsidP="00F75B03">
            <w:pPr>
              <w:rPr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Luminor Bank AS</w:t>
            </w:r>
          </w:p>
          <w:p w14:paraId="4B5BA451" w14:textId="77777777" w:rsidR="003E65C6" w:rsidRPr="009E5826" w:rsidRDefault="003E65C6" w:rsidP="00F75B03">
            <w:pPr>
              <w:tabs>
                <w:tab w:val="left" w:pos="720"/>
              </w:tabs>
              <w:rPr>
                <w:color w:val="000000" w:themeColor="text1"/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Banko kodas 40100</w:t>
            </w:r>
          </w:p>
        </w:tc>
        <w:tc>
          <w:tcPr>
            <w:tcW w:w="4791" w:type="dxa"/>
          </w:tcPr>
          <w:p w14:paraId="15BB9983" w14:textId="77777777" w:rsidR="003E65C6" w:rsidRPr="009E5826" w:rsidRDefault="003E65C6" w:rsidP="00F75B03">
            <w:pPr>
              <w:rPr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Įmonės kodas 124492283</w:t>
            </w:r>
          </w:p>
          <w:p w14:paraId="58FCE126" w14:textId="77777777" w:rsidR="003E65C6" w:rsidRPr="009E5826" w:rsidRDefault="003E65C6" w:rsidP="00F75B03">
            <w:pPr>
              <w:rPr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 xml:space="preserve">Adresas: </w:t>
            </w:r>
            <w:r w:rsidRPr="00632041">
              <w:rPr>
                <w:sz w:val="23"/>
                <w:szCs w:val="23"/>
                <w:lang w:val="lt-LT"/>
              </w:rPr>
              <w:t>Ulonų g. 2, LT-08245 Vilnius</w:t>
            </w:r>
          </w:p>
          <w:p w14:paraId="78564F3C" w14:textId="77777777" w:rsidR="003E65C6" w:rsidRPr="009E5826" w:rsidRDefault="003E65C6" w:rsidP="00F75B03">
            <w:pPr>
              <w:rPr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A/s LT</w:t>
            </w:r>
            <w:r w:rsidRPr="009E5826">
              <w:rPr>
                <w:sz w:val="23"/>
                <w:szCs w:val="23"/>
                <w:shd w:val="clear" w:color="auto" w:fill="FFFFFF"/>
                <w:lang w:val="lt-LT"/>
              </w:rPr>
              <w:t>18 7044 0600 0128 7449</w:t>
            </w:r>
          </w:p>
          <w:p w14:paraId="222AA83C" w14:textId="77777777" w:rsidR="003E65C6" w:rsidRPr="009E5826" w:rsidRDefault="003E65C6" w:rsidP="00F75B03">
            <w:pPr>
              <w:rPr>
                <w:color w:val="333333"/>
                <w:sz w:val="23"/>
                <w:szCs w:val="23"/>
                <w:shd w:val="clear" w:color="auto" w:fill="FFFFFF"/>
                <w:lang w:val="lt-LT"/>
              </w:rPr>
            </w:pPr>
            <w:r w:rsidRPr="009E5826">
              <w:rPr>
                <w:color w:val="333333"/>
                <w:sz w:val="23"/>
                <w:szCs w:val="23"/>
                <w:shd w:val="clear" w:color="auto" w:fill="FFFFFF"/>
                <w:lang w:val="lt-LT"/>
              </w:rPr>
              <w:t>AB SEB bankas</w:t>
            </w:r>
          </w:p>
          <w:p w14:paraId="5984CDF4" w14:textId="77777777" w:rsidR="003E65C6" w:rsidRPr="009E5826" w:rsidRDefault="003E65C6" w:rsidP="00F75B03">
            <w:pPr>
              <w:tabs>
                <w:tab w:val="left" w:pos="720"/>
              </w:tabs>
              <w:rPr>
                <w:color w:val="000000" w:themeColor="text1"/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Banko kodas 70440</w:t>
            </w:r>
          </w:p>
        </w:tc>
      </w:tr>
      <w:tr w:rsidR="003E65C6" w:rsidRPr="00205364" w14:paraId="7C0F2AB5" w14:textId="77777777" w:rsidTr="00F75B03">
        <w:trPr>
          <w:trHeight w:val="137"/>
        </w:trPr>
        <w:tc>
          <w:tcPr>
            <w:tcW w:w="5063" w:type="dxa"/>
          </w:tcPr>
          <w:p w14:paraId="18F6DCA9" w14:textId="77777777" w:rsidR="003E65C6" w:rsidRPr="009E5826" w:rsidRDefault="003E65C6" w:rsidP="00F75B03">
            <w:pPr>
              <w:rPr>
                <w:sz w:val="23"/>
                <w:szCs w:val="23"/>
                <w:lang w:val="lt-LT"/>
              </w:rPr>
            </w:pPr>
          </w:p>
          <w:p w14:paraId="517C01EE" w14:textId="77777777" w:rsidR="003E65C6" w:rsidRPr="009E5826" w:rsidRDefault="003E65C6" w:rsidP="00F75B03">
            <w:pPr>
              <w:tabs>
                <w:tab w:val="left" w:pos="720"/>
              </w:tabs>
              <w:rPr>
                <w:color w:val="000000" w:themeColor="text1"/>
                <w:sz w:val="23"/>
                <w:szCs w:val="23"/>
                <w:lang w:val="lt-LT"/>
              </w:rPr>
            </w:pPr>
            <w:r w:rsidRPr="009E5826">
              <w:rPr>
                <w:sz w:val="23"/>
                <w:szCs w:val="23"/>
                <w:lang w:val="lt-LT"/>
              </w:rPr>
              <w:t>Direktoriaus pavaduotoja</w:t>
            </w:r>
          </w:p>
        </w:tc>
        <w:tc>
          <w:tcPr>
            <w:tcW w:w="4791" w:type="dxa"/>
          </w:tcPr>
          <w:p w14:paraId="1D62ECB1" w14:textId="77777777" w:rsidR="003E65C6" w:rsidRPr="009E5826" w:rsidRDefault="003E65C6" w:rsidP="00F75B03">
            <w:pPr>
              <w:rPr>
                <w:sz w:val="23"/>
                <w:szCs w:val="23"/>
                <w:lang w:val="lt-LT"/>
              </w:rPr>
            </w:pPr>
          </w:p>
          <w:p w14:paraId="771F04FC" w14:textId="77777777" w:rsidR="003E65C6" w:rsidRPr="009E5826" w:rsidRDefault="003E65C6" w:rsidP="00F75B03">
            <w:pPr>
              <w:tabs>
                <w:tab w:val="left" w:pos="720"/>
              </w:tabs>
              <w:rPr>
                <w:color w:val="000000" w:themeColor="text1"/>
                <w:sz w:val="23"/>
                <w:szCs w:val="23"/>
                <w:lang w:val="lt-LT" w:bidi="lo-LA"/>
              </w:rPr>
            </w:pPr>
            <w:r w:rsidRPr="009E5826">
              <w:rPr>
                <w:sz w:val="23"/>
                <w:szCs w:val="23"/>
                <w:lang w:val="lt-LT"/>
              </w:rPr>
              <w:t>Direktorė</w:t>
            </w:r>
          </w:p>
        </w:tc>
      </w:tr>
      <w:tr w:rsidR="003E65C6" w:rsidRPr="00205364" w14:paraId="49B218E8" w14:textId="77777777" w:rsidTr="00F75B03">
        <w:trPr>
          <w:trHeight w:val="137"/>
        </w:trPr>
        <w:tc>
          <w:tcPr>
            <w:tcW w:w="5063" w:type="dxa"/>
          </w:tcPr>
          <w:p w14:paraId="6CE668FF" w14:textId="7C133DB4" w:rsidR="003E65C6" w:rsidRPr="009E5826" w:rsidRDefault="003E65C6" w:rsidP="00F75B03">
            <w:pPr>
              <w:tabs>
                <w:tab w:val="left" w:pos="720"/>
              </w:tabs>
              <w:rPr>
                <w:color w:val="000000" w:themeColor="text1"/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_______</w:t>
            </w:r>
          </w:p>
        </w:tc>
        <w:tc>
          <w:tcPr>
            <w:tcW w:w="4791" w:type="dxa"/>
          </w:tcPr>
          <w:p w14:paraId="5E56F998" w14:textId="4E607A46" w:rsidR="003E65C6" w:rsidRPr="009E5826" w:rsidRDefault="003E65C6" w:rsidP="00F75B03">
            <w:pPr>
              <w:tabs>
                <w:tab w:val="left" w:pos="720"/>
              </w:tabs>
              <w:rPr>
                <w:color w:val="000000" w:themeColor="text1"/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_______</w:t>
            </w:r>
          </w:p>
        </w:tc>
      </w:tr>
    </w:tbl>
    <w:p w14:paraId="48D131B4" w14:textId="77777777" w:rsidR="003E65C6" w:rsidRDefault="003E65C6"/>
    <w:sectPr w:rsidR="003E65C6" w:rsidSect="003E65C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07B"/>
    <w:multiLevelType w:val="hybridMultilevel"/>
    <w:tmpl w:val="F79A99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65FBF"/>
    <w:multiLevelType w:val="hybridMultilevel"/>
    <w:tmpl w:val="C666AFD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AC5DE4"/>
    <w:multiLevelType w:val="multilevel"/>
    <w:tmpl w:val="7A1E37E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num w:numId="1" w16cid:durableId="395713961">
    <w:abstractNumId w:val="0"/>
  </w:num>
  <w:num w:numId="2" w16cid:durableId="2117208663">
    <w:abstractNumId w:val="1"/>
  </w:num>
  <w:num w:numId="3" w16cid:durableId="128361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C6"/>
    <w:rsid w:val="003C3AC2"/>
    <w:rsid w:val="003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12BD"/>
  <w15:chartTrackingRefBased/>
  <w15:docId w15:val="{61B147F0-34F4-4C93-85F9-1396714F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C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5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5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5C6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List Paragraph111,List Paragraph21,ERP-List Paragraph,List Paragraph1,List Paragraph11,Numbering,Table of contents numbered,Sąrašo pastraipa1,Lentele,List Paragraph3,Sąrašo pastraipa.Bullet,lp1"/>
    <w:basedOn w:val="Normal"/>
    <w:link w:val="ListParagraphChar"/>
    <w:uiPriority w:val="34"/>
    <w:qFormat/>
    <w:rsid w:val="003E6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5C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Red Char,Bullet EY Char,List Paragraph2 Char,List Paragraph111 Char,List Paragraph21 Char,ERP-List Paragraph Char,List Paragraph1 Char,List Paragraph11 Char,Numbering Char,Table of contents numbered Char,Lentele Char"/>
    <w:link w:val="ListParagraph"/>
    <w:uiPriority w:val="34"/>
    <w:locked/>
    <w:rsid w:val="003E65C6"/>
  </w:style>
  <w:style w:type="character" w:customStyle="1" w:styleId="BodytextBold3">
    <w:name w:val="Body text + Bold3"/>
    <w:basedOn w:val="DefaultParagraphFont"/>
    <w:uiPriority w:val="99"/>
    <w:rsid w:val="003E65C6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BodytextBold1">
    <w:name w:val="Body text + Bold1"/>
    <w:basedOn w:val="DefaultParagraphFont"/>
    <w:uiPriority w:val="99"/>
    <w:rsid w:val="003E65C6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paragraph" w:customStyle="1" w:styleId="Default">
    <w:name w:val="Default"/>
    <w:rsid w:val="003E65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1996</Words>
  <Characters>1139</Characters>
  <Application>Microsoft Office Word</Application>
  <DocSecurity>0</DocSecurity>
  <Lines>9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Kazakevičius</dc:creator>
  <cp:keywords/>
  <dc:description/>
  <cp:lastModifiedBy>Mantas Kazakevičius</cp:lastModifiedBy>
  <cp:revision>1</cp:revision>
  <dcterms:created xsi:type="dcterms:W3CDTF">2025-04-03T06:02:00Z</dcterms:created>
  <dcterms:modified xsi:type="dcterms:W3CDTF">2025-04-03T06:06:00Z</dcterms:modified>
</cp:coreProperties>
</file>