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2991" w:rsidR="00532991" w:rsidP="00532991" w:rsidRDefault="00532991" w14:paraId="6B567F26" w14:textId="43807400">
      <w:pPr>
        <w:jc w:val="right"/>
        <w:rPr>
          <w:rFonts w:ascii="Times New Roman" w:hAnsi="Times New Roman" w:cs="Times New Roman"/>
          <w:lang w:val="lt-LT"/>
        </w:rPr>
      </w:pPr>
      <w:r w:rsidRPr="5A63C144" w:rsidR="00532991">
        <w:rPr>
          <w:rFonts w:ascii="Times New Roman" w:hAnsi="Times New Roman" w:cs="Times New Roman"/>
          <w:lang w:val="lt-LT"/>
        </w:rPr>
        <w:t xml:space="preserve">Pakeitimo </w:t>
      </w:r>
      <w:r w:rsidRPr="5A63C144" w:rsidR="534093BD">
        <w:rPr>
          <w:rFonts w:ascii="Times New Roman" w:hAnsi="Times New Roman" w:cs="Times New Roman"/>
          <w:lang w:val="lt-LT"/>
        </w:rPr>
        <w:t xml:space="preserve">1 </w:t>
      </w:r>
      <w:r w:rsidRPr="5A63C144" w:rsidR="00532991">
        <w:rPr>
          <w:rFonts w:ascii="Times New Roman" w:hAnsi="Times New Roman" w:cs="Times New Roman"/>
          <w:lang w:val="lt-LT"/>
        </w:rPr>
        <w:t>priedas</w:t>
      </w:r>
    </w:p>
    <w:p w:rsidRPr="00532991" w:rsidR="002E4A1C" w:rsidP="00532991" w:rsidRDefault="002E4A1C" w14:paraId="214B96B1" w14:textId="7058CE09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532991">
        <w:rPr>
          <w:rFonts w:ascii="Times New Roman" w:hAnsi="Times New Roman" w:cs="Times New Roman"/>
          <w:b/>
          <w:bCs/>
          <w:lang w:val="lt-LT"/>
        </w:rPr>
        <w:t xml:space="preserve">PAPILDOMŲ </w:t>
      </w:r>
      <w:r w:rsidRPr="00532991" w:rsidR="00810B03">
        <w:rPr>
          <w:rFonts w:ascii="Times New Roman" w:hAnsi="Times New Roman" w:cs="Times New Roman"/>
          <w:b/>
          <w:bCs/>
          <w:lang w:val="lt-LT"/>
        </w:rPr>
        <w:t>PERSONALO VALDYMO SISTEMOS (</w:t>
      </w:r>
      <w:r w:rsidRPr="00532991">
        <w:rPr>
          <w:rFonts w:ascii="Times New Roman" w:hAnsi="Times New Roman" w:cs="Times New Roman"/>
          <w:b/>
          <w:bCs/>
          <w:lang w:val="lt-LT"/>
        </w:rPr>
        <w:t>PVS</w:t>
      </w:r>
      <w:r w:rsidRPr="00532991" w:rsidR="00810B03">
        <w:rPr>
          <w:rFonts w:ascii="Times New Roman" w:hAnsi="Times New Roman" w:cs="Times New Roman"/>
          <w:b/>
          <w:bCs/>
          <w:lang w:val="lt-LT"/>
        </w:rPr>
        <w:t>)</w:t>
      </w:r>
      <w:r w:rsidRPr="00532991">
        <w:rPr>
          <w:rFonts w:ascii="Times New Roman" w:hAnsi="Times New Roman" w:cs="Times New Roman"/>
          <w:b/>
          <w:bCs/>
          <w:lang w:val="lt-LT"/>
        </w:rPr>
        <w:t xml:space="preserve"> BAZINIŲ MODULIŲ TECHNINĖ SPECIFIKACIJA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65"/>
        <w:gridCol w:w="7095"/>
      </w:tblGrid>
      <w:tr w:rsidRPr="00532991" w:rsidR="002E4A1C" w:rsidTr="00532991" w14:paraId="474FCC39" w14:textId="77777777">
        <w:tc>
          <w:tcPr>
            <w:tcW w:w="2965" w:type="dxa"/>
          </w:tcPr>
          <w:p w:rsidRPr="00532991" w:rsidR="002E4A1C" w:rsidRDefault="002E4A1C" w14:paraId="6305130C" w14:textId="7C0D9625">
            <w:p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Modulis</w:t>
            </w:r>
          </w:p>
        </w:tc>
        <w:tc>
          <w:tcPr>
            <w:tcW w:w="7095" w:type="dxa"/>
          </w:tcPr>
          <w:p w:rsidRPr="00532991" w:rsidR="002E4A1C" w:rsidRDefault="002E4A1C" w14:paraId="54B88EEC" w14:textId="361462E9">
            <w:p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Reikalavimai</w:t>
            </w:r>
          </w:p>
        </w:tc>
      </w:tr>
      <w:tr w:rsidRPr="00532991" w:rsidR="002E4A1C" w:rsidTr="00532991" w14:paraId="2C2273D3" w14:textId="77777777">
        <w:tc>
          <w:tcPr>
            <w:tcW w:w="2965" w:type="dxa"/>
          </w:tcPr>
          <w:p w:rsidRPr="00532991" w:rsidR="002E4A1C" w:rsidRDefault="002E4A1C" w14:paraId="5B5A9467" w14:textId="24D67FF1">
            <w:p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Darbuotojų anketa</w:t>
            </w:r>
          </w:p>
        </w:tc>
        <w:tc>
          <w:tcPr>
            <w:tcW w:w="7095" w:type="dxa"/>
          </w:tcPr>
          <w:p w:rsidRPr="00532991" w:rsidR="002E4A1C" w:rsidP="00532991" w:rsidRDefault="00467863" w14:paraId="13F00D5D" w14:textId="65DCD57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 xml:space="preserve">Modulio naudojimo licencija turi būti vienkartinė, t. y. įsigijus licenciją turi būti </w:t>
            </w:r>
            <w:r w:rsidRPr="00532991" w:rsidR="00730F5E">
              <w:rPr>
                <w:rFonts w:ascii="Times New Roman" w:hAnsi="Times New Roman" w:cs="Times New Roman"/>
                <w:lang w:val="lt-LT"/>
              </w:rPr>
              <w:t xml:space="preserve">suteikiama galimybė naudoti visas modulyje realizuotas funkcijas neribotą laiką </w:t>
            </w:r>
            <w:r w:rsidRPr="00532991" w:rsidR="006E6F65">
              <w:rPr>
                <w:rFonts w:ascii="Times New Roman" w:hAnsi="Times New Roman" w:cs="Times New Roman"/>
                <w:lang w:val="lt-LT"/>
              </w:rPr>
              <w:t xml:space="preserve">neribotam PVS vartotojų </w:t>
            </w:r>
            <w:r w:rsidRPr="00532991" w:rsidR="00810B03">
              <w:rPr>
                <w:rFonts w:ascii="Times New Roman" w:hAnsi="Times New Roman" w:cs="Times New Roman"/>
                <w:lang w:val="lt-LT"/>
              </w:rPr>
              <w:t xml:space="preserve">skaičiui. </w:t>
            </w:r>
            <w:r w:rsidRPr="00532991" w:rsidR="00F25410">
              <w:rPr>
                <w:rFonts w:ascii="Times New Roman" w:hAnsi="Times New Roman" w:cs="Times New Roman"/>
                <w:lang w:val="lt-LT"/>
              </w:rPr>
              <w:t>Modulyje t</w:t>
            </w:r>
            <w:r w:rsidRPr="00532991" w:rsidR="002E4A1C">
              <w:rPr>
                <w:rFonts w:ascii="Times New Roman" w:hAnsi="Times New Roman" w:cs="Times New Roman"/>
                <w:lang w:val="lt-LT"/>
              </w:rPr>
              <w:t>uri būti realizuotos šios funkcijos</w:t>
            </w:r>
            <w:r w:rsidRPr="00532991" w:rsidR="2A68FACF">
              <w:rPr>
                <w:rFonts w:ascii="Times New Roman" w:hAnsi="Times New Roman" w:cs="Times New Roman"/>
                <w:lang w:val="lt-LT"/>
              </w:rPr>
              <w:t>:</w:t>
            </w:r>
          </w:p>
          <w:p w:rsidRPr="00532991" w:rsidR="002E4A1C" w:rsidP="00532991" w:rsidRDefault="14B08FAD" w14:paraId="7EF8452D" w14:textId="458F058A">
            <w:pPr>
              <w:jc w:val="both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084A11">
              <w:rPr>
                <w:rFonts w:ascii="Times New Roman" w:hAnsi="Times New Roman" w:cs="Times New Roman"/>
                <w:lang w:val="lt-LT"/>
              </w:rPr>
              <w:t xml:space="preserve">- pirminės darbuotojo informacijos surinkimas: </w:t>
            </w:r>
            <w:r w:rsidRPr="00532991">
              <w:rPr>
                <w:rFonts w:ascii="Times New Roman" w:hAnsi="Times New Roman" w:cs="Times New Roman"/>
                <w:lang w:val="lt-LT"/>
              </w:rPr>
              <w:t xml:space="preserve">el. </w:t>
            </w:r>
            <w:r w:rsidRPr="00532991" w:rsidR="00084A11">
              <w:rPr>
                <w:rFonts w:ascii="Times New Roman" w:hAnsi="Times New Roman" w:cs="Times New Roman"/>
                <w:lang w:val="lt-LT"/>
              </w:rPr>
              <w:t>p</w:t>
            </w:r>
            <w:r w:rsidRPr="00532991">
              <w:rPr>
                <w:rFonts w:ascii="Times New Roman" w:hAnsi="Times New Roman" w:cs="Times New Roman"/>
                <w:lang w:val="lt-LT"/>
              </w:rPr>
              <w:t>ašto</w:t>
            </w:r>
            <w:r w:rsidRPr="00532991" w:rsidR="00084A11">
              <w:rPr>
                <w:rFonts w:ascii="Times New Roman" w:hAnsi="Times New Roman" w:cs="Times New Roman"/>
                <w:lang w:val="lt-LT"/>
              </w:rPr>
              <w:t xml:space="preserve"> adresas, </w:t>
            </w:r>
            <w:r w:rsidRPr="00532991">
              <w:rPr>
                <w:rFonts w:ascii="Times New Roman" w:hAnsi="Times New Roman" w:cs="Times New Roman"/>
                <w:lang w:val="lt-LT"/>
              </w:rPr>
              <w:t xml:space="preserve">tel. </w:t>
            </w:r>
            <w:r w:rsidRPr="00532991" w:rsidR="00084A11">
              <w:rPr>
                <w:rFonts w:ascii="Times New Roman" w:hAnsi="Times New Roman" w:cs="Times New Roman"/>
                <w:lang w:val="lt-LT"/>
              </w:rPr>
              <w:t>n</w:t>
            </w:r>
            <w:r w:rsidRPr="00532991">
              <w:rPr>
                <w:rFonts w:ascii="Times New Roman" w:hAnsi="Times New Roman" w:cs="Times New Roman"/>
                <w:lang w:val="lt-LT"/>
              </w:rPr>
              <w:t xml:space="preserve">r., </w:t>
            </w:r>
            <w:r w:rsidRPr="00532991" w:rsidR="3AA81411">
              <w:rPr>
                <w:rFonts w:ascii="Times New Roman" w:hAnsi="Times New Roman" w:cs="Times New Roman"/>
                <w:lang w:val="lt-LT"/>
              </w:rPr>
              <w:t>turim</w:t>
            </w:r>
            <w:r w:rsidRPr="00532991" w:rsidR="00084A11">
              <w:rPr>
                <w:rFonts w:ascii="Times New Roman" w:hAnsi="Times New Roman" w:cs="Times New Roman"/>
                <w:lang w:val="lt-LT"/>
              </w:rPr>
              <w:t>i vaikai (jų neįgalumai)</w:t>
            </w:r>
            <w:r w:rsidRPr="00532991" w:rsidR="3AA81411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532991" w:rsidR="00084A11">
              <w:rPr>
                <w:rFonts w:ascii="Times New Roman" w:hAnsi="Times New Roman" w:cs="Times New Roman"/>
                <w:lang w:val="lt-LT"/>
              </w:rPr>
              <w:t xml:space="preserve">darbuotojo </w:t>
            </w:r>
            <w:r w:rsidRPr="00532991" w:rsidR="3AA81411">
              <w:rPr>
                <w:rFonts w:ascii="Times New Roman" w:hAnsi="Times New Roman" w:cs="Times New Roman"/>
                <w:lang w:val="lt-LT"/>
              </w:rPr>
              <w:t>neįgalum</w:t>
            </w:r>
            <w:r w:rsidRPr="00532991" w:rsidR="00084A11">
              <w:rPr>
                <w:rFonts w:ascii="Times New Roman" w:hAnsi="Times New Roman" w:cs="Times New Roman"/>
                <w:lang w:val="lt-LT"/>
              </w:rPr>
              <w:t>o informacija, asmens dokumento informacija, išsilavinimo duomenys, kontaktiniai asmenys;</w:t>
            </w:r>
          </w:p>
          <w:p w:rsidRPr="00532991" w:rsidR="00084A11" w:rsidP="5A674748" w:rsidRDefault="00084A11" w14:paraId="70FCD821" w14:textId="789AA625">
            <w:p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- galimybė anketą pakartotinai pateikti duomenų papildymui;</w:t>
            </w:r>
          </w:p>
          <w:p w:rsidRPr="00532991" w:rsidR="00084A11" w:rsidP="5A674748" w:rsidRDefault="00084A11" w14:paraId="6A33789D" w14:textId="7C12E64C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532991">
              <w:rPr>
                <w:rFonts w:ascii="Times New Roman" w:hAnsi="Times New Roman" w:cs="Times New Roman"/>
                <w:color w:val="FF0000"/>
                <w:lang w:val="lt-LT"/>
              </w:rPr>
              <w:t xml:space="preserve">- </w:t>
            </w:r>
            <w:r w:rsidRPr="00532991">
              <w:rPr>
                <w:rFonts w:ascii="Times New Roman" w:hAnsi="Times New Roman" w:cs="Times New Roman"/>
                <w:lang w:val="lt-LT"/>
              </w:rPr>
              <w:t>turi būti galimybė suformuoti ataskaitą, pateiktų duomenų peržiūrai;</w:t>
            </w:r>
          </w:p>
          <w:p w:rsidRPr="00532991" w:rsidR="002E4A1C" w:rsidP="00532991" w:rsidRDefault="00D56741" w14:paraId="3CFC0A43" w14:textId="0E794A0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Taip pat turi būti įtrauktos ir visos kitos čia neaprašytos, bet modulyje realizuotos funkcijos. Modulio palaikymo paslauga teikiama pagal personalo</w:t>
            </w:r>
            <w:r w:rsidRPr="00532991" w:rsidR="00240DBD">
              <w:rPr>
                <w:rFonts w:ascii="Times New Roman" w:hAnsi="Times New Roman" w:cs="Times New Roman"/>
                <w:lang w:val="lt-LT"/>
              </w:rPr>
              <w:t xml:space="preserve"> valdymo sistemos</w:t>
            </w:r>
            <w:r w:rsidRPr="00532991">
              <w:rPr>
                <w:rFonts w:ascii="Times New Roman" w:hAnsi="Times New Roman" w:cs="Times New Roman"/>
                <w:lang w:val="lt-LT"/>
              </w:rPr>
              <w:t xml:space="preserve"> vystymo ir palaikymo paslaugų teikimo sutartį</w:t>
            </w:r>
            <w:r w:rsidRPr="00532991" w:rsidR="00240DBD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Pr="00532991" w:rsidR="002E4A1C" w:rsidTr="00532991" w14:paraId="438F08D2" w14:textId="77777777">
        <w:tc>
          <w:tcPr>
            <w:tcW w:w="2965" w:type="dxa"/>
          </w:tcPr>
          <w:p w:rsidRPr="00532991" w:rsidR="002E4A1C" w:rsidRDefault="002E4A1C" w14:paraId="40C22411" w14:textId="13F776A1">
            <w:p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Kvalifikuotas elektroninis parašas</w:t>
            </w:r>
          </w:p>
        </w:tc>
        <w:tc>
          <w:tcPr>
            <w:tcW w:w="7095" w:type="dxa"/>
          </w:tcPr>
          <w:p w:rsidRPr="00532991" w:rsidR="00024E23" w:rsidP="00532991" w:rsidRDefault="00F25410" w14:paraId="10BF7A78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Modulio naudojimo licencija turi būti vienkartinė, t. y. įsigijus licenciją turi būti suteikiama galimybė naudoti visas modulyje realizuotas funkcijas neribotą laiką neribotam PVS vartotojų skaičiui.</w:t>
            </w:r>
          </w:p>
          <w:p w:rsidRPr="00532991" w:rsidR="00024E23" w:rsidP="00532991" w:rsidRDefault="00F25410" w14:paraId="4E7F6B7F" w14:textId="73B0AB1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Modulyje t</w:t>
            </w:r>
            <w:r w:rsidRPr="00532991" w:rsidR="002E4A1C">
              <w:rPr>
                <w:rFonts w:ascii="Times New Roman" w:hAnsi="Times New Roman" w:cs="Times New Roman"/>
                <w:lang w:val="lt-LT"/>
              </w:rPr>
              <w:t xml:space="preserve">uri būti realizuotos šios funkcijos – galimybė </w:t>
            </w:r>
            <w:r w:rsidRPr="00532991" w:rsidR="00AD50E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275765">
              <w:rPr>
                <w:rFonts w:ascii="Times New Roman" w:hAnsi="Times New Roman" w:cs="Times New Roman"/>
                <w:lang w:val="lt-LT"/>
              </w:rPr>
              <w:t xml:space="preserve"> teikti pasirašymui kvalifikuotu el. parašu visus perso</w:t>
            </w:r>
            <w:r w:rsidRPr="00532991" w:rsidR="005B069C">
              <w:rPr>
                <w:rFonts w:ascii="Times New Roman" w:hAnsi="Times New Roman" w:cs="Times New Roman"/>
                <w:lang w:val="lt-LT"/>
              </w:rPr>
              <w:t>n</w:t>
            </w:r>
            <w:r w:rsidRPr="00532991" w:rsidR="00275765">
              <w:rPr>
                <w:rFonts w:ascii="Times New Roman" w:hAnsi="Times New Roman" w:cs="Times New Roman"/>
                <w:lang w:val="lt-LT"/>
              </w:rPr>
              <w:t>alo dokumentus.</w:t>
            </w:r>
            <w:r w:rsidRPr="00532991" w:rsidR="002E4A1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A24416">
              <w:rPr>
                <w:rFonts w:ascii="Times New Roman" w:hAnsi="Times New Roman" w:cs="Times New Roman"/>
                <w:lang w:val="lt-LT"/>
              </w:rPr>
              <w:t xml:space="preserve">(pasirašomų dokumentų formatas – </w:t>
            </w:r>
            <w:r w:rsidRPr="00532991" w:rsidR="005B069C">
              <w:rPr>
                <w:rFonts w:ascii="Times New Roman" w:hAnsi="Times New Roman" w:cs="Times New Roman"/>
                <w:lang w:val="lt-LT"/>
              </w:rPr>
              <w:t>PDF</w:t>
            </w:r>
            <w:r w:rsidRPr="00532991" w:rsidR="00997035">
              <w:rPr>
                <w:rFonts w:ascii="Times New Roman" w:hAnsi="Times New Roman" w:cs="Times New Roman"/>
                <w:lang w:val="lt-LT"/>
              </w:rPr>
              <w:t xml:space="preserve">, pasirašymo priemonės ne prasčiau kaip </w:t>
            </w:r>
            <w:r w:rsidRPr="00532991" w:rsidR="00CD2260">
              <w:rPr>
                <w:rFonts w:ascii="Times New Roman" w:hAnsi="Times New Roman" w:cs="Times New Roman"/>
                <w:lang w:val="lt-LT"/>
              </w:rPr>
              <w:t>–</w:t>
            </w:r>
            <w:r w:rsidRPr="00532991" w:rsidR="0099703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CD2260">
              <w:rPr>
                <w:rFonts w:ascii="Times New Roman" w:hAnsi="Times New Roman" w:cs="Times New Roman"/>
                <w:lang w:val="lt-LT"/>
              </w:rPr>
              <w:t>Mobile ID, Smart ID, lustinė kortelė</w:t>
            </w:r>
            <w:r w:rsidRPr="00532991" w:rsidR="00A24416"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Pr="00532991" w:rsidR="002E4A1C">
              <w:rPr>
                <w:rFonts w:ascii="Times New Roman" w:hAnsi="Times New Roman" w:cs="Times New Roman"/>
                <w:lang w:val="lt-LT"/>
              </w:rPr>
              <w:t>darbuotojui ir darbdavio atstovui, turi būti realizuota galimybė pasirašyti darbo sutartį būsimam darbuotojui</w:t>
            </w:r>
            <w:r w:rsidRPr="00532991" w:rsidR="00B72594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532991" w:rsidR="00745C6F">
              <w:rPr>
                <w:rFonts w:ascii="Times New Roman" w:hAnsi="Times New Roman" w:cs="Times New Roman"/>
                <w:lang w:val="lt-LT"/>
              </w:rPr>
              <w:t>pranešimą apie sutarties pasirašymą siunčiant jo asmeniniu</w:t>
            </w:r>
            <w:r w:rsidRPr="00532991" w:rsidR="00024E2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745C6F">
              <w:rPr>
                <w:rFonts w:ascii="Times New Roman" w:hAnsi="Times New Roman" w:cs="Times New Roman"/>
                <w:lang w:val="lt-LT"/>
              </w:rPr>
              <w:t>el. paštu)</w:t>
            </w:r>
            <w:r w:rsidRPr="00532991" w:rsidR="005F4C75">
              <w:rPr>
                <w:rFonts w:ascii="Times New Roman" w:hAnsi="Times New Roman" w:cs="Times New Roman"/>
                <w:lang w:val="lt-LT"/>
              </w:rPr>
              <w:t>, siųsti pranešimus / kvietimus pasirašyti dokumentus</w:t>
            </w:r>
            <w:r w:rsidRPr="00532991" w:rsidR="002E4A1C">
              <w:rPr>
                <w:rFonts w:ascii="Times New Roman" w:hAnsi="Times New Roman" w:cs="Times New Roman"/>
                <w:lang w:val="lt-LT"/>
              </w:rPr>
              <w:t>.</w:t>
            </w:r>
          </w:p>
          <w:p w:rsidRPr="00532991" w:rsidR="002E4A1C" w:rsidP="00532991" w:rsidRDefault="00D56741" w14:paraId="72EE85C7" w14:textId="4681DD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Taip pat turi būti įtrauktos ir visos kitos čia neaprašytos, bet modulyje realizuotos funkcijos. Modulio palaikymo paslauga teikiama pagal personalo</w:t>
            </w:r>
            <w:r w:rsidRPr="00532991" w:rsidR="00304BFB">
              <w:rPr>
                <w:rFonts w:ascii="Times New Roman" w:hAnsi="Times New Roman" w:cs="Times New Roman"/>
                <w:lang w:val="lt-LT"/>
              </w:rPr>
              <w:t xml:space="preserve"> valdymo sistemos</w:t>
            </w:r>
            <w:r w:rsidRPr="00532991">
              <w:rPr>
                <w:rFonts w:ascii="Times New Roman" w:hAnsi="Times New Roman" w:cs="Times New Roman"/>
                <w:lang w:val="lt-LT"/>
              </w:rPr>
              <w:t xml:space="preserve"> vystymo ir palaikymo paslaugų teikimo sutartį. </w:t>
            </w:r>
          </w:p>
        </w:tc>
      </w:tr>
      <w:tr w:rsidRPr="00532991" w:rsidR="00C64820" w:rsidTr="00532991" w14:paraId="5282D19D" w14:textId="77777777">
        <w:tc>
          <w:tcPr>
            <w:tcW w:w="2965" w:type="dxa"/>
          </w:tcPr>
          <w:p w:rsidRPr="00532991" w:rsidR="00C64820" w:rsidRDefault="009005F4" w14:paraId="46C36CB5" w14:textId="5DD6BA69">
            <w:p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API</w:t>
            </w:r>
            <w:r w:rsidRPr="00532991" w:rsidR="00C64820">
              <w:rPr>
                <w:rFonts w:ascii="Times New Roman" w:hAnsi="Times New Roman" w:cs="Times New Roman"/>
                <w:lang w:val="lt-LT"/>
              </w:rPr>
              <w:t xml:space="preserve"> raktas</w:t>
            </w:r>
          </w:p>
        </w:tc>
        <w:tc>
          <w:tcPr>
            <w:tcW w:w="7095" w:type="dxa"/>
          </w:tcPr>
          <w:p w:rsidRPr="00532991" w:rsidR="00C64820" w:rsidP="00532991" w:rsidRDefault="00D54B31" w14:paraId="522E3A63" w14:textId="643108D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 xml:space="preserve">Tiekėjas </w:t>
            </w:r>
            <w:r w:rsidRPr="00532991" w:rsidR="008C677B">
              <w:rPr>
                <w:rFonts w:ascii="Times New Roman" w:hAnsi="Times New Roman" w:cs="Times New Roman"/>
                <w:lang w:val="lt-LT"/>
              </w:rPr>
              <w:t>turi pateikt</w:t>
            </w:r>
            <w:r w:rsidRPr="00532991">
              <w:rPr>
                <w:rFonts w:ascii="Times New Roman" w:hAnsi="Times New Roman" w:cs="Times New Roman"/>
                <w:lang w:val="lt-LT"/>
              </w:rPr>
              <w:t>i</w:t>
            </w:r>
            <w:r w:rsidRPr="00532991" w:rsidR="006102F7">
              <w:rPr>
                <w:rFonts w:ascii="Times New Roman" w:hAnsi="Times New Roman" w:cs="Times New Roman"/>
                <w:lang w:val="lt-LT"/>
              </w:rPr>
              <w:t xml:space="preserve"> informacij</w:t>
            </w:r>
            <w:r w:rsidRPr="00532991">
              <w:rPr>
                <w:rFonts w:ascii="Times New Roman" w:hAnsi="Times New Roman" w:cs="Times New Roman"/>
                <w:lang w:val="lt-LT"/>
              </w:rPr>
              <w:t>ą</w:t>
            </w:r>
            <w:r w:rsidRPr="00532991" w:rsidR="006102F7">
              <w:rPr>
                <w:rFonts w:ascii="Times New Roman" w:hAnsi="Times New Roman" w:cs="Times New Roman"/>
                <w:lang w:val="lt-LT"/>
              </w:rPr>
              <w:t xml:space="preserve"> su kuriais pasirašymo paslaugų tiekėjais yra </w:t>
            </w:r>
            <w:r w:rsidRPr="00532991" w:rsidR="00B8234E">
              <w:rPr>
                <w:rFonts w:ascii="Times New Roman" w:hAnsi="Times New Roman" w:cs="Times New Roman"/>
                <w:lang w:val="lt-LT"/>
              </w:rPr>
              <w:t xml:space="preserve">realizuotos </w:t>
            </w:r>
            <w:r w:rsidRPr="00532991" w:rsidR="00863046">
              <w:rPr>
                <w:rFonts w:ascii="Times New Roman" w:hAnsi="Times New Roman" w:cs="Times New Roman"/>
                <w:lang w:val="lt-LT"/>
              </w:rPr>
              <w:t>kvalifikuoto</w:t>
            </w:r>
            <w:r w:rsidRPr="00532991" w:rsidR="00CC5C80">
              <w:rPr>
                <w:rFonts w:ascii="Times New Roman" w:hAnsi="Times New Roman" w:cs="Times New Roman"/>
                <w:lang w:val="lt-LT"/>
              </w:rPr>
              <w:t xml:space="preserve"> elektroninio parašo integracijos</w:t>
            </w:r>
            <w:r w:rsidRPr="00532991">
              <w:rPr>
                <w:rFonts w:ascii="Times New Roman" w:hAnsi="Times New Roman" w:cs="Times New Roman"/>
                <w:lang w:val="lt-LT"/>
              </w:rPr>
              <w:t xml:space="preserve">, o Perkančioji organizacija yra atsakinga už </w:t>
            </w:r>
            <w:r w:rsidRPr="00532991" w:rsidR="005C1707">
              <w:rPr>
                <w:rFonts w:ascii="Times New Roman" w:hAnsi="Times New Roman" w:cs="Times New Roman"/>
                <w:lang w:val="lt-LT"/>
              </w:rPr>
              <w:t>API rakto įsigijimą iš pasirinkto elektroninio parašo paslaugų teikėjo savo nuožiūra</w:t>
            </w:r>
            <w:r w:rsidRPr="00532991" w:rsidR="0044704C">
              <w:rPr>
                <w:rFonts w:ascii="Times New Roman" w:hAnsi="Times New Roman" w:cs="Times New Roman"/>
                <w:lang w:val="lt-LT"/>
              </w:rPr>
              <w:t xml:space="preserve"> (išskyrus atvejus jei integracija realizuota tik su vienu teikėju)</w:t>
            </w:r>
            <w:r w:rsidRPr="00532991" w:rsidR="00CC5C80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532991" w:rsidR="008A7DEB">
              <w:rPr>
                <w:rFonts w:ascii="Times New Roman" w:hAnsi="Times New Roman" w:cs="Times New Roman"/>
                <w:lang w:val="lt-LT"/>
              </w:rPr>
              <w:t>Aiškumo dėlei pažymima, kad už Sutarties dėl elektroninių parašų teikimo</w:t>
            </w:r>
            <w:r w:rsidRPr="00532991" w:rsidR="002F3D40">
              <w:rPr>
                <w:rFonts w:ascii="Times New Roman" w:hAnsi="Times New Roman" w:cs="Times New Roman"/>
                <w:lang w:val="lt-LT"/>
              </w:rPr>
              <w:t xml:space="preserve"> sudarymą </w:t>
            </w:r>
            <w:r w:rsidRPr="00532991" w:rsidR="00025DEF">
              <w:rPr>
                <w:rFonts w:ascii="Times New Roman" w:hAnsi="Times New Roman" w:cs="Times New Roman"/>
                <w:lang w:val="lt-LT"/>
              </w:rPr>
              <w:t>su elektronini</w:t>
            </w:r>
            <w:r w:rsidRPr="00532991" w:rsidR="00A844D9">
              <w:rPr>
                <w:rFonts w:ascii="Times New Roman" w:hAnsi="Times New Roman" w:cs="Times New Roman"/>
                <w:lang w:val="lt-LT"/>
              </w:rPr>
              <w:t xml:space="preserve">o pasirašymo paslaugų teikėju </w:t>
            </w:r>
            <w:r w:rsidRPr="00532991" w:rsidR="002F3D40">
              <w:rPr>
                <w:rFonts w:ascii="Times New Roman" w:hAnsi="Times New Roman" w:cs="Times New Roman"/>
                <w:lang w:val="lt-LT"/>
              </w:rPr>
              <w:t xml:space="preserve">atsakinga Perkančioji Organizacija, </w:t>
            </w:r>
            <w:r w:rsidRPr="00532991" w:rsidR="00FF3426">
              <w:rPr>
                <w:rFonts w:ascii="Times New Roman" w:hAnsi="Times New Roman" w:cs="Times New Roman"/>
                <w:lang w:val="lt-LT"/>
              </w:rPr>
              <w:t xml:space="preserve">o Tiekėjas garantuoja, kad </w:t>
            </w:r>
            <w:r w:rsidRPr="00532991" w:rsidR="00E93E62">
              <w:rPr>
                <w:rFonts w:ascii="Times New Roman" w:hAnsi="Times New Roman" w:cs="Times New Roman"/>
                <w:lang w:val="lt-LT"/>
              </w:rPr>
              <w:t xml:space="preserve">sudarius sutartį su </w:t>
            </w:r>
            <w:r w:rsidRPr="00532991" w:rsidR="005F69B7">
              <w:rPr>
                <w:rFonts w:ascii="Times New Roman" w:hAnsi="Times New Roman" w:cs="Times New Roman"/>
                <w:lang w:val="lt-LT"/>
              </w:rPr>
              <w:t xml:space="preserve">nurodytu (-ais) </w:t>
            </w:r>
            <w:r w:rsidRPr="00532991" w:rsidR="008043B1">
              <w:rPr>
                <w:rFonts w:ascii="Times New Roman" w:hAnsi="Times New Roman" w:cs="Times New Roman"/>
                <w:lang w:val="lt-LT"/>
              </w:rPr>
              <w:t xml:space="preserve">elektroninių parašų teikėju (-ais), su kuriuo (-iais) </w:t>
            </w:r>
            <w:r w:rsidRPr="00532991" w:rsidR="00E93E62">
              <w:rPr>
                <w:rFonts w:ascii="Times New Roman" w:hAnsi="Times New Roman" w:cs="Times New Roman"/>
                <w:lang w:val="lt-LT"/>
              </w:rPr>
              <w:t>Tiekėj</w:t>
            </w:r>
            <w:r w:rsidRPr="00532991" w:rsidR="005F69B7">
              <w:rPr>
                <w:rFonts w:ascii="Times New Roman" w:hAnsi="Times New Roman" w:cs="Times New Roman"/>
                <w:lang w:val="lt-LT"/>
              </w:rPr>
              <w:t xml:space="preserve">as yra realizavęs kvalifikuoto elektroninio parašo integracijas, elektroninių parašų </w:t>
            </w:r>
            <w:r w:rsidRPr="00532991" w:rsidR="001062DA">
              <w:rPr>
                <w:rFonts w:ascii="Times New Roman" w:hAnsi="Times New Roman" w:cs="Times New Roman"/>
                <w:lang w:val="lt-LT"/>
              </w:rPr>
              <w:t xml:space="preserve">funkcionalumu </w:t>
            </w:r>
            <w:r w:rsidRPr="00532991" w:rsidR="00A844D9">
              <w:rPr>
                <w:rFonts w:ascii="Times New Roman" w:hAnsi="Times New Roman" w:cs="Times New Roman"/>
                <w:lang w:val="lt-LT"/>
              </w:rPr>
              <w:t xml:space="preserve">per </w:t>
            </w:r>
            <w:r w:rsidRPr="00532991" w:rsidR="00DA3E5A">
              <w:rPr>
                <w:rFonts w:ascii="Times New Roman" w:hAnsi="Times New Roman" w:cs="Times New Roman"/>
                <w:lang w:val="lt-LT"/>
              </w:rPr>
              <w:t>T</w:t>
            </w:r>
            <w:r w:rsidRPr="00532991" w:rsidR="00E91A25">
              <w:rPr>
                <w:rFonts w:ascii="Times New Roman" w:hAnsi="Times New Roman" w:cs="Times New Roman"/>
                <w:lang w:val="lt-LT"/>
              </w:rPr>
              <w:t>ie</w:t>
            </w:r>
            <w:r w:rsidRPr="00532991" w:rsidR="00DA3E5A">
              <w:rPr>
                <w:rFonts w:ascii="Times New Roman" w:hAnsi="Times New Roman" w:cs="Times New Roman"/>
                <w:lang w:val="lt-LT"/>
              </w:rPr>
              <w:t xml:space="preserve">kėjo ir elektroninio parašų teikėjo integraciją </w:t>
            </w:r>
            <w:r w:rsidRPr="00532991" w:rsidR="001062DA">
              <w:rPr>
                <w:rFonts w:ascii="Times New Roman" w:hAnsi="Times New Roman" w:cs="Times New Roman"/>
                <w:lang w:val="lt-LT"/>
              </w:rPr>
              <w:t>bus galima naudotis</w:t>
            </w:r>
            <w:r w:rsidRPr="00532991" w:rsidR="00A844D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DA3E5A">
              <w:rPr>
                <w:rFonts w:ascii="Times New Roman" w:hAnsi="Times New Roman" w:cs="Times New Roman"/>
                <w:lang w:val="lt-LT"/>
              </w:rPr>
              <w:t xml:space="preserve">pilna apimtimi, o </w:t>
            </w:r>
            <w:r w:rsidRPr="00532991" w:rsidR="00B55E88">
              <w:rPr>
                <w:rFonts w:ascii="Times New Roman" w:hAnsi="Times New Roman" w:cs="Times New Roman"/>
                <w:lang w:val="lt-LT"/>
              </w:rPr>
              <w:t xml:space="preserve">Tiekėjo pusėje </w:t>
            </w:r>
            <w:r w:rsidRPr="00532991" w:rsidR="00B55E88">
              <w:rPr>
                <w:rFonts w:ascii="Times New Roman" w:hAnsi="Times New Roman" w:cs="Times New Roman"/>
                <w:lang w:val="lt-LT"/>
              </w:rPr>
              <w:lastRenderedPageBreak/>
              <w:t xml:space="preserve">atsiradusių </w:t>
            </w:r>
            <w:r w:rsidRPr="00532991" w:rsidR="00DA3E5A">
              <w:rPr>
                <w:rFonts w:ascii="Times New Roman" w:hAnsi="Times New Roman" w:cs="Times New Roman"/>
                <w:lang w:val="lt-LT"/>
              </w:rPr>
              <w:t xml:space="preserve">gedimų šalinimas bus </w:t>
            </w:r>
            <w:r w:rsidRPr="00532991" w:rsidR="00ED39BF">
              <w:rPr>
                <w:rFonts w:ascii="Times New Roman" w:hAnsi="Times New Roman" w:cs="Times New Roman"/>
                <w:lang w:val="lt-LT"/>
              </w:rPr>
              <w:t>vykdomas</w:t>
            </w:r>
            <w:r w:rsidRPr="00532991" w:rsidR="00DA3E5A">
              <w:rPr>
                <w:rFonts w:ascii="Times New Roman" w:hAnsi="Times New Roman" w:cs="Times New Roman"/>
                <w:lang w:val="lt-LT"/>
              </w:rPr>
              <w:t xml:space="preserve"> kvalifikuoto elektroninio parašo </w:t>
            </w:r>
            <w:r w:rsidRPr="00532991" w:rsidR="00D56741">
              <w:rPr>
                <w:rFonts w:ascii="Times New Roman" w:hAnsi="Times New Roman" w:cs="Times New Roman"/>
                <w:lang w:val="lt-LT"/>
              </w:rPr>
              <w:t xml:space="preserve">integracijos </w:t>
            </w:r>
            <w:r w:rsidRPr="00532991" w:rsidR="00DA3E5A">
              <w:rPr>
                <w:rFonts w:ascii="Times New Roman" w:hAnsi="Times New Roman" w:cs="Times New Roman"/>
                <w:lang w:val="lt-LT"/>
              </w:rPr>
              <w:t>modulio palaikym</w:t>
            </w:r>
            <w:r w:rsidRPr="00532991" w:rsidR="00ED39BF">
              <w:rPr>
                <w:rFonts w:ascii="Times New Roman" w:hAnsi="Times New Roman" w:cs="Times New Roman"/>
                <w:lang w:val="lt-LT"/>
              </w:rPr>
              <w:t>o apimtyje.</w:t>
            </w:r>
            <w:r w:rsidRPr="00532991" w:rsidR="0003588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8A7DE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C6482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Pr="00532991" w:rsidR="002E4A1C" w:rsidTr="00532991" w14:paraId="098806CA" w14:textId="77777777">
        <w:tc>
          <w:tcPr>
            <w:tcW w:w="2965" w:type="dxa"/>
          </w:tcPr>
          <w:p w:rsidRPr="00532991" w:rsidR="002E4A1C" w:rsidRDefault="002E4A1C" w14:paraId="61523EEC" w14:textId="665679DC">
            <w:p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lastRenderedPageBreak/>
              <w:t>Bylų peržiūra</w:t>
            </w:r>
          </w:p>
        </w:tc>
        <w:tc>
          <w:tcPr>
            <w:tcW w:w="7095" w:type="dxa"/>
          </w:tcPr>
          <w:p w:rsidRPr="00532991" w:rsidR="00B55E88" w:rsidP="00532991" w:rsidRDefault="00F25410" w14:paraId="0A3AAB4E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 xml:space="preserve">Modulio naudojimo licencija turi būti vienkartinė, t. y. įsigijus licenciją turi būti suteikiama galimybė naudoti visas modulyje realizuotas funkcijas neribotą laiką neribotam PVS vartotojų skaičiui. </w:t>
            </w:r>
          </w:p>
          <w:p w:rsidRPr="00532991" w:rsidR="00B55E88" w:rsidRDefault="00F25410" w14:paraId="7D098E40" w14:textId="372784C1">
            <w:p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Modulyje t</w:t>
            </w:r>
            <w:r w:rsidRPr="00532991" w:rsidR="002E4A1C">
              <w:rPr>
                <w:rFonts w:ascii="Times New Roman" w:hAnsi="Times New Roman" w:cs="Times New Roman"/>
                <w:lang w:val="lt-LT"/>
              </w:rPr>
              <w:t>uri būti realizuotos</w:t>
            </w:r>
            <w:r w:rsidRPr="00532991" w:rsidR="003A4EF1">
              <w:rPr>
                <w:rFonts w:ascii="Times New Roman" w:hAnsi="Times New Roman" w:cs="Times New Roman"/>
                <w:lang w:val="lt-LT"/>
              </w:rPr>
              <w:t xml:space="preserve"> pdf ir word formatų dokumentų peržiūra programos ekrane.</w:t>
            </w:r>
            <w:r w:rsidRPr="00532991" w:rsidR="002E4A1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Pr="00532991" w:rsidR="002E4A1C" w:rsidP="00532991" w:rsidRDefault="00D56741" w14:paraId="2B44CD63" w14:textId="1696A8A6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Taip pat turi būti įtrauktos ir visos kitos čia neaprašytos, bet modulyje realizuotos funkcijos. Modulio palaikymo paslauga teikiama pagal personalo</w:t>
            </w:r>
            <w:r w:rsidRPr="00532991" w:rsidR="00847462">
              <w:rPr>
                <w:rFonts w:ascii="Times New Roman" w:hAnsi="Times New Roman" w:cs="Times New Roman"/>
                <w:lang w:val="lt-LT"/>
              </w:rPr>
              <w:t xml:space="preserve"> valdymo sistemos</w:t>
            </w:r>
            <w:r w:rsidRPr="00532991">
              <w:rPr>
                <w:rFonts w:ascii="Times New Roman" w:hAnsi="Times New Roman" w:cs="Times New Roman"/>
                <w:lang w:val="lt-LT"/>
              </w:rPr>
              <w:t xml:space="preserve"> vystymo ir palaikymo paslaugų teikimo sutartį. </w:t>
            </w:r>
          </w:p>
        </w:tc>
      </w:tr>
      <w:tr w:rsidRPr="00532991" w:rsidR="002E4A1C" w:rsidTr="00532991" w14:paraId="562ABB91" w14:textId="77777777">
        <w:tc>
          <w:tcPr>
            <w:tcW w:w="2965" w:type="dxa"/>
          </w:tcPr>
          <w:p w:rsidRPr="00532991" w:rsidR="002E4A1C" w:rsidRDefault="002E4A1C" w14:paraId="42793339" w14:textId="1E925452">
            <w:p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Sutikimai, padėkos</w:t>
            </w:r>
          </w:p>
        </w:tc>
        <w:tc>
          <w:tcPr>
            <w:tcW w:w="7095" w:type="dxa"/>
          </w:tcPr>
          <w:p w:rsidRPr="00532991" w:rsidR="002E4A1C" w:rsidP="00532991" w:rsidRDefault="00F25410" w14:paraId="27208F88" w14:textId="6D5D8D5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Modulio naudojimo licencija turi būti vienkartinė, t. y. įsigijus licenciją turi būti suteikiama galimybė naudoti visas modulyje realizuotas funkcijas neribotą laiką neribotam PVS vartotojų skaičiui. Modulyje t</w:t>
            </w:r>
            <w:r w:rsidRPr="00532991" w:rsidR="002E4A1C">
              <w:rPr>
                <w:rFonts w:ascii="Times New Roman" w:hAnsi="Times New Roman" w:cs="Times New Roman"/>
                <w:lang w:val="lt-LT"/>
              </w:rPr>
              <w:t>uri būti realizuotos šios funkcijos</w:t>
            </w:r>
            <w:r w:rsidRPr="00532991" w:rsidR="407FCBCE">
              <w:rPr>
                <w:rFonts w:ascii="Times New Roman" w:hAnsi="Times New Roman" w:cs="Times New Roman"/>
                <w:lang w:val="lt-LT"/>
              </w:rPr>
              <w:t>:</w:t>
            </w:r>
          </w:p>
          <w:p w:rsidRPr="00532991" w:rsidR="002E4A1C" w:rsidP="005B069C" w:rsidRDefault="5DF6786C" w14:paraId="51478CC9" w14:textId="34479D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532991">
              <w:rPr>
                <w:rFonts w:ascii="Times New Roman" w:hAnsi="Times New Roman" w:cs="Times New Roman"/>
                <w:color w:val="000000" w:themeColor="text1"/>
                <w:lang w:val="lt-LT"/>
              </w:rPr>
              <w:t>Galimybė rinkti darbuotojo BDAR sutikimus;</w:t>
            </w:r>
          </w:p>
          <w:p w:rsidRPr="00532991" w:rsidR="002E4A1C" w:rsidP="005B069C" w:rsidRDefault="5DF6786C" w14:paraId="42EC11B4" w14:textId="2C4ED0F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532991">
              <w:rPr>
                <w:rFonts w:ascii="Times New Roman" w:hAnsi="Times New Roman" w:cs="Times New Roman"/>
                <w:color w:val="000000" w:themeColor="text1"/>
                <w:lang w:val="lt-LT"/>
              </w:rPr>
              <w:t>Galimybė darbuotojui keisti savo pirminius sutikimus</w:t>
            </w:r>
            <w:r w:rsidRPr="00532991" w:rsidR="00B55E8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(kuriems sutikimams tokia galimybė nurodyta)</w:t>
            </w:r>
            <w:r w:rsidRPr="00532991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:rsidRPr="00532991" w:rsidR="002E4A1C" w:rsidP="005B069C" w:rsidRDefault="5DF6786C" w14:paraId="1681A89E" w14:textId="23A481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Galimybė teikti darbuotojams sutikimus</w:t>
            </w:r>
            <w:r w:rsidRPr="00532991" w:rsidR="375FDDA4">
              <w:rPr>
                <w:rFonts w:ascii="Times New Roman" w:hAnsi="Times New Roman" w:cs="Times New Roman"/>
                <w:lang w:val="lt-LT"/>
              </w:rPr>
              <w:t xml:space="preserve"> kitais klausimais, s</w:t>
            </w:r>
            <w:r w:rsidRPr="00532991">
              <w:rPr>
                <w:rFonts w:ascii="Times New Roman" w:hAnsi="Times New Roman" w:cs="Times New Roman"/>
                <w:lang w:val="lt-LT"/>
              </w:rPr>
              <w:t>usipažinim</w:t>
            </w:r>
            <w:r w:rsidRPr="00532991" w:rsidR="62CFCED3">
              <w:rPr>
                <w:rFonts w:ascii="Times New Roman" w:hAnsi="Times New Roman" w:cs="Times New Roman"/>
                <w:lang w:val="lt-LT"/>
              </w:rPr>
              <w:t>o su vidaus tvarkomis</w:t>
            </w:r>
            <w:r w:rsidRPr="00532991" w:rsidR="00D86DB1">
              <w:rPr>
                <w:rFonts w:ascii="Times New Roman" w:hAnsi="Times New Roman" w:cs="Times New Roman"/>
                <w:lang w:val="lt-LT"/>
              </w:rPr>
              <w:t xml:space="preserve"> ir pan.</w:t>
            </w:r>
            <w:r w:rsidRPr="00532991" w:rsidR="003A4EF1">
              <w:rPr>
                <w:rFonts w:ascii="Times New Roman" w:hAnsi="Times New Roman" w:cs="Times New Roman"/>
                <w:lang w:val="lt-LT"/>
              </w:rPr>
              <w:t>;</w:t>
            </w:r>
          </w:p>
          <w:p w:rsidRPr="00532991" w:rsidR="002E4A1C" w:rsidP="005B069C" w:rsidRDefault="6302929D" w14:paraId="694B0DFF" w14:textId="6D89E6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Galimybė automatizuoti sutikimų/susipažinimų siuntimą nustatytoms darbuotojų grupėms;</w:t>
            </w:r>
          </w:p>
          <w:p w:rsidRPr="00532991" w:rsidR="002E4A1C" w:rsidP="005B069C" w:rsidRDefault="5DF6786C" w14:paraId="25E6D19C" w14:textId="5722F9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 xml:space="preserve">Galimybė saugoti  </w:t>
            </w:r>
            <w:r w:rsidRPr="00532991" w:rsidR="506D2F9E">
              <w:rPr>
                <w:rFonts w:ascii="Times New Roman" w:hAnsi="Times New Roman" w:cs="Times New Roman"/>
                <w:lang w:val="lt-LT"/>
              </w:rPr>
              <w:t xml:space="preserve">sutikimus </w:t>
            </w:r>
            <w:r w:rsidRPr="00532991" w:rsidR="00D86DB1">
              <w:rPr>
                <w:rFonts w:ascii="Times New Roman" w:hAnsi="Times New Roman" w:cs="Times New Roman"/>
                <w:lang w:val="lt-LT"/>
              </w:rPr>
              <w:t xml:space="preserve">ir juo </w:t>
            </w:r>
            <w:r w:rsidRPr="00532991" w:rsidR="506D2F9E">
              <w:rPr>
                <w:rFonts w:ascii="Times New Roman" w:hAnsi="Times New Roman" w:cs="Times New Roman"/>
                <w:lang w:val="lt-LT"/>
              </w:rPr>
              <w:t>analizuoti</w:t>
            </w:r>
            <w:r w:rsidRPr="00532991" w:rsidR="00D86DB1">
              <w:rPr>
                <w:rFonts w:ascii="Times New Roman" w:hAnsi="Times New Roman" w:cs="Times New Roman"/>
                <w:lang w:val="lt-LT"/>
              </w:rPr>
              <w:t>,</w:t>
            </w:r>
            <w:r w:rsidRPr="00532991" w:rsidR="506D2F9E">
              <w:rPr>
                <w:rFonts w:ascii="Times New Roman" w:hAnsi="Times New Roman" w:cs="Times New Roman"/>
                <w:lang w:val="lt-LT"/>
              </w:rPr>
              <w:t xml:space="preserve"> ieškoti duomenų</w:t>
            </w:r>
            <w:r w:rsidRPr="00532991" w:rsidR="008D3E8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B55E88">
              <w:rPr>
                <w:rFonts w:ascii="Times New Roman" w:hAnsi="Times New Roman" w:cs="Times New Roman"/>
                <w:lang w:val="lt-LT"/>
              </w:rPr>
              <w:t>pagal programoje esančias parinktis</w:t>
            </w:r>
            <w:r w:rsidRPr="00532991" w:rsidR="008D3E83">
              <w:rPr>
                <w:rFonts w:ascii="Times New Roman" w:hAnsi="Times New Roman" w:cs="Times New Roman"/>
                <w:lang w:val="lt-LT"/>
              </w:rPr>
              <w:t>;</w:t>
            </w:r>
          </w:p>
          <w:p w:rsidRPr="00532991" w:rsidR="008D3E83" w:rsidP="5A674748" w:rsidRDefault="008D3E83" w14:paraId="2DF1217A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Siųsti el.laiškus su priminimais apie paskirtus sutikimus.</w:t>
            </w:r>
          </w:p>
          <w:p w:rsidRPr="00532991" w:rsidR="002E4A1C" w:rsidP="00532991" w:rsidRDefault="002E4A1C" w14:paraId="3EAEE241" w14:textId="1879F1C9">
            <w:pPr>
              <w:jc w:val="both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532991">
              <w:rPr>
                <w:rFonts w:ascii="Times New Roman" w:hAnsi="Times New Roman" w:cs="Times New Roman"/>
                <w:lang w:val="lt-LT"/>
              </w:rPr>
              <w:t>Taip pat turi būti įtrauktos ir visos kitos čia neaprašytos, bet modulyje realizuotos funkcijos.</w:t>
            </w:r>
            <w:r w:rsidRPr="00532991" w:rsidR="00872AE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32991" w:rsidR="00D56741">
              <w:rPr>
                <w:rFonts w:ascii="Times New Roman" w:hAnsi="Times New Roman" w:cs="Times New Roman"/>
                <w:lang w:val="lt-LT"/>
              </w:rPr>
              <w:t>M</w:t>
            </w:r>
            <w:r w:rsidRPr="00532991" w:rsidR="00872AE0">
              <w:rPr>
                <w:rFonts w:ascii="Times New Roman" w:hAnsi="Times New Roman" w:cs="Times New Roman"/>
                <w:lang w:val="lt-LT"/>
              </w:rPr>
              <w:t>odulio palaikymo paslauga</w:t>
            </w:r>
            <w:r w:rsidRPr="00532991" w:rsidR="00D56741">
              <w:rPr>
                <w:rFonts w:ascii="Times New Roman" w:hAnsi="Times New Roman" w:cs="Times New Roman"/>
                <w:lang w:val="lt-LT"/>
              </w:rPr>
              <w:t xml:space="preserve"> teikiama pagal personalo</w:t>
            </w:r>
            <w:r w:rsidRPr="00532991" w:rsidR="00847462">
              <w:rPr>
                <w:rFonts w:ascii="Times New Roman" w:hAnsi="Times New Roman" w:cs="Times New Roman"/>
                <w:lang w:val="lt-LT"/>
              </w:rPr>
              <w:t xml:space="preserve"> valdymo sistemos </w:t>
            </w:r>
            <w:r w:rsidRPr="00532991" w:rsidR="00D56741">
              <w:rPr>
                <w:rFonts w:ascii="Times New Roman" w:hAnsi="Times New Roman" w:cs="Times New Roman"/>
                <w:lang w:val="lt-LT"/>
              </w:rPr>
              <w:t xml:space="preserve"> vystymo ir palaikymo paslaugų teikimo sutartį. </w:t>
            </w:r>
          </w:p>
        </w:tc>
      </w:tr>
    </w:tbl>
    <w:p w:rsidRPr="002E4A1C" w:rsidR="00926EC1" w:rsidP="00E91A25" w:rsidRDefault="00926EC1" w14:paraId="259BD3E0" w14:textId="77777777">
      <w:pPr>
        <w:rPr>
          <w:lang w:val="lt-LT"/>
        </w:rPr>
      </w:pPr>
    </w:p>
    <w:sectPr w:rsidRPr="002E4A1C" w:rsidR="00926EC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D47F"/>
    <w:multiLevelType w:val="hybridMultilevel"/>
    <w:tmpl w:val="AE800AD0"/>
    <w:lvl w:ilvl="0" w:tplc="0E52E4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56CD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CE5E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C86C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70D8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5238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D6E2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EA51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F0E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104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1C"/>
    <w:rsid w:val="0000419A"/>
    <w:rsid w:val="00024E23"/>
    <w:rsid w:val="00025DEF"/>
    <w:rsid w:val="0003588F"/>
    <w:rsid w:val="00057AD0"/>
    <w:rsid w:val="000658F0"/>
    <w:rsid w:val="00084A11"/>
    <w:rsid w:val="00094A8D"/>
    <w:rsid w:val="000A1F42"/>
    <w:rsid w:val="000A23CA"/>
    <w:rsid w:val="000A7724"/>
    <w:rsid w:val="000E08F3"/>
    <w:rsid w:val="001062DA"/>
    <w:rsid w:val="00131D43"/>
    <w:rsid w:val="001744A5"/>
    <w:rsid w:val="001A6747"/>
    <w:rsid w:val="001C4106"/>
    <w:rsid w:val="001C41F9"/>
    <w:rsid w:val="0020504B"/>
    <w:rsid w:val="002235E0"/>
    <w:rsid w:val="00240DBD"/>
    <w:rsid w:val="00275765"/>
    <w:rsid w:val="00292999"/>
    <w:rsid w:val="002B325C"/>
    <w:rsid w:val="002E4A1C"/>
    <w:rsid w:val="002F3D40"/>
    <w:rsid w:val="00304BFB"/>
    <w:rsid w:val="003326A6"/>
    <w:rsid w:val="00341BE2"/>
    <w:rsid w:val="003A2CCE"/>
    <w:rsid w:val="003A4EF1"/>
    <w:rsid w:val="003F19D2"/>
    <w:rsid w:val="00405938"/>
    <w:rsid w:val="00427ADD"/>
    <w:rsid w:val="0044704C"/>
    <w:rsid w:val="00467863"/>
    <w:rsid w:val="004B42DE"/>
    <w:rsid w:val="004C48C5"/>
    <w:rsid w:val="004D6F8C"/>
    <w:rsid w:val="00514A7F"/>
    <w:rsid w:val="00520CEA"/>
    <w:rsid w:val="00532991"/>
    <w:rsid w:val="00545432"/>
    <w:rsid w:val="00591278"/>
    <w:rsid w:val="00592455"/>
    <w:rsid w:val="005B069C"/>
    <w:rsid w:val="005B45C3"/>
    <w:rsid w:val="005C1707"/>
    <w:rsid w:val="005D573E"/>
    <w:rsid w:val="005F4C75"/>
    <w:rsid w:val="005F69B7"/>
    <w:rsid w:val="006102F7"/>
    <w:rsid w:val="006560CB"/>
    <w:rsid w:val="00673F9A"/>
    <w:rsid w:val="006767FA"/>
    <w:rsid w:val="0069397A"/>
    <w:rsid w:val="006971A2"/>
    <w:rsid w:val="006E3E33"/>
    <w:rsid w:val="006E6F65"/>
    <w:rsid w:val="0071650E"/>
    <w:rsid w:val="00730F5E"/>
    <w:rsid w:val="00745C6F"/>
    <w:rsid w:val="00765798"/>
    <w:rsid w:val="007F5C69"/>
    <w:rsid w:val="008043B1"/>
    <w:rsid w:val="00810B03"/>
    <w:rsid w:val="008343E9"/>
    <w:rsid w:val="00847462"/>
    <w:rsid w:val="00863046"/>
    <w:rsid w:val="00872AE0"/>
    <w:rsid w:val="008736D6"/>
    <w:rsid w:val="00881DF6"/>
    <w:rsid w:val="00893178"/>
    <w:rsid w:val="008A7DEB"/>
    <w:rsid w:val="008C677B"/>
    <w:rsid w:val="008D3E83"/>
    <w:rsid w:val="009005F4"/>
    <w:rsid w:val="00903745"/>
    <w:rsid w:val="00907179"/>
    <w:rsid w:val="009210A9"/>
    <w:rsid w:val="009235B0"/>
    <w:rsid w:val="00926EC1"/>
    <w:rsid w:val="00991C04"/>
    <w:rsid w:val="00997035"/>
    <w:rsid w:val="00A23A2E"/>
    <w:rsid w:val="00A24416"/>
    <w:rsid w:val="00A56620"/>
    <w:rsid w:val="00A57671"/>
    <w:rsid w:val="00A844D9"/>
    <w:rsid w:val="00AB1DAE"/>
    <w:rsid w:val="00AD50E2"/>
    <w:rsid w:val="00AD60FD"/>
    <w:rsid w:val="00AE127C"/>
    <w:rsid w:val="00B31E53"/>
    <w:rsid w:val="00B36213"/>
    <w:rsid w:val="00B55E88"/>
    <w:rsid w:val="00B72594"/>
    <w:rsid w:val="00B8234E"/>
    <w:rsid w:val="00B93799"/>
    <w:rsid w:val="00BB2BF7"/>
    <w:rsid w:val="00C42B32"/>
    <w:rsid w:val="00C64820"/>
    <w:rsid w:val="00C66BE6"/>
    <w:rsid w:val="00C93F6D"/>
    <w:rsid w:val="00C97D6A"/>
    <w:rsid w:val="00CA5A9B"/>
    <w:rsid w:val="00CC554F"/>
    <w:rsid w:val="00CC5C80"/>
    <w:rsid w:val="00CD2260"/>
    <w:rsid w:val="00D54B31"/>
    <w:rsid w:val="00D55726"/>
    <w:rsid w:val="00D56741"/>
    <w:rsid w:val="00D86DB1"/>
    <w:rsid w:val="00DA3E5A"/>
    <w:rsid w:val="00DC780C"/>
    <w:rsid w:val="00DD5AF2"/>
    <w:rsid w:val="00DF51B8"/>
    <w:rsid w:val="00E32253"/>
    <w:rsid w:val="00E53970"/>
    <w:rsid w:val="00E575A1"/>
    <w:rsid w:val="00E91A25"/>
    <w:rsid w:val="00E93E62"/>
    <w:rsid w:val="00EB2C51"/>
    <w:rsid w:val="00EC447E"/>
    <w:rsid w:val="00EC56C5"/>
    <w:rsid w:val="00ED39BF"/>
    <w:rsid w:val="00EE07C3"/>
    <w:rsid w:val="00EE1FDF"/>
    <w:rsid w:val="00F01B6F"/>
    <w:rsid w:val="00F2396F"/>
    <w:rsid w:val="00F25410"/>
    <w:rsid w:val="00F62C96"/>
    <w:rsid w:val="00F80829"/>
    <w:rsid w:val="00FB758A"/>
    <w:rsid w:val="00FD6702"/>
    <w:rsid w:val="00FF3426"/>
    <w:rsid w:val="059244A0"/>
    <w:rsid w:val="12B5B54F"/>
    <w:rsid w:val="14B08FAD"/>
    <w:rsid w:val="1BBFFCF8"/>
    <w:rsid w:val="1F19B33C"/>
    <w:rsid w:val="233C2718"/>
    <w:rsid w:val="2349A03E"/>
    <w:rsid w:val="292055D1"/>
    <w:rsid w:val="2A68FACF"/>
    <w:rsid w:val="2A955B04"/>
    <w:rsid w:val="375FDDA4"/>
    <w:rsid w:val="398DBC45"/>
    <w:rsid w:val="3AA81411"/>
    <w:rsid w:val="407FCBCE"/>
    <w:rsid w:val="41194265"/>
    <w:rsid w:val="44691E4D"/>
    <w:rsid w:val="4F837BB7"/>
    <w:rsid w:val="506D2F9E"/>
    <w:rsid w:val="534093BD"/>
    <w:rsid w:val="59052EFD"/>
    <w:rsid w:val="5A63C144"/>
    <w:rsid w:val="5A674748"/>
    <w:rsid w:val="5DF6786C"/>
    <w:rsid w:val="5E8AC683"/>
    <w:rsid w:val="62CFCED3"/>
    <w:rsid w:val="62EEDBCA"/>
    <w:rsid w:val="6302929D"/>
    <w:rsid w:val="7144A27E"/>
    <w:rsid w:val="73C1BF1B"/>
    <w:rsid w:val="7B5DB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40DA"/>
  <w15:chartTrackingRefBased/>
  <w15:docId w15:val="{F601595B-5AE2-4390-B11C-53FFE75E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A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E4A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E4A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E4A1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E4A1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E4A1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E4A1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E4A1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E4A1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E4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1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E4A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1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E4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4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4A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4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82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64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8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48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3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Rokas Jucys</dc:creator>
  <keywords/>
  <dc:description/>
  <lastModifiedBy>Simona Mikutavičienė</lastModifiedBy>
  <revision>3</revision>
  <dcterms:created xsi:type="dcterms:W3CDTF">2025-03-25T08:05:00.0000000Z</dcterms:created>
  <dcterms:modified xsi:type="dcterms:W3CDTF">2025-03-26T12:39:23.6407847Z</dcterms:modified>
</coreProperties>
</file>