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8EA" w:rsidRDefault="000038EA" w:rsidP="000038EA">
      <w:pPr>
        <w:ind w:left="6480" w:firstLine="1296"/>
      </w:pPr>
      <w:r>
        <w:t xml:space="preserve">     </w:t>
      </w:r>
    </w:p>
    <w:p w:rsidR="000038EA" w:rsidRDefault="000038EA" w:rsidP="000038EA">
      <w:pPr>
        <w:ind w:left="7776" w:right="282"/>
        <w:jc w:val="center"/>
      </w:pPr>
      <w:r>
        <w:t xml:space="preserve">          </w:t>
      </w:r>
    </w:p>
    <w:p w:rsidR="000038EA" w:rsidRDefault="000038EA" w:rsidP="000038EA">
      <w:pPr>
        <w:pStyle w:val="Betarp"/>
        <w:jc w:val="center"/>
        <w:rPr>
          <w:b/>
        </w:rPr>
      </w:pPr>
      <w:r>
        <w:rPr>
          <w:b/>
        </w:rPr>
        <w:t>MEDICINOS LABORATORIJOS PASLAUGŲ PIRKIMO-PARDAVIMO</w:t>
      </w:r>
    </w:p>
    <w:p w:rsidR="000038EA" w:rsidRDefault="000038EA" w:rsidP="000038EA">
      <w:pPr>
        <w:pStyle w:val="Betarp"/>
        <w:jc w:val="center"/>
        <w:rPr>
          <w:b/>
        </w:rPr>
      </w:pPr>
      <w:r>
        <w:rPr>
          <w:b/>
        </w:rPr>
        <w:t>SUTARTIS Nr.</w:t>
      </w:r>
    </w:p>
    <w:p w:rsidR="000038EA" w:rsidRDefault="000038EA" w:rsidP="000038EA">
      <w:pPr>
        <w:pStyle w:val="Betarp"/>
      </w:pPr>
    </w:p>
    <w:p w:rsidR="000038EA" w:rsidRDefault="000038EA" w:rsidP="000038EA">
      <w:pPr>
        <w:pStyle w:val="Betarp"/>
        <w:jc w:val="center"/>
      </w:pPr>
      <w:r>
        <w:t>202</w:t>
      </w:r>
      <w:r w:rsidR="00574EA1">
        <w:t>5</w:t>
      </w:r>
      <w:r w:rsidR="00A26E54">
        <w:t xml:space="preserve"> m. </w:t>
      </w:r>
      <w:r w:rsidR="009B201A">
        <w:t>Kovo 31</w:t>
      </w:r>
      <w:r w:rsidR="00A26E54">
        <w:t xml:space="preserve"> </w:t>
      </w:r>
      <w:r>
        <w:t>d.</w:t>
      </w:r>
    </w:p>
    <w:p w:rsidR="000038EA" w:rsidRDefault="000038EA" w:rsidP="000038EA">
      <w:pPr>
        <w:pStyle w:val="Betarp"/>
        <w:jc w:val="center"/>
      </w:pPr>
      <w:r>
        <w:t>Kalvarija</w:t>
      </w:r>
    </w:p>
    <w:p w:rsidR="000038EA" w:rsidRDefault="000038EA" w:rsidP="000038EA">
      <w:pPr>
        <w:pStyle w:val="Betarp"/>
        <w:jc w:val="center"/>
      </w:pPr>
    </w:p>
    <w:p w:rsidR="000038EA" w:rsidRDefault="000038EA" w:rsidP="000038EA">
      <w:pPr>
        <w:ind w:firstLine="851"/>
        <w:jc w:val="both"/>
        <w:rPr>
          <w:rFonts w:eastAsia="Calibri"/>
        </w:rPr>
      </w:pPr>
      <w:bookmarkStart w:id="0" w:name="_Hlk496178029"/>
      <w:r>
        <w:rPr>
          <w:rFonts w:eastAsia="Calibri"/>
          <w:b/>
        </w:rPr>
        <w:t>Viešoji įstaiga Kalvarijos savivaldybės sveikatos centras</w:t>
      </w:r>
      <w:bookmarkEnd w:id="0"/>
      <w:r>
        <w:rPr>
          <w:rFonts w:eastAsia="Calibri"/>
          <w:b/>
        </w:rPr>
        <w:t>,</w:t>
      </w:r>
      <w:r>
        <w:rPr>
          <w:rFonts w:eastAsia="Calibri"/>
        </w:rPr>
        <w:t xml:space="preserve"> juridinio asmens kodas 165802433, atstovaujamas direktorės Aušros Dainauskienės, veikiančios pagal viešosios įstaigos Kalvarijos  savivaldybės sveikatos centro įstatus </w:t>
      </w:r>
      <w:r>
        <w:rPr>
          <w:rFonts w:eastAsia="Calibri"/>
          <w:iCs/>
        </w:rPr>
        <w:t>(</w:t>
      </w:r>
      <w:r>
        <w:rPr>
          <w:rFonts w:eastAsia="Calibri"/>
        </w:rPr>
        <w:t xml:space="preserve">toliau </w:t>
      </w:r>
      <w:r>
        <w:rPr>
          <w:rFonts w:eastAsia="Calibri"/>
        </w:rPr>
        <w:sym w:font="Symbol" w:char="F02D"/>
      </w:r>
      <w:r>
        <w:rPr>
          <w:rFonts w:eastAsia="Calibri"/>
        </w:rPr>
        <w:t xml:space="preserve"> </w:t>
      </w:r>
      <w:r>
        <w:rPr>
          <w:rFonts w:eastAsia="Calibri"/>
          <w:bCs/>
        </w:rPr>
        <w:t>Perkančioji organizacija)</w:t>
      </w:r>
      <w:r>
        <w:rPr>
          <w:rFonts w:eastAsia="Calibri"/>
        </w:rPr>
        <w:t>, ir</w:t>
      </w:r>
    </w:p>
    <w:p w:rsidR="000038EA" w:rsidRDefault="00A26E54" w:rsidP="000038EA">
      <w:pPr>
        <w:jc w:val="both"/>
        <w:rPr>
          <w:rFonts w:eastAsia="Calibri"/>
        </w:rPr>
      </w:pPr>
      <w:r>
        <w:rPr>
          <w:rFonts w:eastAsia="Calibri"/>
          <w:b/>
        </w:rPr>
        <w:t>UAB Diagnostikos laboratorija</w:t>
      </w:r>
      <w:r w:rsidR="000038EA">
        <w:rPr>
          <w:rFonts w:eastAsia="Calibri"/>
          <w:b/>
        </w:rPr>
        <w:t xml:space="preserve"> ,</w:t>
      </w:r>
      <w:r w:rsidR="000038EA">
        <w:rPr>
          <w:rFonts w:eastAsia="Calibri"/>
        </w:rPr>
        <w:t xml:space="preserve"> pagal Lietuvos Respublikos įstatymus įsteigta ir veikianti įmonė, jurid</w:t>
      </w:r>
      <w:r>
        <w:rPr>
          <w:rFonts w:eastAsia="Calibri"/>
        </w:rPr>
        <w:t>inio asmens kodas 300598351</w:t>
      </w:r>
      <w:r w:rsidR="000038EA">
        <w:rPr>
          <w:rFonts w:eastAsia="Calibri"/>
        </w:rPr>
        <w:t>,</w:t>
      </w:r>
      <w:r>
        <w:rPr>
          <w:rFonts w:eastAsia="Calibri"/>
        </w:rPr>
        <w:t xml:space="preserve"> atstovaujama viešųjų pirkimų vadovės Jolantos Zaikauskienės</w:t>
      </w:r>
      <w:r w:rsidR="000038EA">
        <w:rPr>
          <w:rFonts w:eastAsia="Calibri"/>
        </w:rPr>
        <w:t>, veikian</w:t>
      </w:r>
      <w:r>
        <w:rPr>
          <w:rFonts w:eastAsia="Calibri"/>
        </w:rPr>
        <w:t>čio(-ios) pagal įmonės įgaliojimą</w:t>
      </w:r>
      <w:r w:rsidR="000038EA">
        <w:rPr>
          <w:rFonts w:eastAsia="Calibri"/>
        </w:rPr>
        <w:t xml:space="preserve"> </w:t>
      </w:r>
      <w:r w:rsidR="000038EA">
        <w:rPr>
          <w:rFonts w:eastAsia="Calibri"/>
          <w:iCs/>
        </w:rPr>
        <w:t>(</w:t>
      </w:r>
      <w:r w:rsidR="000038EA">
        <w:rPr>
          <w:rFonts w:eastAsia="Calibri"/>
        </w:rPr>
        <w:t xml:space="preserve">toliau </w:t>
      </w:r>
      <w:r w:rsidR="000038EA">
        <w:rPr>
          <w:rFonts w:eastAsia="Calibri"/>
        </w:rPr>
        <w:sym w:font="Symbol" w:char="F02D"/>
      </w:r>
      <w:r w:rsidR="000038EA">
        <w:rPr>
          <w:rFonts w:eastAsia="Calibri"/>
        </w:rPr>
        <w:t xml:space="preserve"> </w:t>
      </w:r>
      <w:bookmarkStart w:id="1" w:name="_Hlk499210403"/>
      <w:r w:rsidR="000038EA">
        <w:rPr>
          <w:rFonts w:eastAsia="Calibri"/>
        </w:rPr>
        <w:t>Paslaugų teikėjas</w:t>
      </w:r>
      <w:bookmarkEnd w:id="1"/>
      <w:r w:rsidR="000038EA">
        <w:rPr>
          <w:rFonts w:eastAsia="Calibri"/>
        </w:rPr>
        <w:t xml:space="preserve">), </w:t>
      </w:r>
      <w:r w:rsidR="000038EA">
        <w:rPr>
          <w:rFonts w:eastAsia="Calibri"/>
          <w:bCs/>
        </w:rPr>
        <w:t xml:space="preserve">(toliau kartu – Šalys, o kiekvienas atskirai – Šalis) </w:t>
      </w:r>
      <w:r w:rsidR="000038EA">
        <w:rPr>
          <w:rFonts w:eastAsia="Calibri"/>
        </w:rPr>
        <w:t>sudarė šią sutartį (toliau – Sutartis), vadovaujantis neskelbiamos ap</w:t>
      </w:r>
      <w:r>
        <w:rPr>
          <w:rFonts w:eastAsia="Calibri"/>
        </w:rPr>
        <w:t>klausos būdu 2024 m. kovo 22</w:t>
      </w:r>
      <w:r w:rsidR="000038EA">
        <w:rPr>
          <w:rFonts w:eastAsia="Calibri"/>
        </w:rPr>
        <w:t xml:space="preserve"> d. atlikto viešojo pirkimo Medicinos laboratorijos paslaugų pirkimo sąlygomis ir susitarė dėl toliau išvardytų sąlygų:</w:t>
      </w:r>
    </w:p>
    <w:p w:rsidR="000038EA" w:rsidRDefault="000038EA" w:rsidP="000038EA">
      <w:pPr>
        <w:pStyle w:val="Betarp"/>
        <w:rPr>
          <w:rFonts w:eastAsia="SimSun"/>
        </w:rPr>
      </w:pPr>
    </w:p>
    <w:p w:rsidR="000038EA" w:rsidRDefault="000038EA" w:rsidP="000038EA">
      <w:pPr>
        <w:pStyle w:val="Betarp"/>
        <w:jc w:val="center"/>
        <w:rPr>
          <w:b/>
        </w:rPr>
      </w:pPr>
      <w:r>
        <w:rPr>
          <w:b/>
        </w:rPr>
        <w:t>1. SUTARTIES OBJEKTAS</w:t>
      </w:r>
    </w:p>
    <w:p w:rsidR="000038EA" w:rsidRDefault="000038EA" w:rsidP="000038EA">
      <w:pPr>
        <w:pStyle w:val="Betarp"/>
        <w:jc w:val="center"/>
        <w:rPr>
          <w:b/>
        </w:rPr>
      </w:pPr>
    </w:p>
    <w:p w:rsidR="000038EA" w:rsidRDefault="000038EA" w:rsidP="000038EA">
      <w:pPr>
        <w:ind w:firstLine="851"/>
        <w:jc w:val="both"/>
        <w:rPr>
          <w:rFonts w:eastAsia="Arial Unicode MS"/>
          <w:lang w:eastAsia="lt-LT"/>
        </w:rPr>
      </w:pPr>
      <w:r>
        <w:rPr>
          <w:rFonts w:eastAsia="Arial Unicode MS"/>
          <w:lang w:eastAsia="lt-LT"/>
        </w:rPr>
        <w:t>1.1. Vadovaudamasis Sutarties nuostatomis</w:t>
      </w:r>
      <w:r>
        <w:t xml:space="preserve"> </w:t>
      </w:r>
      <w:bookmarkStart w:id="2" w:name="_Hlk499210447"/>
      <w:r>
        <w:rPr>
          <w:rFonts w:eastAsia="Arial Unicode MS"/>
          <w:lang w:eastAsia="lt-LT"/>
        </w:rPr>
        <w:t xml:space="preserve">Paslaugų teikėjas </w:t>
      </w:r>
      <w:bookmarkEnd w:id="2"/>
      <w:r>
        <w:rPr>
          <w:rFonts w:eastAsia="Arial Unicode MS"/>
          <w:lang w:eastAsia="lt-LT"/>
        </w:rPr>
        <w:t>įsipareigoja teikti Perkančiajai organizacijai MEDICINOS LABORATORIJOS PASLAUGAS (toliau – Paslaugos), o Perkančioji organizacija įsipareigoja naudotis Paslaugomis ir atsiskaityti už jas Sutartyje nustatyta tvarka ir sąlygomis.</w:t>
      </w:r>
    </w:p>
    <w:p w:rsidR="000038EA" w:rsidRDefault="000038EA" w:rsidP="000038EA">
      <w:pPr>
        <w:ind w:firstLine="851"/>
        <w:rPr>
          <w:rFonts w:eastAsia="Arial Unicode MS"/>
          <w:lang w:eastAsia="lt-LT"/>
        </w:rPr>
      </w:pPr>
    </w:p>
    <w:p w:rsidR="000038EA" w:rsidRDefault="000038EA" w:rsidP="000038EA">
      <w:pPr>
        <w:jc w:val="center"/>
        <w:rPr>
          <w:rFonts w:eastAsia="Arial Unicode MS"/>
          <w:b/>
          <w:lang w:eastAsia="lt-LT"/>
        </w:rPr>
      </w:pPr>
      <w:r>
        <w:rPr>
          <w:rFonts w:eastAsia="Arial Unicode MS"/>
          <w:b/>
          <w:lang w:eastAsia="lt-LT"/>
        </w:rPr>
        <w:t>2. PASLAUGŲ TEIKIMO PRADŽIA</w:t>
      </w:r>
    </w:p>
    <w:p w:rsidR="000038EA" w:rsidRDefault="000038EA" w:rsidP="000038EA">
      <w:pPr>
        <w:jc w:val="center"/>
        <w:rPr>
          <w:rFonts w:eastAsia="Arial Unicode MS"/>
          <w:b/>
          <w:lang w:eastAsia="lt-LT"/>
        </w:rPr>
      </w:pPr>
      <w:r>
        <w:rPr>
          <w:rFonts w:eastAsia="Arial Unicode MS"/>
          <w:b/>
          <w:lang w:eastAsia="lt-LT"/>
        </w:rPr>
        <w:tab/>
      </w:r>
    </w:p>
    <w:p w:rsidR="000038EA" w:rsidRDefault="000038EA" w:rsidP="000038EA">
      <w:pPr>
        <w:ind w:firstLine="851"/>
        <w:rPr>
          <w:rFonts w:eastAsia="Arial Unicode MS"/>
          <w:b/>
          <w:lang w:eastAsia="lt-LT"/>
        </w:rPr>
      </w:pPr>
      <w:r>
        <w:rPr>
          <w:rFonts w:eastAsia="Arial Unicode MS"/>
          <w:lang w:eastAsia="lt-LT"/>
        </w:rPr>
        <w:t>2.1.</w:t>
      </w:r>
      <w:r>
        <w:rPr>
          <w:rFonts w:eastAsia="Arial Unicode MS"/>
          <w:b/>
          <w:lang w:eastAsia="lt-LT"/>
        </w:rPr>
        <w:t xml:space="preserve"> </w:t>
      </w:r>
      <w:r>
        <w:rPr>
          <w:rFonts w:eastAsia="Arial Unicode MS"/>
          <w:lang w:eastAsia="lt-LT"/>
        </w:rPr>
        <w:t>Paslaugos pradedamos teikti įsigaliojus Sutarčiai</w:t>
      </w:r>
      <w:r>
        <w:rPr>
          <w:rFonts w:eastAsia="Arial Unicode MS"/>
          <w:b/>
          <w:lang w:eastAsia="lt-LT"/>
        </w:rPr>
        <w:t>.</w:t>
      </w:r>
    </w:p>
    <w:p w:rsidR="000038EA" w:rsidRDefault="000038EA" w:rsidP="000038EA">
      <w:pPr>
        <w:jc w:val="center"/>
        <w:rPr>
          <w:rFonts w:eastAsia="Arial Unicode MS"/>
          <w:b/>
          <w:lang w:eastAsia="lt-LT"/>
        </w:rPr>
      </w:pPr>
    </w:p>
    <w:p w:rsidR="000038EA" w:rsidRDefault="000038EA" w:rsidP="000038EA">
      <w:pPr>
        <w:jc w:val="center"/>
        <w:rPr>
          <w:rFonts w:eastAsia="Arial Unicode MS"/>
          <w:b/>
          <w:lang w:eastAsia="lt-LT"/>
        </w:rPr>
      </w:pPr>
      <w:r>
        <w:rPr>
          <w:rFonts w:eastAsia="Arial Unicode MS"/>
          <w:b/>
          <w:lang w:eastAsia="lt-LT"/>
        </w:rPr>
        <w:t>3. PASLAUGŲ KAINA IR ATSISKAITYMO TVARKA</w:t>
      </w:r>
    </w:p>
    <w:p w:rsidR="000038EA" w:rsidRDefault="000038EA" w:rsidP="000038EA">
      <w:pPr>
        <w:jc w:val="center"/>
        <w:rPr>
          <w:rFonts w:eastAsia="Arial Unicode MS"/>
          <w:b/>
          <w:lang w:eastAsia="lt-LT"/>
        </w:rPr>
      </w:pPr>
    </w:p>
    <w:p w:rsidR="000038EA" w:rsidRDefault="000038EA" w:rsidP="000038EA">
      <w:pPr>
        <w:ind w:firstLine="851"/>
        <w:jc w:val="both"/>
        <w:rPr>
          <w:rFonts w:eastAsia="Arial Unicode MS"/>
          <w:lang w:eastAsia="lt-LT"/>
        </w:rPr>
      </w:pPr>
      <w:r>
        <w:rPr>
          <w:rFonts w:eastAsia="Arial Unicode MS"/>
          <w:lang w:eastAsia="lt-LT"/>
        </w:rPr>
        <w:t xml:space="preserve">3.1. Sutarties dalyko kaina nustatyta Paslaugų teikėjo pasiūlyme </w:t>
      </w:r>
      <w:bookmarkStart w:id="3" w:name="_Hlk499211944"/>
      <w:r>
        <w:rPr>
          <w:rFonts w:eastAsia="Arial Unicode MS"/>
          <w:lang w:eastAsia="lt-LT"/>
        </w:rPr>
        <w:t>Sutarties 1 priede</w:t>
      </w:r>
      <w:bookmarkEnd w:id="3"/>
      <w:r>
        <w:rPr>
          <w:rFonts w:eastAsia="Arial Unicode MS"/>
          <w:lang w:eastAsia="lt-LT"/>
        </w:rPr>
        <w:t>.</w:t>
      </w:r>
      <w:r>
        <w:t xml:space="preserve"> </w:t>
      </w:r>
      <w:r>
        <w:rPr>
          <w:b/>
        </w:rPr>
        <w:t xml:space="preserve">Maksimali sutarties kaina yra </w:t>
      </w:r>
      <w:r w:rsidR="00A26E54">
        <w:rPr>
          <w:b/>
        </w:rPr>
        <w:t>149</w:t>
      </w:r>
      <w:r w:rsidR="002D35A0">
        <w:rPr>
          <w:b/>
        </w:rPr>
        <w:t>48</w:t>
      </w:r>
      <w:r w:rsidR="00A26E54">
        <w:rPr>
          <w:b/>
        </w:rPr>
        <w:t>,</w:t>
      </w:r>
      <w:r w:rsidR="002D35A0">
        <w:rPr>
          <w:b/>
        </w:rPr>
        <w:t>13</w:t>
      </w:r>
      <w:r>
        <w:rPr>
          <w:b/>
        </w:rPr>
        <w:t xml:space="preserve"> eur</w:t>
      </w:r>
      <w:r w:rsidR="00A26E54">
        <w:rPr>
          <w:b/>
        </w:rPr>
        <w:t xml:space="preserve">ų (skaitmenimis) keturiolika tūkstančių devyni šimtai </w:t>
      </w:r>
      <w:r w:rsidR="005220EA">
        <w:rPr>
          <w:b/>
        </w:rPr>
        <w:t>keturiasdešimt aštuoni</w:t>
      </w:r>
      <w:r w:rsidR="00A26E54">
        <w:rPr>
          <w:b/>
        </w:rPr>
        <w:t xml:space="preserve"> eurai </w:t>
      </w:r>
      <w:r w:rsidR="009E4BD6">
        <w:rPr>
          <w:b/>
        </w:rPr>
        <w:t>13</w:t>
      </w:r>
      <w:r w:rsidR="00A26E54">
        <w:rPr>
          <w:b/>
        </w:rPr>
        <w:t xml:space="preserve"> cent</w:t>
      </w:r>
      <w:r w:rsidR="009E4BD6">
        <w:rPr>
          <w:b/>
        </w:rPr>
        <w:t>ų</w:t>
      </w:r>
      <w:r>
        <w:rPr>
          <w:b/>
        </w:rPr>
        <w:t xml:space="preserve"> (žodžiais).</w:t>
      </w:r>
      <w:r>
        <w:t xml:space="preserve"> </w:t>
      </w:r>
      <w:r>
        <w:rPr>
          <w:rFonts w:eastAsia="Arial Unicode MS"/>
          <w:lang w:eastAsia="lt-LT"/>
        </w:rPr>
        <w:t>1 priede pateikti tyrimų įkainiai negali būti didinami visą sutarties galiojimo laikotarpį.</w:t>
      </w:r>
    </w:p>
    <w:p w:rsidR="000038EA" w:rsidRDefault="000038EA" w:rsidP="000038EA">
      <w:pPr>
        <w:ind w:firstLine="851"/>
        <w:jc w:val="both"/>
        <w:rPr>
          <w:rFonts w:eastAsia="Arial Unicode MS"/>
          <w:lang w:eastAsia="lt-LT"/>
        </w:rPr>
      </w:pPr>
      <w:r>
        <w:rPr>
          <w:rFonts w:eastAsia="Arial Unicode MS"/>
          <w:lang w:eastAsia="lt-LT"/>
        </w:rPr>
        <w:t>3.2. Į Sutarties 1 priede nurodytą paslaugų kainą įtraukti visi Paslaugų teikėjui privalomi mokėti mokesčiai ir visos su paslaugų tiekimu susijusios išlaidos.</w:t>
      </w:r>
      <w:r>
        <w:t xml:space="preserve"> </w:t>
      </w:r>
    </w:p>
    <w:p w:rsidR="000038EA" w:rsidRDefault="000038EA" w:rsidP="000038EA">
      <w:pPr>
        <w:ind w:firstLine="851"/>
        <w:jc w:val="both"/>
        <w:rPr>
          <w:rFonts w:eastAsia="Arial Unicode MS"/>
          <w:lang w:eastAsia="lt-LT"/>
        </w:rPr>
      </w:pPr>
      <w:r>
        <w:rPr>
          <w:rFonts w:eastAsia="Arial Unicode MS"/>
          <w:lang w:eastAsia="lt-LT"/>
        </w:rPr>
        <w:t>3.3. Paslaugų kaina Sutarties 1 priede nurodoma eurais be pridėtinės vertės mokesčio (toliau  – PVM) (Lietuvos Respublikos Pridėtinės vertės mokesčio įstatymo 20 str. – asmens sveikatos priežiūros paslaugos PVM neapmokestinamos). Pasikeitus Lietuvos Respublikos teisės aktams, reglamentuojantiems, bet tuo neapsiribojantiems, paslaugų apmokestinimą PVM, Paslaugų kaina indeksuojama koeficientu, atitinkančiu PVM pasikeitimą.</w:t>
      </w:r>
    </w:p>
    <w:p w:rsidR="000038EA" w:rsidRDefault="000038EA" w:rsidP="000038EA">
      <w:pPr>
        <w:pStyle w:val="Pagrindinistekstas2"/>
        <w:tabs>
          <w:tab w:val="left" w:pos="284"/>
        </w:tabs>
        <w:spacing w:line="240" w:lineRule="auto"/>
        <w:ind w:firstLine="851"/>
        <w:rPr>
          <w:sz w:val="24"/>
          <w:szCs w:val="24"/>
        </w:rPr>
      </w:pPr>
      <w:r>
        <w:rPr>
          <w:sz w:val="24"/>
          <w:szCs w:val="24"/>
        </w:rPr>
        <w:t>3.4.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3.7.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038EA" w:rsidRDefault="000038EA" w:rsidP="000038EA">
      <w:pPr>
        <w:spacing w:line="252" w:lineRule="auto"/>
        <w:ind w:firstLine="851"/>
        <w:jc w:val="both"/>
      </w:pPr>
      <w:r>
        <w:t>3.5. Šalys privalo Susitarime nurodyti indekso reikšmę laikotarpio pradžioje ir jos nustatymo datą, indekso reikšmę laikotarpio pabaigoje ir jos nustatymo datą, kainų pokytį (k), perskaičiuotus įkainius, naujų įkainių įsigaliojimo datą.</w:t>
      </w:r>
    </w:p>
    <w:p w:rsidR="000038EA" w:rsidRDefault="000038EA" w:rsidP="000038EA">
      <w:pPr>
        <w:spacing w:line="252" w:lineRule="auto"/>
        <w:ind w:firstLine="851"/>
        <w:jc w:val="both"/>
      </w:pPr>
      <w:r>
        <w:t xml:space="preserve">3.6. Perskaičiuotieji įkainiai taikomi Paslaugoms, suteiktoms po to, kai įsigalioja Šalių sudarytas susitarimas dėl įkainių perskaičiavimo. </w:t>
      </w:r>
    </w:p>
    <w:p w:rsidR="000038EA" w:rsidRDefault="000038EA" w:rsidP="000038EA">
      <w:pPr>
        <w:spacing w:line="252" w:lineRule="auto"/>
        <w:ind w:firstLine="851"/>
        <w:jc w:val="both"/>
      </w:pPr>
      <w:r>
        <w:t>3.7. Nauji įkainiai apskaičiuojami pagal formulę:</w:t>
      </w:r>
    </w:p>
    <w:p w:rsidR="000038EA" w:rsidRDefault="000038EA" w:rsidP="000038EA">
      <w:pPr>
        <w:spacing w:line="252" w:lineRule="auto"/>
        <w:ind w:firstLine="709"/>
        <w:jc w:val="both"/>
        <w:rPr>
          <w:i/>
          <w:iCs/>
        </w:rPr>
      </w:pPr>
      <w:r>
        <w:rPr>
          <w:iCs/>
        </w:rPr>
        <w:fldChar w:fldCharType="begin"/>
      </w:r>
      <w:r>
        <w:rPr>
          <w:iCs/>
        </w:rPr>
        <w:instrText xml:space="preserve"> QUOTE </w:instrText>
      </w:r>
      <w:r w:rsidR="00000000">
        <w:rPr>
          <w:position w:val="-14"/>
        </w:rPr>
        <w:pict w14:anchorId="026EC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75pt" equationxml="&lt;">
            <v:imagedata r:id="rId6" o:title="" chromakey="white"/>
          </v:shape>
        </w:pict>
      </w:r>
      <w:r>
        <w:rPr>
          <w:iCs/>
        </w:rPr>
        <w:instrText xml:space="preserve"> </w:instrText>
      </w:r>
      <w:r>
        <w:rPr>
          <w:iCs/>
        </w:rPr>
        <w:fldChar w:fldCharType="separate"/>
      </w:r>
      <w:r w:rsidR="00000000">
        <w:rPr>
          <w:position w:val="-14"/>
        </w:rPr>
        <w:pict w14:anchorId="6F183335">
          <v:shape id="_x0000_i1026" type="#_x0000_t75" style="width:96pt;height:21.75pt" equationxml="&lt;">
            <v:imagedata r:id="rId6" o:title="" chromakey="white"/>
          </v:shape>
        </w:pict>
      </w:r>
      <w:r>
        <w:rPr>
          <w:iCs/>
        </w:rPr>
        <w:fldChar w:fldCharType="end"/>
      </w:r>
      <w:r>
        <w:rPr>
          <w:i/>
          <w:iCs/>
        </w:rPr>
        <w:t>, kur</w:t>
      </w:r>
    </w:p>
    <w:p w:rsidR="000038EA" w:rsidRDefault="000038EA" w:rsidP="000038EA">
      <w:pPr>
        <w:spacing w:line="252" w:lineRule="auto"/>
        <w:ind w:firstLine="709"/>
        <w:jc w:val="both"/>
        <w:rPr>
          <w:i/>
          <w:iCs/>
        </w:rPr>
      </w:pPr>
      <w:r>
        <w:rPr>
          <w:i/>
          <w:iCs/>
        </w:rPr>
        <w:t>a – įkainis (Eur be PVM)) (jei jis jau buvo perskaičiuotas, tai po paskutinio perskaičiavimo).</w:t>
      </w:r>
    </w:p>
    <w:p w:rsidR="000038EA" w:rsidRDefault="000038EA" w:rsidP="000038EA">
      <w:pPr>
        <w:spacing w:line="252" w:lineRule="auto"/>
        <w:ind w:firstLine="709"/>
        <w:jc w:val="both"/>
        <w:rPr>
          <w:i/>
          <w:iCs/>
        </w:rPr>
      </w:pPr>
      <w:r>
        <w:rPr>
          <w:i/>
          <w:iCs/>
        </w:rPr>
        <w:t>a</w:t>
      </w:r>
      <w:r>
        <w:rPr>
          <w:i/>
          <w:iCs/>
          <w:vertAlign w:val="subscript"/>
        </w:rPr>
        <w:t>1</w:t>
      </w:r>
      <w:r>
        <w:rPr>
          <w:i/>
          <w:iCs/>
        </w:rPr>
        <w:t xml:space="preserve"> – perskaičiuotas (pakeistas) įkainis (Eur be PVM).</w:t>
      </w:r>
    </w:p>
    <w:p w:rsidR="000038EA" w:rsidRDefault="000038EA" w:rsidP="000038EA">
      <w:pPr>
        <w:spacing w:line="252" w:lineRule="auto"/>
        <w:ind w:firstLine="709"/>
        <w:jc w:val="both"/>
        <w:rPr>
          <w:i/>
          <w:iCs/>
        </w:rPr>
      </w:pPr>
      <w:r>
        <w:rPr>
          <w:i/>
          <w:iCs/>
        </w:rPr>
        <w:t xml:space="preserve">k – Pagal vartotojų kainų indeksą (pasirenkamas bendras „Vartojimo prekės ir paslaugos“) apskaičiuotas Vartojimo prekių ir paslaugų  kainų pokytis (padidėjimas arba sumažėjimas) (%). „k“ reikšmė skaičiuojama pagal formulę: </w:t>
      </w:r>
    </w:p>
    <w:p w:rsidR="000038EA" w:rsidRDefault="000038EA" w:rsidP="000038EA">
      <w:pPr>
        <w:spacing w:line="252" w:lineRule="auto"/>
        <w:ind w:firstLine="709"/>
        <w:jc w:val="both"/>
        <w:rPr>
          <w:i/>
          <w:iCs/>
        </w:rPr>
      </w:pPr>
      <w:r>
        <w:rPr>
          <w:iCs/>
        </w:rPr>
        <w:fldChar w:fldCharType="begin"/>
      </w:r>
      <w:r>
        <w:rPr>
          <w:iCs/>
        </w:rPr>
        <w:instrText xml:space="preserve"> QUOTE </w:instrText>
      </w:r>
      <w:r w:rsidR="00000000">
        <w:rPr>
          <w:position w:val="-20"/>
        </w:rPr>
        <w:pict w14:anchorId="0E7160B6">
          <v:shape id="_x0000_i1027" type="#_x0000_t75" style="width:150pt;height:24.75pt" equationxml="&lt;">
            <v:imagedata r:id="rId7" o:title="" chromakey="white"/>
          </v:shape>
        </w:pict>
      </w:r>
      <w:r>
        <w:rPr>
          <w:iCs/>
        </w:rPr>
        <w:instrText xml:space="preserve"> </w:instrText>
      </w:r>
      <w:r>
        <w:rPr>
          <w:iCs/>
        </w:rPr>
        <w:fldChar w:fldCharType="separate"/>
      </w:r>
      <w:r w:rsidR="00000000">
        <w:rPr>
          <w:position w:val="-20"/>
        </w:rPr>
        <w:pict w14:anchorId="2E97D240">
          <v:shape id="_x0000_i1028" type="#_x0000_t75" style="width:150pt;height:24.75pt" equationxml="&lt;">
            <v:imagedata r:id="rId7" o:title="" chromakey="white"/>
          </v:shape>
        </w:pict>
      </w:r>
      <w:r>
        <w:rPr>
          <w:iCs/>
        </w:rPr>
        <w:fldChar w:fldCharType="end"/>
      </w:r>
      <w:r>
        <w:rPr>
          <w:i/>
          <w:iCs/>
        </w:rPr>
        <w:t>, (proc.), kur</w:t>
      </w:r>
    </w:p>
    <w:p w:rsidR="000038EA" w:rsidRDefault="000038EA" w:rsidP="000038EA">
      <w:pPr>
        <w:spacing w:line="252" w:lineRule="auto"/>
        <w:ind w:firstLine="709"/>
        <w:jc w:val="both"/>
        <w:rPr>
          <w:i/>
          <w:iCs/>
        </w:rPr>
      </w:pPr>
      <w:r>
        <w:rPr>
          <w:i/>
          <w:iCs/>
        </w:rPr>
        <w:t>Ind</w:t>
      </w:r>
      <w:r>
        <w:rPr>
          <w:i/>
          <w:iCs/>
          <w:vertAlign w:val="subscript"/>
        </w:rPr>
        <w:t>naujausias</w:t>
      </w:r>
      <w:r>
        <w:rPr>
          <w:i/>
          <w:iCs/>
        </w:rPr>
        <w:t>– kreipimosi dėl kainos perskaičiavimo išsiuntimo kitai šaliai datą naujausias paskelbtas vartojimo prekių ir paslaugų indeksas (pasirenkamas bendras „Vartojimo prekės ir paslaugos“).</w:t>
      </w:r>
    </w:p>
    <w:p w:rsidR="000038EA" w:rsidRDefault="000038EA" w:rsidP="000038EA">
      <w:pPr>
        <w:spacing w:line="252" w:lineRule="auto"/>
        <w:ind w:firstLine="709"/>
        <w:jc w:val="both"/>
        <w:rPr>
          <w:i/>
          <w:iCs/>
        </w:rPr>
      </w:pPr>
      <w:r>
        <w:rPr>
          <w:i/>
          <w:iCs/>
        </w:rPr>
        <w:t>Ind</w:t>
      </w:r>
      <w:r>
        <w:rPr>
          <w:i/>
          <w:iCs/>
          <w:vertAlign w:val="subscript"/>
        </w:rPr>
        <w:t>pradžia</w:t>
      </w:r>
      <w:r>
        <w:rPr>
          <w:i/>
          <w:iCs/>
        </w:rPr>
        <w:t xml:space="preserve"> – laikotarpio pradžios datos (mėnesio) vartojimo prekių ir paslaugų indeksas (pasirenkamas bendras „Vartojimo prekės ir paslaugos“ ).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rsidR="000038EA" w:rsidRDefault="000038EA" w:rsidP="000038EA">
      <w:pPr>
        <w:spacing w:line="252" w:lineRule="auto"/>
        <w:ind w:firstLine="851"/>
        <w:jc w:val="both"/>
      </w:pPr>
      <w:r>
        <w:t xml:space="preserve">3.8.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rsidR="000038EA" w:rsidRDefault="000038EA" w:rsidP="000038EA">
      <w:pPr>
        <w:spacing w:line="252" w:lineRule="auto"/>
        <w:ind w:firstLine="851"/>
        <w:jc w:val="both"/>
      </w:pPr>
      <w:r>
        <w:t>3.9. Vėlesnis kainų arba įkainių perskaičiavimas negali apimti laikotarpio, už kurį jau buvo atliktas perskaičiavimas.</w:t>
      </w:r>
    </w:p>
    <w:p w:rsidR="000038EA" w:rsidRDefault="000038EA" w:rsidP="000038EA">
      <w:pPr>
        <w:ind w:firstLine="851"/>
        <w:jc w:val="both"/>
        <w:rPr>
          <w:rFonts w:eastAsia="Arial Unicode MS"/>
          <w:lang w:eastAsia="lt-LT"/>
        </w:rPr>
      </w:pPr>
      <w:bookmarkStart w:id="4" w:name="_Hlk497118869"/>
      <w:r>
        <w:rPr>
          <w:rFonts w:eastAsia="Arial Unicode MS"/>
          <w:lang w:eastAsia="lt-LT"/>
        </w:rPr>
        <w:t>3.10. Sąskaita-faktūra už praėjusį mėnesį suteiktas Paslaugas turi būti pateikta ne vėliau nei sekančio mėnesio 10 d. Sąskaitoje-faktūroje turi būti nurodyti tyrimų pavadinimai, vieneto kaina, tyrimų kiekis, suma bei suma už visus atsiskaitomo mėnesio tyrimus.</w:t>
      </w:r>
    </w:p>
    <w:p w:rsidR="000038EA" w:rsidRDefault="000038EA" w:rsidP="000038EA">
      <w:pPr>
        <w:ind w:firstLine="851"/>
        <w:jc w:val="both"/>
        <w:rPr>
          <w:rFonts w:eastAsia="Arial Unicode MS"/>
          <w:lang w:eastAsia="lt-LT"/>
        </w:rPr>
      </w:pPr>
      <w:r>
        <w:rPr>
          <w:rFonts w:eastAsia="Arial Unicode MS"/>
          <w:lang w:eastAsia="lt-LT"/>
        </w:rPr>
        <w:t xml:space="preserve">3.11. Perkančioji organizacija </w:t>
      </w:r>
      <w:bookmarkEnd w:id="4"/>
      <w:r>
        <w:rPr>
          <w:rFonts w:eastAsia="Arial Unicode MS"/>
          <w:lang w:eastAsia="lt-LT"/>
        </w:rPr>
        <w:t>apmoka Paslaugų teikėjui už suteiktas paslaugas ne vėliau kaip per 30 kalendorinių dienų nuo sąskaitos faktūros ir Šalių pasirašyto paslaugų perdavimo-priėmimo akto arba kito paslaugų suteikimą patvirtinančio dokumento gavimo dienos. Paslaugų teikėjo pateiktoje sąskaitoje-faktūroje turi būti nurodoma Sutarties data ir numeris. Paslaugų teikėjas per mėnesį gali pateikti ne daugiau kaip 1 (vieną) sąskaitą faktūrą ar kito tipo sąskaitą.</w:t>
      </w:r>
    </w:p>
    <w:p w:rsidR="000038EA" w:rsidRDefault="000038EA" w:rsidP="000038EA">
      <w:pPr>
        <w:ind w:firstLine="851"/>
        <w:jc w:val="both"/>
        <w:rPr>
          <w:rFonts w:eastAsia="Arial Unicode MS"/>
          <w:lang w:eastAsia="lt-LT"/>
        </w:rPr>
      </w:pPr>
      <w:r>
        <w:rPr>
          <w:rFonts w:eastAsia="Arial Unicode MS"/>
          <w:lang w:eastAsia="lt-LT"/>
        </w:rPr>
        <w:t>3.12. Paslaugų teikėjas sąskaitą–faktūrą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rsidR="000038EA" w:rsidRDefault="000038EA" w:rsidP="000038EA">
      <w:pPr>
        <w:ind w:firstLine="851"/>
        <w:jc w:val="both"/>
        <w:rPr>
          <w:rFonts w:eastAsia="Arial Unicode MS"/>
          <w:lang w:eastAsia="lt-LT"/>
        </w:rPr>
      </w:pPr>
      <w:r>
        <w:rPr>
          <w:rFonts w:eastAsia="Arial Unicode MS"/>
          <w:lang w:eastAsia="lt-LT"/>
        </w:rPr>
        <w:t>3.13. Perkančioji organizacija visas mokėtinas sumas moka pavedimu į Sutartyje nurodytą banko Paslaugų teikėjo sąskaitą. Atsiskaitymas už suteiktas paslaugas vykdomas eurais.</w:t>
      </w:r>
    </w:p>
    <w:p w:rsidR="000038EA" w:rsidRDefault="000038EA" w:rsidP="000038EA">
      <w:pPr>
        <w:pStyle w:val="Betarp"/>
        <w:jc w:val="center"/>
        <w:rPr>
          <w:rFonts w:eastAsia="SimSun"/>
          <w:b/>
          <w:lang w:eastAsia="zh-CN"/>
        </w:rPr>
      </w:pPr>
    </w:p>
    <w:p w:rsidR="000038EA" w:rsidRDefault="000038EA" w:rsidP="000038EA">
      <w:pPr>
        <w:pStyle w:val="Heading"/>
        <w:jc w:val="center"/>
        <w:rPr>
          <w:rFonts w:cs="Times New Roman"/>
          <w:color w:val="auto"/>
          <w:sz w:val="24"/>
          <w:szCs w:val="24"/>
        </w:rPr>
      </w:pPr>
      <w:r>
        <w:rPr>
          <w:rFonts w:cs="Times New Roman"/>
          <w:color w:val="auto"/>
          <w:sz w:val="24"/>
          <w:szCs w:val="24"/>
          <w:lang w:val="pt-PT"/>
        </w:rPr>
        <w:t>4. ŠALIŲ TEIS</w:t>
      </w:r>
      <w:r>
        <w:rPr>
          <w:rFonts w:cs="Times New Roman"/>
          <w:color w:val="auto"/>
          <w:sz w:val="24"/>
          <w:szCs w:val="24"/>
        </w:rPr>
        <w:t>Ė</w:t>
      </w:r>
      <w:r>
        <w:rPr>
          <w:rFonts w:cs="Times New Roman"/>
          <w:color w:val="auto"/>
          <w:sz w:val="24"/>
          <w:szCs w:val="24"/>
          <w:lang w:val="de-DE"/>
        </w:rPr>
        <w:t>S IR PAREIGOS</w:t>
      </w:r>
    </w:p>
    <w:p w:rsidR="000038EA" w:rsidRDefault="000038EA" w:rsidP="000038EA">
      <w:pPr>
        <w:pStyle w:val="Body2"/>
        <w:rPr>
          <w:rFonts w:cs="Times New Roman"/>
          <w:color w:val="auto"/>
          <w:sz w:val="24"/>
          <w:szCs w:val="24"/>
        </w:rPr>
      </w:pPr>
      <w:r>
        <w:rPr>
          <w:rFonts w:cs="Times New Roman"/>
          <w:color w:val="auto"/>
          <w:sz w:val="24"/>
          <w:szCs w:val="24"/>
        </w:rPr>
        <w:tab/>
      </w:r>
    </w:p>
    <w:p w:rsidR="000038EA" w:rsidRPr="00262B84" w:rsidRDefault="000038EA" w:rsidP="000038EA">
      <w:pPr>
        <w:pStyle w:val="Body2"/>
        <w:ind w:firstLine="851"/>
        <w:rPr>
          <w:rFonts w:cs="Times New Roman"/>
          <w:b/>
          <w:color w:val="auto"/>
          <w:sz w:val="24"/>
          <w:szCs w:val="24"/>
          <w:lang w:val="lt-LT"/>
        </w:rPr>
      </w:pPr>
      <w:r>
        <w:rPr>
          <w:rFonts w:cs="Times New Roman"/>
          <w:color w:val="auto"/>
          <w:sz w:val="24"/>
          <w:szCs w:val="24"/>
        </w:rPr>
        <w:t xml:space="preserve">4.1. </w:t>
      </w:r>
      <w:bookmarkStart w:id="5" w:name="_Hlk499212677"/>
      <w:r w:rsidRPr="00262B84">
        <w:rPr>
          <w:rFonts w:cs="Times New Roman"/>
          <w:b/>
          <w:color w:val="auto"/>
          <w:sz w:val="24"/>
          <w:szCs w:val="24"/>
          <w:lang w:val="lt-LT"/>
        </w:rPr>
        <w:t>Perkančioji organizacija</w:t>
      </w:r>
      <w:bookmarkEnd w:id="5"/>
      <w:r w:rsidRPr="00262B84">
        <w:rPr>
          <w:rFonts w:cs="Times New Roman"/>
          <w:b/>
          <w:color w:val="auto"/>
          <w:sz w:val="24"/>
          <w:szCs w:val="24"/>
          <w:lang w:val="lt-LT"/>
        </w:rPr>
        <w:t>:</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 xml:space="preserve">4.1.1. įsipareigoja paimti, paruošti ir laikyti mėginį laikantis Paslaugų teikėjo nurodytų </w:t>
      </w:r>
      <w:bookmarkStart w:id="6" w:name="_Hlk526259357"/>
      <w:r w:rsidRPr="00262B84">
        <w:rPr>
          <w:rFonts w:cs="Times New Roman"/>
          <w:color w:val="auto"/>
          <w:sz w:val="24"/>
          <w:szCs w:val="24"/>
          <w:lang w:val="lt-LT"/>
        </w:rPr>
        <w:t>metodinių rekomendacijų</w:t>
      </w:r>
      <w:bookmarkEnd w:id="6"/>
      <w:r w:rsidRPr="00262B84">
        <w:rPr>
          <w:rFonts w:cs="Times New Roman"/>
          <w:color w:val="auto"/>
          <w:sz w:val="24"/>
          <w:szCs w:val="24"/>
          <w:lang w:val="lt-LT"/>
        </w:rPr>
        <w:t>;</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4.1.2. įsipareigoja pateikti užpildytą Lietuvos Respublikos sveikatos apsaugos ministro patvirtintos, Paslaugų teikėjo arba Perkančioji organizacijos sudarytos ar kitos abiems Šalims priimtinos formos siuntimą. (Tyrimo siuntimo formoje turi būti pateikta ši informacija: paciento tapatybę nustatantys duomenys (vardas, pavardė, lytis, gimimo data); pirminio mėginio tipas, užsakomi tyrimai, su pacientu susijusi klinikinė informacija reikalinga interpretavimui, pirminio mėginio ėmimo data ir laikas, mėginį paėmusiojo darbuotojo duomenys (vardas, pavardė, pareigos), siunčiančioji įstaiga, gydytojas).</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4.1.3. neįsipareigoja išpirkti visų Paslaugų pirki</w:t>
      </w:r>
      <w:r w:rsidR="001D5911" w:rsidRPr="00262B84">
        <w:rPr>
          <w:rFonts w:cs="Times New Roman"/>
          <w:color w:val="auto"/>
          <w:sz w:val="24"/>
          <w:szCs w:val="24"/>
          <w:lang w:val="lt-LT"/>
        </w:rPr>
        <w:t>mo techninėje specifikacijoje (2</w:t>
      </w:r>
      <w:r w:rsidRPr="00262B84">
        <w:rPr>
          <w:rFonts w:cs="Times New Roman"/>
          <w:color w:val="auto"/>
          <w:sz w:val="24"/>
          <w:szCs w:val="24"/>
          <w:lang w:val="lt-LT"/>
        </w:rPr>
        <w:t xml:space="preserve"> priedas) nurodytų laboratorinių tyrimų kiekių.</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4.1.4. suteikia Paslaugų teikėjui visą turimą informaciją kuri reikalinga Sutarčiai vykdyti.</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4.1.5. Sutartyje nustatytomis sąlygomis ir tvarka laiku apmoka Paslaugų teikėjo pateiktas sąskaitas-faktūras.</w:t>
      </w:r>
    </w:p>
    <w:p w:rsidR="000038EA" w:rsidRPr="00262B84" w:rsidRDefault="000038EA" w:rsidP="000038EA">
      <w:pPr>
        <w:pStyle w:val="Body2"/>
        <w:ind w:firstLine="851"/>
        <w:rPr>
          <w:rFonts w:cs="Times New Roman"/>
          <w:b/>
          <w:color w:val="auto"/>
          <w:sz w:val="24"/>
          <w:szCs w:val="24"/>
          <w:lang w:val="lt-LT"/>
        </w:rPr>
      </w:pPr>
      <w:r w:rsidRPr="00262B84">
        <w:rPr>
          <w:rFonts w:cs="Times New Roman"/>
          <w:color w:val="auto"/>
          <w:sz w:val="24"/>
          <w:szCs w:val="24"/>
          <w:lang w:val="lt-LT"/>
        </w:rPr>
        <w:t xml:space="preserve">4.2. </w:t>
      </w:r>
      <w:r w:rsidRPr="00262B84">
        <w:rPr>
          <w:rFonts w:cs="Times New Roman"/>
          <w:b/>
          <w:color w:val="auto"/>
          <w:sz w:val="24"/>
          <w:szCs w:val="24"/>
          <w:lang w:val="lt-LT"/>
        </w:rPr>
        <w:t>Paslaugų teikėjas:</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 xml:space="preserve">4.2.1. įsipareigoja teikti Perkančiajai organizacijai šios sutarties 1 priede išvardintas kokybiškas Paslaugas pagal galiojančias Lietuvos Respublikoje metodikas, tyrimo procedūras, kurios atitinka </w:t>
      </w:r>
      <w:r w:rsidRPr="00262B84">
        <w:rPr>
          <w:color w:val="auto"/>
          <w:sz w:val="24"/>
          <w:szCs w:val="24"/>
          <w:lang w:val="lt-LT"/>
        </w:rPr>
        <w:t>Lietuvos Respublikos sveikatos apsaugos ministro 2007 m. gruodžio 5 d. įsakymu Nr. V-998</w:t>
      </w:r>
      <w:r w:rsidRPr="00262B84">
        <w:rPr>
          <w:rFonts w:cs="Times New Roman"/>
          <w:color w:val="auto"/>
          <w:sz w:val="24"/>
          <w:szCs w:val="24"/>
          <w:lang w:val="lt-LT"/>
        </w:rPr>
        <w:t xml:space="preserve"> patvirtintus </w:t>
      </w:r>
      <w:r w:rsidRPr="00262B84">
        <w:rPr>
          <w:color w:val="auto"/>
          <w:sz w:val="24"/>
          <w:szCs w:val="24"/>
          <w:lang w:val="lt-LT"/>
        </w:rPr>
        <w:t>Asmens sveikatos priežiūros įstaigų laboratorijų kokybės reikalavimus.</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4.2.2. užtikrina laboratorinių tyrimų bei gautų rezultatų tikslumą, objektyvumą ir patikimumą;</w:t>
      </w:r>
    </w:p>
    <w:p w:rsidR="000038EA" w:rsidRPr="00262B84" w:rsidRDefault="000A17D3" w:rsidP="000038EA">
      <w:pPr>
        <w:pStyle w:val="Body2"/>
        <w:ind w:firstLine="851"/>
        <w:rPr>
          <w:rFonts w:cs="Times New Roman"/>
          <w:color w:val="auto"/>
          <w:sz w:val="24"/>
          <w:szCs w:val="24"/>
          <w:lang w:val="lt-LT"/>
        </w:rPr>
      </w:pPr>
      <w:r w:rsidRPr="00262B84">
        <w:rPr>
          <w:rFonts w:cs="Times New Roman"/>
          <w:color w:val="auto"/>
          <w:sz w:val="24"/>
          <w:szCs w:val="24"/>
          <w:lang w:val="lt-LT"/>
        </w:rPr>
        <w:t>4.2.3. s</w:t>
      </w:r>
      <w:r w:rsidR="000038EA" w:rsidRPr="00262B84">
        <w:rPr>
          <w:rFonts w:cs="Times New Roman"/>
          <w:color w:val="auto"/>
          <w:sz w:val="24"/>
          <w:szCs w:val="24"/>
          <w:lang w:val="lt-LT"/>
        </w:rPr>
        <w:t>avo lėšomis užtikrina tinkamą ir saugų mėginių paėmimą bei gabenimą iš Paslaugos teikimo vietų;</w:t>
      </w:r>
    </w:p>
    <w:p w:rsidR="000038EA" w:rsidRPr="00262B84" w:rsidRDefault="000A17D3" w:rsidP="000038EA">
      <w:pPr>
        <w:pStyle w:val="Body2"/>
        <w:ind w:firstLine="851"/>
        <w:rPr>
          <w:rFonts w:cs="Times New Roman"/>
          <w:color w:val="auto"/>
          <w:sz w:val="24"/>
          <w:szCs w:val="24"/>
          <w:lang w:val="lt-LT"/>
        </w:rPr>
      </w:pPr>
      <w:r w:rsidRPr="00262B84">
        <w:rPr>
          <w:rFonts w:cs="Times New Roman"/>
          <w:color w:val="auto"/>
          <w:sz w:val="24"/>
          <w:szCs w:val="24"/>
          <w:lang w:val="lt-LT"/>
        </w:rPr>
        <w:t>4.2.4. u</w:t>
      </w:r>
      <w:r w:rsidR="000038EA" w:rsidRPr="00262B84">
        <w:rPr>
          <w:rFonts w:cs="Times New Roman"/>
          <w:color w:val="auto"/>
          <w:sz w:val="24"/>
          <w:szCs w:val="24"/>
          <w:lang w:val="lt-LT"/>
        </w:rPr>
        <w:t>žtikrina paciento asmens duomenų apsaugą, kad tyrimų atsakymai, nepatektų asmenims neturintiems teisės jais naudotis;</w:t>
      </w:r>
    </w:p>
    <w:p w:rsidR="000038EA" w:rsidRPr="00262B84" w:rsidRDefault="000038EA" w:rsidP="000038EA">
      <w:pPr>
        <w:pStyle w:val="Body2"/>
        <w:ind w:firstLine="851"/>
        <w:rPr>
          <w:rFonts w:cs="Times New Roman"/>
          <w:color w:val="auto"/>
          <w:sz w:val="24"/>
          <w:szCs w:val="24"/>
          <w:lang w:val="lt-LT"/>
        </w:rPr>
      </w:pPr>
      <w:r w:rsidRPr="00262B84">
        <w:rPr>
          <w:rFonts w:cs="Times New Roman"/>
          <w:color w:val="auto"/>
          <w:sz w:val="24"/>
          <w:szCs w:val="24"/>
          <w:lang w:val="lt-LT"/>
        </w:rPr>
        <w:t xml:space="preserve">4.2.5. vykdo teisėtus Perkančiosios organizacijos nurodymus. Jei Paslaugų teikėjas mano, kad Perkančiosios organizacijos nurodymai viršija Sutarties reikalavimus, jis apie tai praneša </w:t>
      </w:r>
      <w:bookmarkStart w:id="7" w:name="_Hlk499217150"/>
      <w:r w:rsidRPr="00262B84">
        <w:rPr>
          <w:rFonts w:cs="Times New Roman"/>
          <w:color w:val="auto"/>
          <w:sz w:val="24"/>
          <w:szCs w:val="24"/>
          <w:lang w:val="lt-LT"/>
        </w:rPr>
        <w:t>Perkančiajai organizacijai</w:t>
      </w:r>
      <w:bookmarkEnd w:id="7"/>
      <w:r w:rsidRPr="00262B84">
        <w:rPr>
          <w:rFonts w:cs="Times New Roman"/>
          <w:color w:val="auto"/>
          <w:sz w:val="24"/>
          <w:szCs w:val="24"/>
          <w:lang w:val="lt-LT"/>
        </w:rPr>
        <w:t xml:space="preserve"> per 5 (penkias) kalendorines dienas nuo tokio nurodymo gavimo dienos.</w:t>
      </w:r>
    </w:p>
    <w:p w:rsidR="000038EA" w:rsidRPr="00262B84" w:rsidRDefault="000A17D3" w:rsidP="000038EA">
      <w:pPr>
        <w:pStyle w:val="Body2"/>
        <w:ind w:firstLine="851"/>
        <w:rPr>
          <w:rFonts w:cs="Times New Roman"/>
          <w:color w:val="auto"/>
          <w:sz w:val="24"/>
          <w:szCs w:val="24"/>
          <w:lang w:val="lt-LT"/>
        </w:rPr>
      </w:pPr>
      <w:r w:rsidRPr="00262B84">
        <w:rPr>
          <w:rFonts w:cs="Times New Roman"/>
          <w:color w:val="auto"/>
          <w:sz w:val="24"/>
          <w:szCs w:val="24"/>
          <w:lang w:val="lt-LT"/>
        </w:rPr>
        <w:t>4.2.6. s</w:t>
      </w:r>
      <w:r w:rsidR="000038EA" w:rsidRPr="00262B84">
        <w:rPr>
          <w:rFonts w:cs="Times New Roman"/>
          <w:color w:val="auto"/>
          <w:sz w:val="24"/>
          <w:szCs w:val="24"/>
          <w:lang w:val="lt-LT"/>
        </w:rPr>
        <w:t>ąskaita-faktūra už praėjusį mėnesį suteiktas Paslaugas pateikia ne vėliau nei sekančio mėnesio 10 d.</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4.3. Šalys įsipareigoja raštiškai paskirti atsakingus asmenis operatyviems ryšiams tarp Šalių palaikyti ir įgalioti juos atstovauti Šalims bei prižiūrėti Sutarties vykdymą. Pagal Sutartį pareigos, numatytos Šalims, bus suprantamos ir reikš, kad nurodytas pareigas turi atlikti atstovai, jeigu iš Sutarties arba iš prievolės esmės neišplaukia kas kita, tačiau bet kokiu atveju Šalis bus atsakinga už savo atstovų veiksmus. Šalių paskirti atsakingi asmenys turi būti įgalioti siųsti ir pateikti pranešimus bei informaciją pagal Sutartį.</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4.4. Šalių paskirti atsakingi asmenys neturi teisės susitarti dėl Sutarties arba ją keisti, jeigu įgaliojime nenurodyta priešingai.</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4.5. Šalys visus dokumentus ir informaciją, gautą pagal Sutartį, laiko konfidencialia ir be išankstinio raštiško Perkančiosios organizacijos leidimo neskelbia ir neatskleidžia jokių Sutarties nuostatų, išskyrus atvejus, kai tai būtina vykdant Sutartį. Jei nesutariama, ar būtina skelbti ar atskleisti kokias nors Sutarties nuostatas, galutinį sprendimą priima Perkančioji organizacija.</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4.6. Paslaugų teikėjas negali perleisti Paslaugų teikimo įsipareigojimų pagal Sutartį tretiesiems asmenims be Perkančiosios organizacijos raštiško sutikimo.</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 xml:space="preserve">4.7. Perkančioji organizacija turi teisę vienašališkai, nesikreipdama į teismą, prieš terminą Sutartį nutraukti ir reikalauti patirtų tiesioginių nuostolių atlyginimo, jeigu Paslaugų teikėjas iš esmės nevykdo sutartinių įsipareigojimų arba juos vykdo iš esmės netinkamai. Esminis sutartinių įsipareigojimų nevykdymas yra suprantamas kaip sistemingas šioje sutartyje numatytų </w:t>
      </w:r>
      <w:bookmarkStart w:id="8" w:name="_Hlk499298193"/>
      <w:r>
        <w:rPr>
          <w:rFonts w:cs="Times New Roman"/>
          <w:color w:val="auto"/>
          <w:sz w:val="24"/>
          <w:szCs w:val="24"/>
          <w:lang w:val="lt-LT"/>
        </w:rPr>
        <w:t xml:space="preserve">Paslaugų teikėjo </w:t>
      </w:r>
      <w:bookmarkEnd w:id="8"/>
      <w:r>
        <w:rPr>
          <w:rFonts w:cs="Times New Roman"/>
          <w:color w:val="auto"/>
          <w:sz w:val="24"/>
          <w:szCs w:val="24"/>
          <w:lang w:val="lt-LT"/>
        </w:rPr>
        <w:t>įsipareigojimų pažeidimas, jeigu Perkančioji organizacija dėl to negali naudotis paslaugomis arba naudojimasis teikiamomis paslaugomis yra nepagrįstai apsunkintas.</w:t>
      </w:r>
    </w:p>
    <w:p w:rsidR="000038EA" w:rsidRDefault="000038EA" w:rsidP="000038EA">
      <w:pPr>
        <w:pStyle w:val="Body2"/>
        <w:rPr>
          <w:rFonts w:cs="Times New Roman"/>
          <w:color w:val="auto"/>
          <w:sz w:val="24"/>
          <w:szCs w:val="24"/>
          <w:lang w:val="lt-LT"/>
        </w:rPr>
      </w:pPr>
    </w:p>
    <w:p w:rsidR="000038EA" w:rsidRDefault="000038EA" w:rsidP="000038EA">
      <w:pPr>
        <w:pStyle w:val="Body2"/>
        <w:ind w:firstLine="851"/>
        <w:jc w:val="center"/>
        <w:rPr>
          <w:rFonts w:cs="Times New Roman"/>
          <w:b/>
          <w:color w:val="auto"/>
          <w:sz w:val="24"/>
          <w:szCs w:val="24"/>
          <w:lang w:val="lt-LT"/>
        </w:rPr>
      </w:pPr>
      <w:bookmarkStart w:id="9" w:name="bookmark1"/>
      <w:r>
        <w:rPr>
          <w:rFonts w:cs="Times New Roman"/>
          <w:b/>
          <w:color w:val="auto"/>
          <w:sz w:val="24"/>
          <w:szCs w:val="24"/>
          <w:lang w:val="lt-LT"/>
        </w:rPr>
        <w:t>5. PASLAUGŲ TEIKIMO TVARKA</w:t>
      </w:r>
      <w:bookmarkEnd w:id="9"/>
    </w:p>
    <w:p w:rsidR="000038EA" w:rsidRDefault="000038EA" w:rsidP="000038EA">
      <w:pPr>
        <w:pStyle w:val="Body2"/>
        <w:ind w:firstLine="851"/>
        <w:rPr>
          <w:rFonts w:cs="Times New Roman"/>
          <w:b/>
          <w:color w:val="auto"/>
          <w:sz w:val="24"/>
          <w:szCs w:val="24"/>
          <w:lang w:val="lt-LT"/>
        </w:rPr>
      </w:pP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 xml:space="preserve">5.1. Pirkimo Sutarties atlikimas privalo būti užtikrintas netesybomis, kurias sudaro delspinigiai – 0,2 proc. už kiekvieną praleistą dieną nuo neatliktos prievolės kainos ir bauda iki 10 proc. Sutarties kainos, kai šalys pažeidžia Sutarties </w:t>
      </w:r>
      <w:bookmarkStart w:id="10" w:name="_Hlk526321154"/>
      <w:r>
        <w:rPr>
          <w:rFonts w:cs="Times New Roman"/>
          <w:color w:val="auto"/>
          <w:sz w:val="24"/>
          <w:szCs w:val="24"/>
          <w:lang w:val="lt-LT"/>
        </w:rPr>
        <w:t xml:space="preserve">7.5.1.1. </w:t>
      </w:r>
      <w:bookmarkEnd w:id="10"/>
      <w:r>
        <w:rPr>
          <w:rFonts w:cs="Times New Roman"/>
          <w:color w:val="auto"/>
          <w:sz w:val="24"/>
          <w:szCs w:val="24"/>
          <w:lang w:val="lt-LT"/>
        </w:rPr>
        <w:t>ir 7.5.1.2. punktuose nustatytas sąlygas.</w:t>
      </w:r>
    </w:p>
    <w:p w:rsidR="000038EA" w:rsidRDefault="000038EA" w:rsidP="000038EA">
      <w:pPr>
        <w:pStyle w:val="Body2"/>
        <w:ind w:firstLine="851"/>
        <w:rPr>
          <w:rFonts w:cs="Times New Roman"/>
          <w:color w:val="auto"/>
          <w:sz w:val="24"/>
          <w:szCs w:val="24"/>
          <w:lang w:val="lt-LT"/>
        </w:rPr>
      </w:pPr>
      <w:bookmarkStart w:id="11" w:name="_Ref227947386"/>
      <w:r>
        <w:rPr>
          <w:rFonts w:cs="Times New Roman"/>
          <w:bCs/>
          <w:color w:val="auto"/>
          <w:sz w:val="24"/>
          <w:szCs w:val="24"/>
          <w:lang w:val="lt-LT"/>
        </w:rPr>
        <w:t>5.2.</w:t>
      </w:r>
      <w:bookmarkEnd w:id="11"/>
      <w:r>
        <w:rPr>
          <w:rFonts w:cs="Times New Roman"/>
          <w:color w:val="auto"/>
          <w:sz w:val="24"/>
          <w:szCs w:val="24"/>
          <w:lang w:val="lt-LT"/>
        </w:rPr>
        <w:t xml:space="preserve"> Perkančioji organizacija, laiku nesumokėjusi pagal gautą iš Paslaugų teikėjo sąskaitą, už kiekvieną pavėluotą darbo dieną sumoka Paslaugų teikėjui 0,02 proc. delspinigių, skaičiuojamų nuo gautų, bet neapmokėtų paslaugų kainos.</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5.3. Reikalavimai Paslaugai nurodyti Paslaugų pirkimo techni</w:t>
      </w:r>
      <w:r w:rsidR="001E75A4">
        <w:rPr>
          <w:rFonts w:cs="Times New Roman"/>
          <w:color w:val="auto"/>
          <w:sz w:val="24"/>
          <w:szCs w:val="24"/>
          <w:lang w:val="lt-LT"/>
        </w:rPr>
        <w:t>nėje specifikacijoje Sutarties 2</w:t>
      </w:r>
      <w:r>
        <w:rPr>
          <w:rFonts w:cs="Times New Roman"/>
          <w:color w:val="auto"/>
          <w:sz w:val="24"/>
          <w:szCs w:val="24"/>
          <w:lang w:val="lt-LT"/>
        </w:rPr>
        <w:t xml:space="preserve"> priede.</w:t>
      </w:r>
    </w:p>
    <w:p w:rsidR="000038EA" w:rsidRDefault="000038EA" w:rsidP="000038EA">
      <w:pPr>
        <w:pStyle w:val="Body2"/>
        <w:ind w:firstLine="851"/>
        <w:rPr>
          <w:rFonts w:cs="Times New Roman"/>
          <w:color w:val="auto"/>
          <w:sz w:val="24"/>
          <w:szCs w:val="24"/>
          <w:lang w:val="lt-LT"/>
        </w:rPr>
      </w:pPr>
    </w:p>
    <w:p w:rsidR="000038EA" w:rsidRDefault="000038EA" w:rsidP="000038EA">
      <w:pPr>
        <w:pStyle w:val="Body2"/>
        <w:ind w:firstLine="851"/>
        <w:jc w:val="center"/>
        <w:rPr>
          <w:rFonts w:cs="Times New Roman"/>
          <w:b/>
          <w:color w:val="auto"/>
          <w:sz w:val="24"/>
          <w:szCs w:val="24"/>
          <w:lang w:val="lt-LT"/>
        </w:rPr>
      </w:pPr>
      <w:r>
        <w:rPr>
          <w:rFonts w:cs="Times New Roman"/>
          <w:b/>
          <w:color w:val="auto"/>
          <w:sz w:val="24"/>
          <w:szCs w:val="24"/>
          <w:lang w:val="lt-LT"/>
        </w:rPr>
        <w:t>6. ŠALIŲ ATSAKOMYBĖ IR GINČIŲ NAGRINĖJIMO TVARKA</w:t>
      </w:r>
    </w:p>
    <w:p w:rsidR="000038EA" w:rsidRDefault="000038EA" w:rsidP="000038EA">
      <w:pPr>
        <w:pStyle w:val="Body2"/>
        <w:ind w:firstLine="851"/>
        <w:rPr>
          <w:rFonts w:cs="Times New Roman"/>
          <w:b/>
          <w:color w:val="auto"/>
          <w:sz w:val="24"/>
          <w:szCs w:val="24"/>
          <w:lang w:val="lt-LT"/>
        </w:rPr>
      </w:pP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6.1. Šalys atsako už Sutartyje pateiktos informacijos tikrumą. Pasikeitus pavadinimui, buveinės adresui, sąskaitų numeriams, pranešimų siuntimo adresui, kontaktiniams asmenims, telefono ir el. pašto numeriams arba banko rekvizitams, Šalis privalo nedelsdama pranešti apie tai raštu kitai Šaliai.</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 xml:space="preserve">6.2. Šalys neatsako už visišką ar dalinį savo įsipareigojimų pagal šią sutartį nevykdymą, jei tai įvyksta dėl nenugalimos jėgos </w:t>
      </w:r>
      <w:r>
        <w:rPr>
          <w:rFonts w:cs="Times New Roman"/>
          <w:i/>
          <w:color w:val="auto"/>
          <w:sz w:val="24"/>
          <w:szCs w:val="24"/>
          <w:lang w:val="lt-LT"/>
        </w:rPr>
        <w:t>(force majeure)</w:t>
      </w:r>
      <w:r>
        <w:rPr>
          <w:rFonts w:cs="Times New Roman"/>
          <w:color w:val="auto"/>
          <w:sz w:val="24"/>
          <w:szCs w:val="24"/>
          <w:lang w:val="lt-LT"/>
        </w:rPr>
        <w:t xml:space="preserve"> vadovaujantis Lietuvos Respublikos civilinio kodekso 6.212 str. bei Lietuvos Respublikos Vyriausybės 1996 m. liepos 15 d. nutarimu Nr. 840 patvirtintomis “Atleidimo nuo atsakomybės, esant nenugalimos jėgos </w:t>
      </w:r>
      <w:r>
        <w:rPr>
          <w:rFonts w:cs="Times New Roman"/>
          <w:i/>
          <w:color w:val="auto"/>
          <w:sz w:val="24"/>
          <w:szCs w:val="24"/>
          <w:lang w:val="lt-LT"/>
        </w:rPr>
        <w:t>(force majeure)</w:t>
      </w:r>
      <w:r>
        <w:rPr>
          <w:rFonts w:cs="Times New Roman"/>
          <w:color w:val="auto"/>
          <w:sz w:val="24"/>
          <w:szCs w:val="24"/>
          <w:lang w:val="lt-LT"/>
        </w:rPr>
        <w:t xml:space="preserve"> aplinkybėms” taisyklėmis ir kitais teisės aktais. Šalis, kuri negali vykdyti savo įsipareigojimų pagal šią sutartį dėl šiame punkte paminėtų aplinkybių, privalo apie tai pranešti kitai Šaliai per 2 (dvi) dienas nuo tokių aplinkybių atsiradimo. Jeigu tokio pranešimo nėra, tai nepranešusioji Šalis privalo atlyginti dėl nepranešimo kitos Šalies patirtus nuostolius. Jeigu aplinkybė, dėl kurios neįmanoma Sutarties įvykdyti, laikina, tai Šalis atleidžiama nuo atsakomybės tik tokiam laikotarpiui, kuris yra protingas atsižvelgiant į tos aplinkybės įtaką Sutarties įvykdymui. Pasibaigus nenugalimos jėgos aplinkybių veikimui, nevykdžiusi savo sutartinių įsipareigojimų Šalis privalo esant pirmai galimybei pradėti juos vykdyti. Šalys turi teisę nutraukti šią Sutartį, jei </w:t>
      </w:r>
      <w:r>
        <w:rPr>
          <w:rFonts w:cs="Times New Roman"/>
          <w:i/>
          <w:color w:val="auto"/>
          <w:sz w:val="24"/>
          <w:szCs w:val="24"/>
          <w:lang w:val="lt-LT"/>
        </w:rPr>
        <w:t>force majeure</w:t>
      </w:r>
      <w:r>
        <w:rPr>
          <w:rFonts w:cs="Times New Roman"/>
          <w:color w:val="auto"/>
          <w:sz w:val="24"/>
          <w:szCs w:val="24"/>
          <w:lang w:val="lt-LT"/>
        </w:rPr>
        <w:t xml:space="preserve"> aplinkybės tęsiasi ilgiau nei 2 darbo dienos nuo pranešimo apie jų atsiradimą gavimo dienos. </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6.3. Šalių tarpusavio prieštaravimai ir ginčai sprendžiami derybomis. Prieštaravimai ir ginčai, kurių nepavyksta išspręsti derybomis per 20 dienų terminą, sprendžiami Lietuvos Respublikos teisės aktų nustatyta tvarka Lietuvos Respublikos teismuose.</w:t>
      </w:r>
    </w:p>
    <w:p w:rsidR="000038EA" w:rsidRDefault="000038EA" w:rsidP="000038EA">
      <w:pPr>
        <w:pStyle w:val="Body2"/>
        <w:ind w:firstLine="851"/>
        <w:jc w:val="center"/>
        <w:rPr>
          <w:rFonts w:cs="Times New Roman"/>
          <w:b/>
          <w:color w:val="auto"/>
          <w:sz w:val="24"/>
          <w:szCs w:val="24"/>
          <w:lang w:val="lt-LT"/>
        </w:rPr>
      </w:pPr>
    </w:p>
    <w:p w:rsidR="000038EA" w:rsidRDefault="000038EA" w:rsidP="000038EA">
      <w:pPr>
        <w:pStyle w:val="Body2"/>
        <w:ind w:firstLine="851"/>
        <w:jc w:val="center"/>
        <w:rPr>
          <w:rFonts w:cs="Times New Roman"/>
          <w:b/>
          <w:color w:val="auto"/>
          <w:sz w:val="24"/>
          <w:szCs w:val="24"/>
          <w:lang w:val="lt-LT"/>
        </w:rPr>
      </w:pPr>
      <w:r>
        <w:rPr>
          <w:rFonts w:cs="Times New Roman"/>
          <w:b/>
          <w:color w:val="auto"/>
          <w:sz w:val="24"/>
          <w:szCs w:val="24"/>
          <w:lang w:val="lt-LT"/>
        </w:rPr>
        <w:t>7. SUTARTIES GALIOJIMAS, NUTRAUKIMAS, PAKEITIMAS</w:t>
      </w:r>
    </w:p>
    <w:p w:rsidR="000038EA" w:rsidRDefault="000038EA" w:rsidP="000038EA">
      <w:pPr>
        <w:pStyle w:val="Body2"/>
        <w:ind w:firstLine="851"/>
        <w:rPr>
          <w:rFonts w:cs="Times New Roman"/>
          <w:b/>
          <w:color w:val="auto"/>
          <w:sz w:val="24"/>
          <w:szCs w:val="24"/>
          <w:lang w:val="lt-LT"/>
        </w:rPr>
      </w:pP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 xml:space="preserve">7.1. Sutartis įsigalioja </w:t>
      </w:r>
      <w:r w:rsidRPr="009E38CC">
        <w:rPr>
          <w:rFonts w:cs="Times New Roman"/>
          <w:color w:val="auto"/>
          <w:sz w:val="24"/>
          <w:szCs w:val="24"/>
          <w:u w:val="single"/>
          <w:lang w:val="lt-LT"/>
        </w:rPr>
        <w:t>202</w:t>
      </w:r>
      <w:r w:rsidR="009E4BD6" w:rsidRPr="009E38CC">
        <w:rPr>
          <w:rFonts w:cs="Times New Roman"/>
          <w:color w:val="auto"/>
          <w:sz w:val="24"/>
          <w:szCs w:val="24"/>
          <w:u w:val="single"/>
          <w:lang w:val="lt-LT"/>
        </w:rPr>
        <w:t>5</w:t>
      </w:r>
      <w:r w:rsidRPr="009E38CC">
        <w:rPr>
          <w:rFonts w:cs="Times New Roman"/>
          <w:color w:val="auto"/>
          <w:sz w:val="24"/>
          <w:szCs w:val="24"/>
          <w:u w:val="single"/>
          <w:lang w:val="lt-LT"/>
        </w:rPr>
        <w:t xml:space="preserve"> m. </w:t>
      </w:r>
      <w:r w:rsidR="0039086D" w:rsidRPr="009E38CC">
        <w:rPr>
          <w:rFonts w:cs="Times New Roman"/>
          <w:color w:val="auto"/>
          <w:sz w:val="24"/>
          <w:szCs w:val="24"/>
          <w:u w:val="single"/>
          <w:lang w:val="lt-LT"/>
        </w:rPr>
        <w:t xml:space="preserve">balandžio </w:t>
      </w:r>
      <w:r w:rsidR="00927D90" w:rsidRPr="009E38CC">
        <w:rPr>
          <w:rFonts w:cs="Times New Roman"/>
          <w:color w:val="auto"/>
          <w:sz w:val="24"/>
          <w:szCs w:val="24"/>
          <w:u w:val="single"/>
          <w:lang w:val="lt-LT"/>
        </w:rPr>
        <w:t>1</w:t>
      </w:r>
      <w:r w:rsidRPr="009E38CC">
        <w:rPr>
          <w:rFonts w:cs="Times New Roman"/>
          <w:color w:val="auto"/>
          <w:sz w:val="24"/>
          <w:szCs w:val="24"/>
          <w:u w:val="single"/>
          <w:lang w:val="lt-LT"/>
        </w:rPr>
        <w:t xml:space="preserve"> d. ir galioja 12 mėn</w:t>
      </w:r>
      <w:r>
        <w:rPr>
          <w:rFonts w:cs="Times New Roman"/>
          <w:color w:val="auto"/>
          <w:sz w:val="24"/>
          <w:szCs w:val="24"/>
          <w:lang w:val="lt-LT"/>
        </w:rPr>
        <w:t>.,  kol Paslaugų teikėjas suteikia Perkančiajai organizac</w:t>
      </w:r>
      <w:r w:rsidR="0039086D">
        <w:rPr>
          <w:rFonts w:cs="Times New Roman"/>
          <w:color w:val="auto"/>
          <w:sz w:val="24"/>
          <w:szCs w:val="24"/>
          <w:lang w:val="lt-LT"/>
        </w:rPr>
        <w:t>ijai paslaugų už 14</w:t>
      </w:r>
      <w:r w:rsidR="004633C2">
        <w:rPr>
          <w:rFonts w:cs="Times New Roman"/>
          <w:color w:val="auto"/>
          <w:sz w:val="24"/>
          <w:szCs w:val="24"/>
          <w:lang w:val="lt-LT"/>
        </w:rPr>
        <w:t>948,13</w:t>
      </w:r>
      <w:r>
        <w:rPr>
          <w:rFonts w:cs="Times New Roman"/>
          <w:color w:val="auto"/>
          <w:sz w:val="24"/>
          <w:szCs w:val="24"/>
          <w:lang w:val="lt-LT"/>
        </w:rPr>
        <w:t xml:space="preserve"> (maksimali pirkimo sutarties vertė) Eur sumą.</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 xml:space="preserve">7.2. Sutarties sąlygos gali būti keičiamos rašytiniu susitarimu tik vadovaujantis Viešųjų pirkimų įstatymo nuostatomis. </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 xml:space="preserve">7.3. Sutarties sąlygų keitimu nebus laikomas Sutarties sąlygų koregavimas joje numatytomis aplinkybėmis, jeigu šios aplinkybės nustatytos aiškiai ir nedviprasmiškai bei buvo pateiktos pirkimo sąlygose. </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7.4. Jei bet kuri Sutarties nuostata tampa ar pripažįstama visiškai ar iš dalies negaliojančia, tai neturi įtakos kitų Sutarties nuostatų galiojimui.</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7.5. Sutartį galima nutraukti šiais atvejais:</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7.5.1. vienos Šalies sprendimu prieš 30 kalendorinių dienų raštu įspėjus kitą Šalį, jeigu ji nevykdo ar netinkamai vykdo savo įsipareigojimus ir tai yra esminis sutarties pažeidimas. Šiuo atveju esminiais sutarties pažeidimais yra laikoma:</w:t>
      </w:r>
    </w:p>
    <w:p w:rsidR="000038EA" w:rsidRDefault="000038EA" w:rsidP="000038EA">
      <w:pPr>
        <w:pStyle w:val="Body2"/>
        <w:ind w:firstLine="851"/>
        <w:rPr>
          <w:rFonts w:cs="Times New Roman"/>
          <w:color w:val="auto"/>
          <w:sz w:val="24"/>
          <w:szCs w:val="24"/>
          <w:lang w:val="lt-LT"/>
        </w:rPr>
      </w:pPr>
      <w:bookmarkStart w:id="12" w:name="_Hlk526320679"/>
      <w:r>
        <w:rPr>
          <w:rFonts w:cs="Times New Roman"/>
          <w:color w:val="auto"/>
          <w:sz w:val="24"/>
          <w:szCs w:val="24"/>
          <w:lang w:val="lt-LT"/>
        </w:rPr>
        <w:t xml:space="preserve">7.5.1.1. </w:t>
      </w:r>
      <w:bookmarkEnd w:id="12"/>
      <w:r>
        <w:rPr>
          <w:rFonts w:cs="Times New Roman"/>
          <w:color w:val="auto"/>
          <w:sz w:val="24"/>
          <w:szCs w:val="24"/>
          <w:lang w:val="lt-LT"/>
        </w:rPr>
        <w:t>Perkančioji organizacija daugiau kaip 60 dienų vėluoja atsiskaityti už suteiktas Paslaugas;</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7.5.1.2. Paslaugu tiekėjas vėluoja pradėti teikti paslaugas 7.1 punkte numatytais terminais.</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7.5.1.3. Paslaugų teikėjas vienašališkai keičia Paslaugų įkainius.</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7.5.1.4. Paslaugų teikėjas antrą kartą pažeidė Sutarties 3 priede nustatytus reikalavimus, jeigu apie pažeidimą Perkančioji organizacija buvo jį informavusi raštu.</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 xml:space="preserve">7.5.2. abiejų Šalių rašytiniu susitarimu. </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7.6.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0038EA" w:rsidRDefault="000038EA" w:rsidP="000038EA">
      <w:pPr>
        <w:pStyle w:val="Body2"/>
        <w:rPr>
          <w:rFonts w:cs="Times New Roman"/>
          <w:color w:val="auto"/>
          <w:sz w:val="24"/>
          <w:szCs w:val="24"/>
          <w:lang w:val="lt-LT"/>
        </w:rPr>
      </w:pPr>
    </w:p>
    <w:p w:rsidR="000038EA" w:rsidRDefault="000038EA" w:rsidP="000038EA">
      <w:pPr>
        <w:pStyle w:val="Body2"/>
        <w:ind w:firstLine="851"/>
        <w:jc w:val="center"/>
        <w:rPr>
          <w:rFonts w:cs="Times New Roman"/>
          <w:b/>
          <w:color w:val="auto"/>
          <w:sz w:val="24"/>
          <w:szCs w:val="24"/>
          <w:lang w:val="lt-LT"/>
        </w:rPr>
      </w:pPr>
      <w:r>
        <w:rPr>
          <w:rFonts w:cs="Times New Roman"/>
          <w:b/>
          <w:color w:val="auto"/>
          <w:sz w:val="24"/>
          <w:szCs w:val="24"/>
          <w:lang w:val="lt-LT"/>
        </w:rPr>
        <w:t>8. SUBTIEKĖJAI IR JŲ KEITIMO TVARKA</w:t>
      </w:r>
    </w:p>
    <w:p w:rsidR="000038EA" w:rsidRDefault="000038EA" w:rsidP="000038EA">
      <w:pPr>
        <w:pStyle w:val="Body2"/>
        <w:ind w:firstLine="851"/>
        <w:rPr>
          <w:rFonts w:cs="Times New Roman"/>
          <w:b/>
          <w:color w:val="auto"/>
          <w:sz w:val="24"/>
          <w:szCs w:val="24"/>
          <w:lang w:val="lt-LT"/>
        </w:rPr>
      </w:pP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8.1. Sutartyje numatytų paslaugų įvykdymui Tiekėjas Subtiekėjų nepasitelks.</w:t>
      </w:r>
    </w:p>
    <w:p w:rsidR="000038EA" w:rsidRDefault="000038EA" w:rsidP="000038EA">
      <w:pPr>
        <w:pStyle w:val="Body2"/>
        <w:ind w:firstLine="851"/>
        <w:rPr>
          <w:rFonts w:cs="Times New Roman"/>
          <w:color w:val="auto"/>
          <w:sz w:val="24"/>
          <w:szCs w:val="24"/>
          <w:lang w:val="lt-LT"/>
        </w:rPr>
      </w:pPr>
    </w:p>
    <w:p w:rsidR="000038EA" w:rsidRDefault="000038EA" w:rsidP="000038EA">
      <w:pPr>
        <w:pStyle w:val="Default"/>
        <w:ind w:left="720"/>
        <w:jc w:val="center"/>
        <w:rPr>
          <w:b/>
          <w:bCs/>
          <w:color w:val="auto"/>
        </w:rPr>
      </w:pPr>
      <w:r>
        <w:rPr>
          <w:b/>
          <w:color w:val="auto"/>
        </w:rPr>
        <w:t>9.</w:t>
      </w:r>
      <w:r>
        <w:rPr>
          <w:b/>
          <w:bCs/>
          <w:color w:val="auto"/>
        </w:rPr>
        <w:t xml:space="preserve"> ATSAKINGI ASMENYS</w:t>
      </w:r>
    </w:p>
    <w:p w:rsidR="000038EA" w:rsidRDefault="000038EA" w:rsidP="000038EA">
      <w:pPr>
        <w:autoSpaceDE w:val="0"/>
        <w:adjustRightInd w:val="0"/>
        <w:ind w:left="720"/>
        <w:rPr>
          <w:b/>
          <w:lang w:eastAsia="lt-LT"/>
        </w:rPr>
      </w:pPr>
    </w:p>
    <w:p w:rsidR="000038EA" w:rsidRDefault="000038EA" w:rsidP="000038EA">
      <w:pPr>
        <w:autoSpaceDE w:val="0"/>
        <w:adjustRightInd w:val="0"/>
        <w:ind w:left="360" w:firstLine="360"/>
        <w:jc w:val="both"/>
        <w:rPr>
          <w:lang w:eastAsia="lt-LT"/>
        </w:rPr>
      </w:pPr>
      <w:r>
        <w:rPr>
          <w:lang w:eastAsia="lt-LT"/>
        </w:rPr>
        <w:t>9.1. Asmenys atsakingi už sutarties vykdymą:</w:t>
      </w:r>
    </w:p>
    <w:p w:rsidR="00DB0C75" w:rsidRDefault="00DB0C75" w:rsidP="000038EA">
      <w:pPr>
        <w:autoSpaceDE w:val="0"/>
        <w:adjustRightInd w:val="0"/>
        <w:ind w:left="360" w:firstLine="360"/>
        <w:jc w:val="both"/>
        <w:rPr>
          <w:lang w:eastAsia="lt-LT"/>
        </w:rPr>
      </w:pPr>
    </w:p>
    <w:tbl>
      <w:tblPr>
        <w:tblW w:w="4919" w:type="pct"/>
        <w:tblInd w:w="157" w:type="dxa"/>
        <w:tblBorders>
          <w:top w:val="single" w:sz="2" w:space="0" w:color="C6C6C6"/>
          <w:left w:val="single" w:sz="2" w:space="0" w:color="C6C6C6"/>
          <w:bottom w:val="single" w:sz="2" w:space="0" w:color="C6C6C6"/>
          <w:right w:val="single" w:sz="2" w:space="0" w:color="C6C6C6"/>
        </w:tblBorders>
        <w:tblLook w:val="04A0" w:firstRow="1" w:lastRow="0" w:firstColumn="1" w:lastColumn="0" w:noHBand="0" w:noVBand="1"/>
      </w:tblPr>
      <w:tblGrid>
        <w:gridCol w:w="3056"/>
        <w:gridCol w:w="3210"/>
        <w:gridCol w:w="3210"/>
      </w:tblGrid>
      <w:tr w:rsidR="000038EA" w:rsidTr="000038EA">
        <w:tc>
          <w:tcPr>
            <w:tcW w:w="1612"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rPr>
                <w:sz w:val="20"/>
                <w:szCs w:val="20"/>
                <w:lang w:eastAsia="lt-LT"/>
              </w:rPr>
            </w:pPr>
          </w:p>
        </w:tc>
        <w:tc>
          <w:tcPr>
            <w:tcW w:w="1694"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jc w:val="center"/>
              <w:rPr>
                <w:b/>
                <w:kern w:val="3"/>
                <w:lang w:eastAsia="lt-LT" w:bidi="hi-IN"/>
              </w:rPr>
            </w:pPr>
            <w:r>
              <w:rPr>
                <w:b/>
                <w:lang w:eastAsia="lt-LT"/>
              </w:rPr>
              <w:t>Paslaugos teikėjo atstovas</w:t>
            </w:r>
          </w:p>
        </w:tc>
        <w:tc>
          <w:tcPr>
            <w:tcW w:w="1694"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jc w:val="center"/>
              <w:rPr>
                <w:b/>
                <w:kern w:val="3"/>
                <w:lang w:eastAsia="lt-LT" w:bidi="hi-IN"/>
              </w:rPr>
            </w:pPr>
            <w:bookmarkStart w:id="13" w:name="_Hlk21697365"/>
            <w:r>
              <w:rPr>
                <w:b/>
                <w:lang w:eastAsia="lt-LT"/>
              </w:rPr>
              <w:t xml:space="preserve">Perkančiosios organizacijos </w:t>
            </w:r>
            <w:bookmarkEnd w:id="13"/>
            <w:r>
              <w:rPr>
                <w:b/>
                <w:lang w:eastAsia="lt-LT"/>
              </w:rPr>
              <w:t>atstovas</w:t>
            </w:r>
          </w:p>
        </w:tc>
      </w:tr>
      <w:tr w:rsidR="000038EA" w:rsidTr="000038EA">
        <w:tc>
          <w:tcPr>
            <w:tcW w:w="1612"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jc w:val="both"/>
              <w:rPr>
                <w:kern w:val="3"/>
                <w:lang w:eastAsia="lt-LT" w:bidi="hi-IN"/>
              </w:rPr>
            </w:pPr>
            <w:r>
              <w:rPr>
                <w:lang w:eastAsia="lt-LT"/>
              </w:rPr>
              <w:t>Vardas, pavardė</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Pr="00140D1E" w:rsidRDefault="0005458D">
            <w:pPr>
              <w:rPr>
                <w:lang w:eastAsia="lt-LT"/>
              </w:rPr>
            </w:pPr>
            <w:r>
              <w:rPr>
                <w:lang w:eastAsia="lt-LT"/>
              </w:rPr>
              <w:t xml:space="preserve">Vilma Stanevičienė </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rPr>
                <w:kern w:val="3"/>
                <w:lang w:eastAsia="lt-LT" w:bidi="hi-IN"/>
              </w:rPr>
            </w:pPr>
            <w:r>
              <w:rPr>
                <w:lang w:eastAsia="lt-LT"/>
              </w:rPr>
              <w:t>Virginija Paškevičienė</w:t>
            </w:r>
          </w:p>
        </w:tc>
      </w:tr>
      <w:tr w:rsidR="000038EA" w:rsidTr="000038EA">
        <w:tc>
          <w:tcPr>
            <w:tcW w:w="1612"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jc w:val="both"/>
              <w:rPr>
                <w:kern w:val="3"/>
                <w:lang w:eastAsia="lt-LT" w:bidi="hi-IN"/>
              </w:rPr>
            </w:pPr>
            <w:r>
              <w:rPr>
                <w:lang w:eastAsia="lt-LT"/>
              </w:rPr>
              <w:t>Pareigos</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Pr="00D51851" w:rsidRDefault="00D51851">
            <w:pPr>
              <w:rPr>
                <w:lang w:eastAsia="lt-LT"/>
              </w:rPr>
            </w:pPr>
            <w:r w:rsidRPr="00D51851">
              <w:rPr>
                <w:lang w:eastAsia="lt-LT"/>
              </w:rPr>
              <w:t>Regiono pardavimų vadovė</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B82169">
            <w:pPr>
              <w:widowControl w:val="0"/>
              <w:suppressAutoHyphens/>
              <w:autoSpaceDE w:val="0"/>
              <w:autoSpaceDN w:val="0"/>
              <w:adjustRightInd w:val="0"/>
              <w:rPr>
                <w:kern w:val="3"/>
                <w:lang w:eastAsia="lt-LT" w:bidi="hi-IN"/>
              </w:rPr>
            </w:pPr>
            <w:r>
              <w:rPr>
                <w:kern w:val="3"/>
                <w:lang w:eastAsia="lt-LT" w:bidi="hi-IN"/>
              </w:rPr>
              <w:t>Biomedicinos technologė</w:t>
            </w:r>
          </w:p>
        </w:tc>
      </w:tr>
      <w:tr w:rsidR="000038EA" w:rsidTr="000038EA">
        <w:tc>
          <w:tcPr>
            <w:tcW w:w="1612"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jc w:val="both"/>
              <w:rPr>
                <w:kern w:val="3"/>
                <w:lang w:eastAsia="lt-LT" w:bidi="hi-IN"/>
              </w:rPr>
            </w:pPr>
            <w:r>
              <w:rPr>
                <w:lang w:eastAsia="lt-LT"/>
              </w:rPr>
              <w:t>Adresas</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Pr="006D1EBE" w:rsidRDefault="006D1EBE">
            <w:pPr>
              <w:rPr>
                <w:lang w:eastAsia="lt-LT"/>
              </w:rPr>
            </w:pPr>
            <w:r w:rsidRPr="006D1EBE">
              <w:rPr>
                <w:lang w:eastAsia="lt-LT"/>
              </w:rPr>
              <w:t>Žemaičių pl. 37, Kaunas</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rPr>
                <w:kern w:val="3"/>
                <w:lang w:eastAsia="lt-LT" w:bidi="hi-IN"/>
              </w:rPr>
            </w:pPr>
            <w:r>
              <w:rPr>
                <w:lang w:eastAsia="lt-LT"/>
              </w:rPr>
              <w:t>Vytauto g. 9, Kalvarija</w:t>
            </w:r>
          </w:p>
        </w:tc>
      </w:tr>
      <w:tr w:rsidR="000038EA" w:rsidTr="000038EA">
        <w:tc>
          <w:tcPr>
            <w:tcW w:w="1612"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jc w:val="both"/>
              <w:rPr>
                <w:kern w:val="3"/>
                <w:lang w:eastAsia="lt-LT" w:bidi="hi-IN"/>
              </w:rPr>
            </w:pPr>
            <w:r>
              <w:rPr>
                <w:lang w:eastAsia="lt-LT"/>
              </w:rPr>
              <w:t>Telefonas</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Pr="00140D1E" w:rsidRDefault="00C1170C">
            <w:pPr>
              <w:rPr>
                <w:lang w:eastAsia="lt-LT"/>
              </w:rPr>
            </w:pPr>
            <w:r>
              <w:rPr>
                <w:lang w:eastAsia="lt-LT"/>
              </w:rPr>
              <w:t>+3706</w:t>
            </w:r>
            <w:r w:rsidR="007B66F0">
              <w:rPr>
                <w:lang w:eastAsia="lt-LT"/>
              </w:rPr>
              <w:t>1690670</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140D1E">
            <w:pPr>
              <w:widowControl w:val="0"/>
              <w:suppressAutoHyphens/>
              <w:autoSpaceDE w:val="0"/>
              <w:autoSpaceDN w:val="0"/>
              <w:adjustRightInd w:val="0"/>
              <w:rPr>
                <w:kern w:val="3"/>
                <w:lang w:eastAsia="lt-LT" w:bidi="hi-IN"/>
              </w:rPr>
            </w:pPr>
            <w:r>
              <w:rPr>
                <w:lang w:eastAsia="lt-LT"/>
              </w:rPr>
              <w:t>+370</w:t>
            </w:r>
            <w:r w:rsidR="000038EA">
              <w:rPr>
                <w:lang w:eastAsia="lt-LT"/>
              </w:rPr>
              <w:t>60003434</w:t>
            </w:r>
          </w:p>
        </w:tc>
      </w:tr>
      <w:tr w:rsidR="000038EA" w:rsidTr="000038EA">
        <w:tc>
          <w:tcPr>
            <w:tcW w:w="1612" w:type="pct"/>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jc w:val="both"/>
              <w:rPr>
                <w:kern w:val="3"/>
                <w:lang w:eastAsia="lt-LT" w:bidi="hi-IN"/>
              </w:rPr>
            </w:pPr>
            <w:r>
              <w:rPr>
                <w:lang w:eastAsia="lt-LT"/>
              </w:rPr>
              <w:t>Elektroninio pašto adresas</w:t>
            </w:r>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Pr="00491506" w:rsidRDefault="007B66F0">
            <w:pPr>
              <w:rPr>
                <w:u w:val="single"/>
                <w:lang w:eastAsia="lt-LT"/>
              </w:rPr>
            </w:pPr>
            <w:hyperlink r:id="rId8" w:history="1">
              <w:r w:rsidRPr="0010637F">
                <w:rPr>
                  <w:rStyle w:val="Hipersaitas"/>
                </w:rPr>
                <w:t>vilma.staneviciene</w:t>
              </w:r>
              <w:r w:rsidRPr="0010637F">
                <w:rPr>
                  <w:rStyle w:val="Hipersaitas"/>
                  <w:lang w:eastAsia="lt-LT"/>
                </w:rPr>
                <w:t>@anteja.lt</w:t>
              </w:r>
            </w:hyperlink>
          </w:p>
        </w:tc>
        <w:tc>
          <w:tcPr>
            <w:tcW w:w="0" w:type="auto"/>
            <w:tcBorders>
              <w:top w:val="single" w:sz="2" w:space="0" w:color="C6C6C6"/>
              <w:left w:val="single" w:sz="2" w:space="0" w:color="C6C6C6"/>
              <w:bottom w:val="single" w:sz="2" w:space="0" w:color="C6C6C6"/>
              <w:right w:val="single" w:sz="2" w:space="0" w:color="C6C6C6"/>
            </w:tcBorders>
            <w:tcMar>
              <w:top w:w="15" w:type="dxa"/>
              <w:left w:w="15" w:type="dxa"/>
              <w:bottom w:w="15" w:type="dxa"/>
              <w:right w:w="15" w:type="dxa"/>
            </w:tcMar>
            <w:vAlign w:val="center"/>
            <w:hideMark/>
          </w:tcPr>
          <w:p w:rsidR="000038EA" w:rsidRDefault="000038EA">
            <w:pPr>
              <w:widowControl w:val="0"/>
              <w:suppressAutoHyphens/>
              <w:autoSpaceDE w:val="0"/>
              <w:autoSpaceDN w:val="0"/>
              <w:adjustRightInd w:val="0"/>
              <w:rPr>
                <w:lang w:eastAsia="lt-LT"/>
              </w:rPr>
            </w:pPr>
            <w:hyperlink r:id="rId9" w:history="1">
              <w:r>
                <w:rPr>
                  <w:rStyle w:val="Hipersaitas"/>
                  <w:lang w:eastAsia="lt-LT"/>
                </w:rPr>
                <w:t>sveikatoscentras@kssc.lt</w:t>
              </w:r>
            </w:hyperlink>
          </w:p>
        </w:tc>
      </w:tr>
    </w:tbl>
    <w:p w:rsidR="000038EA" w:rsidRDefault="000038EA" w:rsidP="000038EA">
      <w:pPr>
        <w:autoSpaceDE w:val="0"/>
        <w:adjustRightInd w:val="0"/>
        <w:ind w:left="720"/>
        <w:jc w:val="both"/>
        <w:rPr>
          <w:kern w:val="3"/>
          <w:lang w:eastAsia="lt-LT" w:bidi="hi-IN"/>
        </w:rPr>
      </w:pPr>
      <w:r>
        <w:rPr>
          <w:lang w:eastAsia="lt-LT"/>
        </w:rPr>
        <w:t> </w:t>
      </w:r>
    </w:p>
    <w:p w:rsidR="000038EA" w:rsidRDefault="00255CF7" w:rsidP="000038EA">
      <w:pPr>
        <w:autoSpaceDE w:val="0"/>
        <w:adjustRightInd w:val="0"/>
        <w:ind w:firstLine="720"/>
        <w:jc w:val="both"/>
        <w:rPr>
          <w:lang w:eastAsia="lt-LT"/>
        </w:rPr>
      </w:pPr>
      <w:r>
        <w:rPr>
          <w:lang w:eastAsia="lt-LT"/>
        </w:rPr>
        <w:t>9</w:t>
      </w:r>
      <w:r w:rsidR="000038EA">
        <w:rPr>
          <w:lang w:eastAsia="lt-LT"/>
        </w:rPr>
        <w:t>.2. Perkančiosios organizacijos asmuo atsakingas už sutarties ir pakeitimų paskelbimą pagal Lietuvos Respublikos viešųjų pirkimų įstatymo 86 straipsnio 9 dalies nuostatas – direktoriaus pavaduotojas bendriesiems reikalams Mindaugas Rubinas.</w:t>
      </w:r>
      <w:r w:rsidR="000038EA">
        <w:rPr>
          <w:b/>
        </w:rPr>
        <w:t xml:space="preserve"> </w:t>
      </w:r>
    </w:p>
    <w:p w:rsidR="000038EA" w:rsidRDefault="000038EA" w:rsidP="000038EA">
      <w:pPr>
        <w:pStyle w:val="Body2"/>
        <w:ind w:firstLine="851"/>
        <w:jc w:val="center"/>
        <w:rPr>
          <w:rFonts w:cs="Times New Roman"/>
          <w:b/>
          <w:color w:val="auto"/>
          <w:sz w:val="24"/>
          <w:szCs w:val="24"/>
          <w:lang w:val="lt-LT"/>
        </w:rPr>
      </w:pPr>
    </w:p>
    <w:p w:rsidR="000038EA" w:rsidRDefault="000038EA" w:rsidP="000038EA">
      <w:pPr>
        <w:pStyle w:val="Body2"/>
        <w:ind w:firstLine="851"/>
        <w:jc w:val="center"/>
        <w:rPr>
          <w:rFonts w:cs="Times New Roman"/>
          <w:b/>
          <w:color w:val="auto"/>
          <w:sz w:val="24"/>
          <w:szCs w:val="24"/>
          <w:lang w:val="lt-LT"/>
        </w:rPr>
      </w:pPr>
      <w:r>
        <w:rPr>
          <w:rFonts w:cs="Times New Roman"/>
          <w:b/>
          <w:color w:val="auto"/>
          <w:sz w:val="24"/>
          <w:szCs w:val="24"/>
          <w:lang w:val="lt-LT"/>
        </w:rPr>
        <w:t>10. KITOS NUOSTATOS</w:t>
      </w:r>
    </w:p>
    <w:p w:rsidR="000038EA" w:rsidRDefault="000038EA" w:rsidP="000038EA">
      <w:pPr>
        <w:pStyle w:val="Body2"/>
        <w:ind w:firstLine="851"/>
        <w:rPr>
          <w:rFonts w:cs="Times New Roman"/>
          <w:color w:val="auto"/>
          <w:sz w:val="24"/>
          <w:szCs w:val="24"/>
          <w:lang w:val="lt-LT"/>
        </w:rPr>
      </w:pP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10.1.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10.2. Sutartis sudaroma lietuvių kalba.</w:t>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10.43 Sutartis surašoma dviem turinčiais vienodą juridinę galią egzemplioriais, kiekvienai Šaliai po vieną.</w:t>
      </w:r>
    </w:p>
    <w:p w:rsidR="000038EA" w:rsidRDefault="000038EA" w:rsidP="000038EA">
      <w:pPr>
        <w:pStyle w:val="Body2"/>
        <w:ind w:firstLine="851"/>
        <w:jc w:val="center"/>
        <w:rPr>
          <w:rFonts w:cs="Times New Roman"/>
          <w:b/>
          <w:color w:val="auto"/>
          <w:sz w:val="24"/>
          <w:szCs w:val="24"/>
          <w:lang w:val="lt-LT"/>
        </w:rPr>
      </w:pPr>
    </w:p>
    <w:p w:rsidR="000038EA" w:rsidRDefault="000038EA" w:rsidP="000038EA">
      <w:pPr>
        <w:pStyle w:val="Body2"/>
        <w:ind w:firstLine="851"/>
        <w:jc w:val="center"/>
        <w:rPr>
          <w:rFonts w:cs="Times New Roman"/>
          <w:b/>
          <w:color w:val="auto"/>
          <w:sz w:val="24"/>
          <w:szCs w:val="24"/>
          <w:lang w:val="lt-LT"/>
        </w:rPr>
      </w:pPr>
      <w:r>
        <w:rPr>
          <w:rFonts w:cs="Times New Roman"/>
          <w:b/>
          <w:color w:val="auto"/>
          <w:sz w:val="24"/>
          <w:szCs w:val="24"/>
          <w:lang w:val="lt-LT"/>
        </w:rPr>
        <w:t>11. SUTARTIES PRIEDAI</w:t>
      </w:r>
    </w:p>
    <w:p w:rsidR="000038EA" w:rsidRDefault="000038EA" w:rsidP="000038EA">
      <w:pPr>
        <w:pStyle w:val="Body2"/>
        <w:ind w:firstLine="851"/>
        <w:rPr>
          <w:rFonts w:cs="Times New Roman"/>
          <w:b/>
          <w:color w:val="auto"/>
          <w:sz w:val="24"/>
          <w:szCs w:val="24"/>
          <w:lang w:val="lt-LT"/>
        </w:rPr>
      </w:pPr>
    </w:p>
    <w:p w:rsidR="000038EA" w:rsidRPr="00A41A56" w:rsidRDefault="000038EA" w:rsidP="00A41A56">
      <w:pPr>
        <w:pStyle w:val="Body2"/>
        <w:ind w:firstLine="851"/>
        <w:rPr>
          <w:rFonts w:cs="Times New Roman"/>
          <w:color w:val="auto"/>
          <w:sz w:val="24"/>
          <w:szCs w:val="24"/>
          <w:lang w:val="lt-LT"/>
        </w:rPr>
      </w:pPr>
      <w:r>
        <w:rPr>
          <w:rFonts w:cs="Times New Roman"/>
          <w:color w:val="auto"/>
          <w:sz w:val="24"/>
          <w:szCs w:val="24"/>
          <w:lang w:val="lt-LT"/>
        </w:rPr>
        <w:t xml:space="preserve">11.1. </w:t>
      </w:r>
      <w:bookmarkStart w:id="14" w:name="_Hlk497895212"/>
      <w:r>
        <w:rPr>
          <w:rFonts w:cs="Times New Roman"/>
          <w:color w:val="auto"/>
          <w:sz w:val="24"/>
          <w:szCs w:val="24"/>
          <w:lang w:val="lt-LT"/>
        </w:rPr>
        <w:t>Paslaugų teikėjo pasiūlymas</w:t>
      </w:r>
      <w:bookmarkEnd w:id="14"/>
      <w:r>
        <w:rPr>
          <w:rFonts w:cs="Times New Roman"/>
          <w:color w:val="auto"/>
          <w:sz w:val="24"/>
          <w:szCs w:val="24"/>
          <w:lang w:val="lt-LT"/>
        </w:rPr>
        <w:t>, 1 priedas;</w:t>
      </w:r>
      <w:r w:rsidR="00A41A56">
        <w:rPr>
          <w:rFonts w:cs="Times New Roman"/>
          <w:color w:val="auto"/>
          <w:sz w:val="24"/>
          <w:szCs w:val="24"/>
        </w:rPr>
        <w:t xml:space="preserve"> </w:t>
      </w:r>
    </w:p>
    <w:p w:rsidR="000038EA" w:rsidRDefault="00A41A56" w:rsidP="000038EA">
      <w:pPr>
        <w:pStyle w:val="Body2"/>
        <w:ind w:firstLine="851"/>
        <w:rPr>
          <w:rFonts w:cs="Times New Roman"/>
          <w:color w:val="auto"/>
          <w:sz w:val="24"/>
          <w:szCs w:val="24"/>
          <w:lang w:val="lt-LT"/>
        </w:rPr>
      </w:pPr>
      <w:r>
        <w:rPr>
          <w:rFonts w:cs="Times New Roman"/>
          <w:color w:val="auto"/>
          <w:sz w:val="24"/>
          <w:szCs w:val="24"/>
          <w:lang w:val="lt-LT"/>
        </w:rPr>
        <w:t>11.2</w:t>
      </w:r>
      <w:r w:rsidR="000038EA">
        <w:rPr>
          <w:rFonts w:cs="Times New Roman"/>
          <w:color w:val="auto"/>
          <w:sz w:val="24"/>
          <w:szCs w:val="24"/>
          <w:lang w:val="lt-LT"/>
        </w:rPr>
        <w:t xml:space="preserve">. </w:t>
      </w:r>
      <w:bookmarkStart w:id="15" w:name="_Hlk497896379"/>
      <w:r w:rsidR="000038EA">
        <w:rPr>
          <w:rFonts w:cs="Times New Roman"/>
          <w:color w:val="auto"/>
          <w:sz w:val="24"/>
          <w:szCs w:val="24"/>
          <w:lang w:val="lt-LT"/>
        </w:rPr>
        <w:t xml:space="preserve">Paslaugų </w:t>
      </w:r>
      <w:r>
        <w:rPr>
          <w:rFonts w:cs="Times New Roman"/>
          <w:color w:val="auto"/>
          <w:sz w:val="24"/>
          <w:szCs w:val="24"/>
          <w:lang w:val="lt-LT"/>
        </w:rPr>
        <w:t>pirkimo techninė specifikacija 2</w:t>
      </w:r>
      <w:r w:rsidR="000038EA">
        <w:rPr>
          <w:rFonts w:cs="Times New Roman"/>
          <w:color w:val="auto"/>
          <w:sz w:val="24"/>
          <w:szCs w:val="24"/>
          <w:lang w:val="lt-LT"/>
        </w:rPr>
        <w:t xml:space="preserve"> priedas</w:t>
      </w:r>
      <w:bookmarkEnd w:id="15"/>
      <w:r w:rsidR="000038EA">
        <w:rPr>
          <w:rFonts w:cs="Times New Roman"/>
          <w:color w:val="auto"/>
          <w:sz w:val="24"/>
          <w:szCs w:val="24"/>
          <w:lang w:val="lt-LT"/>
        </w:rPr>
        <w:t>.</w:t>
      </w:r>
    </w:p>
    <w:p w:rsidR="000038EA" w:rsidRDefault="000038EA" w:rsidP="000038EA">
      <w:pPr>
        <w:pStyle w:val="Body2"/>
        <w:ind w:firstLine="851"/>
        <w:rPr>
          <w:rFonts w:cs="Times New Roman"/>
          <w:color w:val="auto"/>
          <w:sz w:val="24"/>
          <w:szCs w:val="24"/>
          <w:lang w:val="lt-LT"/>
        </w:rPr>
      </w:pPr>
    </w:p>
    <w:p w:rsidR="000038EA" w:rsidRDefault="000038EA" w:rsidP="000038EA">
      <w:pPr>
        <w:pStyle w:val="Body2"/>
        <w:ind w:firstLine="851"/>
        <w:rPr>
          <w:rFonts w:cs="Times New Roman"/>
          <w:color w:val="auto"/>
          <w:sz w:val="24"/>
          <w:szCs w:val="24"/>
          <w:lang w:val="lt-LT"/>
        </w:rPr>
      </w:pPr>
    </w:p>
    <w:p w:rsidR="000038EA" w:rsidRDefault="000038EA" w:rsidP="000038EA">
      <w:pPr>
        <w:pStyle w:val="Body2"/>
        <w:ind w:firstLine="851"/>
        <w:jc w:val="center"/>
        <w:rPr>
          <w:rFonts w:cs="Times New Roman"/>
          <w:b/>
          <w:color w:val="auto"/>
          <w:sz w:val="24"/>
          <w:szCs w:val="24"/>
          <w:lang w:val="lt-LT"/>
        </w:rPr>
      </w:pPr>
      <w:r>
        <w:rPr>
          <w:rFonts w:cs="Times New Roman"/>
          <w:b/>
          <w:color w:val="auto"/>
          <w:sz w:val="24"/>
          <w:szCs w:val="24"/>
          <w:lang w:val="lt-LT"/>
        </w:rPr>
        <w:t xml:space="preserve">12. </w:t>
      </w:r>
      <w:bookmarkStart w:id="16" w:name="bookmark5"/>
      <w:r>
        <w:rPr>
          <w:rFonts w:cs="Times New Roman"/>
          <w:b/>
          <w:color w:val="auto"/>
          <w:sz w:val="24"/>
          <w:szCs w:val="24"/>
          <w:lang w:val="lt-LT"/>
        </w:rPr>
        <w:t>SUTARTIES ŠALIŲ REKVIZITAI</w:t>
      </w:r>
      <w:bookmarkEnd w:id="16"/>
    </w:p>
    <w:p w:rsidR="000038EA" w:rsidRDefault="000038EA" w:rsidP="000038EA">
      <w:pPr>
        <w:pStyle w:val="Body2"/>
        <w:ind w:firstLine="851"/>
        <w:rPr>
          <w:rFonts w:cs="Times New Roman"/>
          <w:b/>
          <w:color w:val="auto"/>
          <w:sz w:val="24"/>
          <w:szCs w:val="24"/>
          <w:lang w:val="lt-LT"/>
        </w:rPr>
      </w:pPr>
      <w:r>
        <w:rPr>
          <w:rFonts w:cs="Times New Roman"/>
          <w:b/>
          <w:color w:val="auto"/>
          <w:sz w:val="24"/>
          <w:szCs w:val="24"/>
          <w:lang w:val="lt-LT"/>
        </w:rPr>
        <w:tab/>
      </w:r>
    </w:p>
    <w:p w:rsidR="000038EA" w:rsidRDefault="000038EA" w:rsidP="000038EA">
      <w:pPr>
        <w:pStyle w:val="Body2"/>
        <w:ind w:firstLine="851"/>
        <w:rPr>
          <w:rFonts w:cs="Times New Roman"/>
          <w:color w:val="auto"/>
          <w:sz w:val="24"/>
          <w:szCs w:val="24"/>
          <w:lang w:val="lt-LT"/>
        </w:rPr>
      </w:pPr>
      <w:r>
        <w:rPr>
          <w:rFonts w:cs="Times New Roman"/>
          <w:color w:val="auto"/>
          <w:sz w:val="24"/>
          <w:szCs w:val="24"/>
          <w:lang w:val="lt-LT"/>
        </w:rPr>
        <w:t>12.1. Visa su Sutartimi susijusi korespondencija ir pranešimai turi būti rašomi lietuvių kalba ir siunčiami šiais adresais:</w:t>
      </w:r>
    </w:p>
    <w:p w:rsidR="000038EA" w:rsidRDefault="000038EA" w:rsidP="000038EA">
      <w:pPr>
        <w:pStyle w:val="Body2"/>
        <w:ind w:firstLine="851"/>
        <w:rPr>
          <w:rFonts w:cs="Times New Roman"/>
          <w:b/>
          <w:color w:val="auto"/>
          <w:sz w:val="24"/>
          <w:szCs w:val="24"/>
        </w:rPr>
      </w:pPr>
    </w:p>
    <w:tbl>
      <w:tblPr>
        <w:tblW w:w="0" w:type="auto"/>
        <w:tblLook w:val="04A0" w:firstRow="1" w:lastRow="0" w:firstColumn="1" w:lastColumn="0" w:noHBand="0" w:noVBand="1"/>
      </w:tblPr>
      <w:tblGrid>
        <w:gridCol w:w="4638"/>
        <w:gridCol w:w="4562"/>
      </w:tblGrid>
      <w:tr w:rsidR="000038EA" w:rsidTr="006C4CCC">
        <w:trPr>
          <w:trHeight w:val="7056"/>
        </w:trPr>
        <w:tc>
          <w:tcPr>
            <w:tcW w:w="4638" w:type="dxa"/>
          </w:tcPr>
          <w:p w:rsidR="000038EA" w:rsidRPr="00262B84" w:rsidRDefault="000038EA">
            <w:pPr>
              <w:pStyle w:val="Body2"/>
              <w:autoSpaceDN w:val="0"/>
              <w:jc w:val="center"/>
              <w:rPr>
                <w:rFonts w:cs="Times New Roman"/>
                <w:b/>
                <w:color w:val="auto"/>
                <w:kern w:val="3"/>
                <w:sz w:val="24"/>
                <w:szCs w:val="24"/>
                <w:lang w:val="lt-LT" w:eastAsia="zh-CN" w:bidi="hi-IN"/>
              </w:rPr>
            </w:pPr>
            <w:r w:rsidRPr="00262B84">
              <w:rPr>
                <w:rFonts w:cs="Times New Roman"/>
                <w:b/>
                <w:color w:val="auto"/>
                <w:kern w:val="3"/>
                <w:sz w:val="24"/>
                <w:szCs w:val="24"/>
                <w:lang w:val="lt-LT" w:eastAsia="zh-CN" w:bidi="hi-IN"/>
              </w:rPr>
              <w:t>PERKANČIOJI ORGANIZACIJA:</w:t>
            </w:r>
          </w:p>
          <w:p w:rsidR="000038EA" w:rsidRPr="00262B84" w:rsidRDefault="000038EA">
            <w:pPr>
              <w:pStyle w:val="Body2"/>
              <w:autoSpaceDN w:val="0"/>
              <w:ind w:firstLine="851"/>
              <w:jc w:val="center"/>
              <w:rPr>
                <w:rFonts w:cs="Times New Roman"/>
                <w:b/>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Viešoji įstaiga Kalvarijos savivaldybės</w:t>
            </w: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sveikatos centras</w:t>
            </w:r>
          </w:p>
          <w:p w:rsidR="000038EA" w:rsidRPr="00262B84" w:rsidRDefault="005F40EF">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Vytauto g. 9, </w:t>
            </w:r>
            <w:r w:rsidR="000038EA" w:rsidRPr="00262B84">
              <w:rPr>
                <w:rFonts w:cs="Times New Roman"/>
                <w:bCs/>
                <w:color w:val="auto"/>
                <w:kern w:val="3"/>
                <w:sz w:val="24"/>
                <w:szCs w:val="24"/>
                <w:lang w:val="lt-LT" w:eastAsia="zh-CN" w:bidi="hi-IN"/>
              </w:rPr>
              <w:t xml:space="preserve"> Kalvarija</w:t>
            </w: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Juridinio asmens kodas 165802433</w:t>
            </w: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Tel. +370 343 23457</w:t>
            </w: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El. p. </w:t>
            </w:r>
            <w:hyperlink r:id="rId10" w:history="1">
              <w:r w:rsidRPr="00262B84">
                <w:rPr>
                  <w:rStyle w:val="Hipersaitas"/>
                  <w:rFonts w:cs="Times New Roman"/>
                  <w:bCs/>
                  <w:kern w:val="3"/>
                  <w:sz w:val="24"/>
                  <w:szCs w:val="24"/>
                  <w:lang w:val="lt-LT" w:eastAsia="zh-CN" w:bidi="hi-IN"/>
                </w:rPr>
                <w:t>sveikatoscentras@kssc.lt</w:t>
              </w:r>
            </w:hyperlink>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Direktorė</w:t>
            </w: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Aušra Dainauskienė</w:t>
            </w: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____________________________                </w:t>
            </w:r>
          </w:p>
          <w:p w:rsidR="000038EA" w:rsidRPr="00262B84" w:rsidRDefault="000038EA">
            <w:pPr>
              <w:pStyle w:val="Body2"/>
              <w:autoSpaceDN w:val="0"/>
              <w:ind w:firstLine="851"/>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(parašas)</w:t>
            </w:r>
          </w:p>
          <w:p w:rsidR="000038EA" w:rsidRPr="00262B84" w:rsidRDefault="000038EA">
            <w:pPr>
              <w:pStyle w:val="Body2"/>
              <w:autoSpaceDN w:val="0"/>
              <w:ind w:firstLine="851"/>
              <w:rPr>
                <w:rFonts w:cs="Times New Roman"/>
                <w:bCs/>
                <w:color w:val="auto"/>
                <w:kern w:val="3"/>
                <w:sz w:val="24"/>
                <w:szCs w:val="24"/>
                <w:lang w:val="lt-LT" w:eastAsia="zh-CN" w:bidi="hi-IN"/>
              </w:rPr>
            </w:pPr>
          </w:p>
          <w:p w:rsidR="000038EA" w:rsidRPr="00262B84" w:rsidRDefault="005F40EF">
            <w:pPr>
              <w:pStyle w:val="Body2"/>
              <w:autoSpaceDN w:val="0"/>
              <w:rPr>
                <w:rFonts w:cs="Times New Roman"/>
                <w:bCs/>
                <w:color w:val="auto"/>
                <w:kern w:val="3"/>
                <w:sz w:val="24"/>
                <w:szCs w:val="24"/>
                <w:lang w:val="lt-LT" w:eastAsia="zh-CN" w:bidi="hi-IN"/>
              </w:rPr>
            </w:pPr>
            <w:r w:rsidRPr="00262B84">
              <w:rPr>
                <w:rFonts w:cs="Times New Roman"/>
                <w:bCs/>
                <w:color w:val="auto"/>
                <w:kern w:val="3"/>
                <w:sz w:val="24"/>
                <w:szCs w:val="24"/>
                <w:lang w:val="lt-LT" w:eastAsia="zh-CN" w:bidi="hi-IN"/>
              </w:rPr>
              <w:t xml:space="preserve">       </w:t>
            </w:r>
          </w:p>
        </w:tc>
        <w:tc>
          <w:tcPr>
            <w:tcW w:w="4562" w:type="dxa"/>
          </w:tcPr>
          <w:p w:rsidR="000038EA" w:rsidRPr="00262B84" w:rsidRDefault="000038EA">
            <w:pPr>
              <w:pStyle w:val="Body2"/>
              <w:autoSpaceDN w:val="0"/>
              <w:ind w:firstLine="851"/>
              <w:jc w:val="center"/>
              <w:rPr>
                <w:rFonts w:cs="Times New Roman"/>
                <w:b/>
                <w:color w:val="auto"/>
                <w:kern w:val="3"/>
                <w:sz w:val="24"/>
                <w:szCs w:val="24"/>
                <w:lang w:val="lt-LT" w:eastAsia="zh-CN" w:bidi="hi-IN"/>
              </w:rPr>
            </w:pPr>
            <w:r w:rsidRPr="00262B84">
              <w:rPr>
                <w:rFonts w:cs="Times New Roman"/>
                <w:b/>
                <w:color w:val="auto"/>
                <w:kern w:val="3"/>
                <w:sz w:val="24"/>
                <w:szCs w:val="24"/>
                <w:lang w:val="lt-LT" w:eastAsia="zh-CN" w:bidi="hi-IN"/>
              </w:rPr>
              <w:t>PASLAUGŲ TEIKĖJAS:</w:t>
            </w:r>
          </w:p>
          <w:p w:rsidR="000038EA" w:rsidRPr="00262B84" w:rsidRDefault="000038EA">
            <w:pPr>
              <w:pStyle w:val="Body2"/>
              <w:autoSpaceDN w:val="0"/>
              <w:ind w:firstLine="851"/>
              <w:jc w:val="center"/>
              <w:rPr>
                <w:rFonts w:cs="Times New Roman"/>
                <w:iCs/>
                <w:color w:val="auto"/>
                <w:kern w:val="3"/>
                <w:sz w:val="24"/>
                <w:szCs w:val="24"/>
                <w:lang w:val="lt-LT" w:eastAsia="zh-CN" w:bidi="hi-IN"/>
              </w:rPr>
            </w:pPr>
          </w:p>
          <w:p w:rsidR="000038EA" w:rsidRPr="00262B84" w:rsidRDefault="005F40EF" w:rsidP="005F40EF">
            <w:pPr>
              <w:pStyle w:val="Body2"/>
              <w:autoSpaceDN w:val="0"/>
              <w:ind w:firstLine="851"/>
              <w:jc w:val="left"/>
              <w:rPr>
                <w:rFonts w:cs="Times New Roman"/>
                <w:iCs/>
                <w:color w:val="auto"/>
                <w:kern w:val="3"/>
                <w:sz w:val="24"/>
                <w:szCs w:val="24"/>
                <w:lang w:val="lt-LT" w:eastAsia="zh-CN" w:bidi="hi-IN"/>
              </w:rPr>
            </w:pPr>
            <w:r w:rsidRPr="00262B84">
              <w:rPr>
                <w:rFonts w:cs="Times New Roman"/>
                <w:iCs/>
                <w:color w:val="auto"/>
                <w:kern w:val="3"/>
                <w:sz w:val="24"/>
                <w:szCs w:val="24"/>
                <w:lang w:val="lt-LT" w:eastAsia="zh-CN" w:bidi="hi-IN"/>
              </w:rPr>
              <w:t>UAB Diagnostikos laboratorija</w:t>
            </w:r>
          </w:p>
          <w:p w:rsidR="000038EA" w:rsidRPr="00262B84" w:rsidRDefault="000038EA">
            <w:pPr>
              <w:pStyle w:val="Body2"/>
              <w:autoSpaceDN w:val="0"/>
              <w:ind w:firstLine="851"/>
              <w:jc w:val="center"/>
              <w:rPr>
                <w:rFonts w:cs="Times New Roman"/>
                <w:color w:val="auto"/>
                <w:kern w:val="3"/>
                <w:sz w:val="24"/>
                <w:szCs w:val="24"/>
                <w:vertAlign w:val="superscript"/>
                <w:lang w:val="lt-LT" w:eastAsia="zh-CN" w:bidi="hi-IN"/>
              </w:rPr>
            </w:pPr>
          </w:p>
          <w:p w:rsidR="000038EA" w:rsidRPr="00262B84" w:rsidRDefault="005F40EF" w:rsidP="005F40EF">
            <w:pPr>
              <w:pStyle w:val="Body2"/>
              <w:autoSpaceDN w:val="0"/>
              <w:ind w:firstLine="851"/>
              <w:jc w:val="left"/>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Žemaičių pl. 37, Kaunas</w:t>
            </w:r>
          </w:p>
          <w:p w:rsidR="000038EA" w:rsidRPr="00262B84" w:rsidRDefault="005F40EF" w:rsidP="005F40EF">
            <w:pPr>
              <w:pStyle w:val="Body2"/>
              <w:autoSpaceDN w:val="0"/>
              <w:ind w:firstLine="851"/>
              <w:jc w:val="left"/>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Juridinio asmens kodas 300598351</w:t>
            </w:r>
          </w:p>
          <w:p w:rsidR="000038EA" w:rsidRPr="00262B84" w:rsidRDefault="005F40EF" w:rsidP="005F40EF">
            <w:pPr>
              <w:pStyle w:val="Body2"/>
              <w:autoSpaceDN w:val="0"/>
              <w:ind w:firstLine="851"/>
              <w:jc w:val="left"/>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Tel. +370</w:t>
            </w:r>
            <w:r w:rsidR="0066681B" w:rsidRPr="00262B84">
              <w:rPr>
                <w:rFonts w:cs="Times New Roman"/>
                <w:color w:val="auto"/>
                <w:kern w:val="3"/>
                <w:sz w:val="24"/>
                <w:szCs w:val="24"/>
                <w:lang w:val="lt-LT" w:eastAsia="zh-CN" w:bidi="hi-IN"/>
              </w:rPr>
              <w:t>67926558</w:t>
            </w:r>
          </w:p>
          <w:p w:rsidR="000038EA" w:rsidRPr="00262B84" w:rsidRDefault="005F40EF" w:rsidP="005F40EF">
            <w:pPr>
              <w:pStyle w:val="Body2"/>
              <w:autoSpaceDN w:val="0"/>
              <w:ind w:firstLine="851"/>
              <w:jc w:val="left"/>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 xml:space="preserve">El. p. </w:t>
            </w:r>
            <w:hyperlink r:id="rId11" w:history="1">
              <w:r w:rsidR="006D1EBE" w:rsidRPr="00262B84">
                <w:rPr>
                  <w:rStyle w:val="Hipersaitas"/>
                  <w:rFonts w:cs="Times New Roman"/>
                  <w:bCs/>
                  <w:kern w:val="3"/>
                  <w:sz w:val="24"/>
                  <w:szCs w:val="24"/>
                  <w:lang w:val="lt-LT" w:eastAsia="zh-CN" w:bidi="hi-IN"/>
                </w:rPr>
                <w:t>administracija@anteja.lt</w:t>
              </w:r>
            </w:hyperlink>
          </w:p>
          <w:p w:rsidR="000038EA" w:rsidRPr="00262B84" w:rsidRDefault="000038EA">
            <w:pPr>
              <w:pStyle w:val="Body2"/>
              <w:autoSpaceDN w:val="0"/>
              <w:ind w:firstLine="851"/>
              <w:jc w:val="center"/>
              <w:rPr>
                <w:rFonts w:cs="Times New Roman"/>
                <w:color w:val="auto"/>
                <w:kern w:val="3"/>
                <w:sz w:val="24"/>
                <w:szCs w:val="24"/>
                <w:vertAlign w:val="superscript"/>
                <w:lang w:val="lt-LT" w:eastAsia="zh-CN" w:bidi="hi-IN"/>
              </w:rPr>
            </w:pPr>
          </w:p>
          <w:p w:rsidR="000038EA" w:rsidRPr="00262B84" w:rsidRDefault="005F40EF" w:rsidP="005F40EF">
            <w:pPr>
              <w:pStyle w:val="Body2"/>
              <w:autoSpaceDN w:val="0"/>
              <w:ind w:firstLine="851"/>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Viešųjų pirkimų vadovė</w:t>
            </w:r>
          </w:p>
          <w:p w:rsidR="000038EA" w:rsidRPr="00262B84" w:rsidRDefault="005F40EF" w:rsidP="005F40EF">
            <w:pPr>
              <w:pStyle w:val="Body2"/>
              <w:autoSpaceDN w:val="0"/>
              <w:ind w:firstLine="851"/>
              <w:jc w:val="left"/>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Jolanta Zajankauskienė</w:t>
            </w:r>
          </w:p>
          <w:p w:rsidR="000038EA" w:rsidRPr="00262B84" w:rsidRDefault="000038EA">
            <w:pPr>
              <w:pStyle w:val="Body2"/>
              <w:autoSpaceDN w:val="0"/>
              <w:ind w:firstLine="851"/>
              <w:jc w:val="center"/>
              <w:rPr>
                <w:rFonts w:cs="Times New Roman"/>
                <w:color w:val="auto"/>
                <w:kern w:val="3"/>
                <w:sz w:val="24"/>
                <w:szCs w:val="24"/>
                <w:vertAlign w:val="superscript"/>
                <w:lang w:val="lt-LT" w:eastAsia="zh-CN" w:bidi="hi-IN"/>
              </w:rPr>
            </w:pPr>
          </w:p>
          <w:p w:rsidR="000038EA" w:rsidRPr="00262B84" w:rsidRDefault="000038EA">
            <w:pPr>
              <w:pStyle w:val="Body2"/>
              <w:autoSpaceDN w:val="0"/>
              <w:jc w:val="left"/>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 xml:space="preserve">              ____________________________</w:t>
            </w:r>
          </w:p>
          <w:p w:rsidR="000038EA" w:rsidRPr="00262B84" w:rsidRDefault="000038EA">
            <w:pPr>
              <w:pStyle w:val="Body2"/>
              <w:autoSpaceDN w:val="0"/>
              <w:jc w:val="left"/>
              <w:rPr>
                <w:rFonts w:cs="Times New Roman"/>
                <w:color w:val="auto"/>
                <w:kern w:val="3"/>
                <w:sz w:val="24"/>
                <w:szCs w:val="24"/>
                <w:lang w:val="lt-LT" w:eastAsia="zh-CN" w:bidi="hi-IN"/>
              </w:rPr>
            </w:pPr>
            <w:r w:rsidRPr="00262B84">
              <w:rPr>
                <w:rFonts w:cs="Times New Roman"/>
                <w:color w:val="auto"/>
                <w:kern w:val="3"/>
                <w:sz w:val="24"/>
                <w:szCs w:val="24"/>
                <w:vertAlign w:val="superscript"/>
                <w:lang w:val="lt-LT" w:eastAsia="zh-CN" w:bidi="hi-IN"/>
              </w:rPr>
              <w:t xml:space="preserve">                                                </w:t>
            </w:r>
            <w:r w:rsidRPr="00262B84">
              <w:rPr>
                <w:rFonts w:cs="Times New Roman"/>
                <w:color w:val="auto"/>
                <w:kern w:val="3"/>
                <w:sz w:val="24"/>
                <w:szCs w:val="24"/>
                <w:lang w:val="lt-LT" w:eastAsia="zh-CN" w:bidi="hi-IN"/>
              </w:rPr>
              <w:t>(parašas)</w:t>
            </w:r>
          </w:p>
          <w:p w:rsidR="000038EA" w:rsidRPr="00262B84" w:rsidRDefault="000038EA">
            <w:pPr>
              <w:pStyle w:val="Body2"/>
              <w:autoSpaceDN w:val="0"/>
              <w:jc w:val="left"/>
              <w:rPr>
                <w:rFonts w:cs="Times New Roman"/>
                <w:color w:val="auto"/>
                <w:kern w:val="3"/>
                <w:sz w:val="24"/>
                <w:szCs w:val="24"/>
                <w:lang w:val="lt-LT" w:eastAsia="zh-CN" w:bidi="hi-IN"/>
              </w:rPr>
            </w:pPr>
          </w:p>
          <w:p w:rsidR="000038EA" w:rsidRPr="00262B84" w:rsidRDefault="005F40EF">
            <w:pPr>
              <w:pStyle w:val="Body2"/>
              <w:autoSpaceDN w:val="0"/>
              <w:jc w:val="left"/>
              <w:rPr>
                <w:rFonts w:cs="Times New Roman"/>
                <w:color w:val="auto"/>
                <w:kern w:val="3"/>
                <w:sz w:val="24"/>
                <w:szCs w:val="24"/>
                <w:lang w:val="lt-LT" w:eastAsia="zh-CN" w:bidi="hi-IN"/>
              </w:rPr>
            </w:pPr>
            <w:r w:rsidRPr="00262B84">
              <w:rPr>
                <w:rFonts w:cs="Times New Roman"/>
                <w:color w:val="auto"/>
                <w:kern w:val="3"/>
                <w:sz w:val="24"/>
                <w:szCs w:val="24"/>
                <w:lang w:val="lt-LT" w:eastAsia="zh-CN" w:bidi="hi-IN"/>
              </w:rPr>
              <w:t xml:space="preserve">            </w:t>
            </w: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p w:rsidR="000038EA" w:rsidRPr="00262B84" w:rsidRDefault="000038EA">
            <w:pPr>
              <w:pStyle w:val="Body2"/>
              <w:autoSpaceDN w:val="0"/>
              <w:jc w:val="left"/>
              <w:rPr>
                <w:rFonts w:cs="Times New Roman"/>
                <w:bCs/>
                <w:color w:val="auto"/>
                <w:kern w:val="3"/>
                <w:sz w:val="24"/>
                <w:szCs w:val="24"/>
                <w:lang w:val="lt-LT" w:eastAsia="zh-CN" w:bidi="hi-IN"/>
              </w:rPr>
            </w:pPr>
          </w:p>
        </w:tc>
      </w:tr>
    </w:tbl>
    <w:p w:rsidR="006C4CCC" w:rsidRDefault="006C4CCC" w:rsidP="006C4CCC">
      <w:pPr>
        <w:jc w:val="center"/>
        <w:rPr>
          <w:rFonts w:ascii="TimesNewRomanPS-BoldMT" w:eastAsiaTheme="minorHAnsi" w:hAnsi="TimesNewRomanPS-BoldMT" w:cs="TimesNewRomanPS-BoldMT"/>
          <w:b/>
          <w:bCs/>
        </w:rPr>
      </w:pPr>
      <w:r>
        <w:rPr>
          <w:rFonts w:eastAsiaTheme="minorHAnsi"/>
        </w:rPr>
        <w:t>.</w:t>
      </w:r>
    </w:p>
    <w:p w:rsidR="006C4CCC" w:rsidRPr="006C4CCC" w:rsidRDefault="006C4CCC" w:rsidP="006C4CCC">
      <w:pPr>
        <w:jc w:val="right"/>
        <w:rPr>
          <w:rFonts w:ascii="TimesNewRomanPS-BoldMT" w:eastAsiaTheme="minorHAnsi" w:hAnsi="TimesNewRomanPS-BoldMT" w:cs="TimesNewRomanPS-BoldMT"/>
          <w:bCs/>
        </w:rPr>
      </w:pPr>
      <w:r>
        <w:rPr>
          <w:rFonts w:ascii="TimesNewRomanPS-BoldMT" w:eastAsiaTheme="minorHAnsi" w:hAnsi="TimesNewRomanPS-BoldMT" w:cs="TimesNewRomanPS-BoldMT"/>
          <w:bCs/>
        </w:rPr>
        <w:t>1 priedas</w:t>
      </w:r>
    </w:p>
    <w:p w:rsidR="006C4CCC" w:rsidRDefault="006C4CCC" w:rsidP="006C4CCC">
      <w:pPr>
        <w:jc w:val="center"/>
        <w:rPr>
          <w:rFonts w:ascii="TimesNewRomanPS-BoldMT" w:eastAsiaTheme="minorHAnsi" w:hAnsi="TimesNewRomanPS-BoldMT" w:cs="TimesNewRomanPS-BoldMT"/>
          <w:b/>
          <w:bCs/>
        </w:rPr>
      </w:pPr>
    </w:p>
    <w:p w:rsidR="006C4CCC" w:rsidRDefault="006C4CCC"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647AE1" w:rsidRPr="00647AE1" w:rsidRDefault="00647AE1" w:rsidP="00647AE1">
      <w:pPr>
        <w:rPr>
          <w:sz w:val="20"/>
        </w:rPr>
      </w:pPr>
      <w:r w:rsidRPr="00647AE1">
        <w:rPr>
          <w:noProof/>
        </w:rPr>
        <w:drawing>
          <wp:anchor distT="0" distB="0" distL="114300" distR="114300" simplePos="0" relativeHeight="251659264" behindDoc="0" locked="0" layoutInCell="1" allowOverlap="1" wp14:anchorId="1CFB3DF0" wp14:editId="6D83D9CE">
            <wp:simplePos x="0" y="0"/>
            <wp:positionH relativeFrom="margin">
              <wp:posOffset>1971675</wp:posOffset>
            </wp:positionH>
            <wp:positionV relativeFrom="paragraph">
              <wp:posOffset>-400050</wp:posOffset>
            </wp:positionV>
            <wp:extent cx="2047240" cy="390525"/>
            <wp:effectExtent l="0" t="0" r="0" b="9525"/>
            <wp:wrapNone/>
            <wp:docPr id="6656885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88595" name="Picture 1" descr="A black background with red letter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72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7AE1" w:rsidRPr="00647AE1" w:rsidRDefault="00647AE1" w:rsidP="00647AE1">
      <w:pPr>
        <w:jc w:val="center"/>
        <w:rPr>
          <w:sz w:val="20"/>
        </w:rPr>
      </w:pPr>
      <w:r w:rsidRPr="00647AE1">
        <w:rPr>
          <w:sz w:val="20"/>
        </w:rPr>
        <w:t>UAB Diagnostikos laboratorija</w:t>
      </w:r>
    </w:p>
    <w:p w:rsidR="00647AE1" w:rsidRPr="00647AE1" w:rsidRDefault="00647AE1" w:rsidP="00647AE1">
      <w:pPr>
        <w:jc w:val="center"/>
        <w:rPr>
          <w:sz w:val="20"/>
        </w:rPr>
      </w:pPr>
      <w:r w:rsidRPr="00647AE1">
        <w:rPr>
          <w:sz w:val="20"/>
        </w:rPr>
        <w:t>Teisinė forma: Uždaroji akcinė bendrovė.</w:t>
      </w:r>
    </w:p>
    <w:p w:rsidR="00647AE1" w:rsidRPr="00647AE1" w:rsidRDefault="00647AE1" w:rsidP="00647AE1">
      <w:pPr>
        <w:jc w:val="center"/>
        <w:rPr>
          <w:sz w:val="20"/>
          <w:lang w:val="pt-BR"/>
        </w:rPr>
      </w:pPr>
      <w:r w:rsidRPr="00647AE1">
        <w:rPr>
          <w:sz w:val="20"/>
          <w:lang w:val="pt-BR"/>
        </w:rPr>
        <w:t>Adresas: Žemaičių pl.37, Kaunas.</w:t>
      </w:r>
    </w:p>
    <w:p w:rsidR="00647AE1" w:rsidRPr="00647AE1" w:rsidRDefault="00647AE1" w:rsidP="00647AE1">
      <w:pPr>
        <w:jc w:val="center"/>
        <w:rPr>
          <w:sz w:val="20"/>
          <w:lang w:val="pt-BR"/>
        </w:rPr>
      </w:pPr>
      <w:r w:rsidRPr="00647AE1">
        <w:rPr>
          <w:sz w:val="20"/>
          <w:lang w:val="pt-BR"/>
        </w:rPr>
        <w:t>Tel.: 8-37 731016</w:t>
      </w:r>
    </w:p>
    <w:p w:rsidR="00647AE1" w:rsidRPr="00647AE1" w:rsidRDefault="00647AE1" w:rsidP="00647AE1">
      <w:pPr>
        <w:jc w:val="center"/>
        <w:rPr>
          <w:sz w:val="20"/>
          <w:lang w:val="pt-BR"/>
        </w:rPr>
      </w:pPr>
      <w:r w:rsidRPr="00647AE1">
        <w:rPr>
          <w:sz w:val="20"/>
          <w:lang w:val="pt-BR"/>
        </w:rPr>
        <w:t>El. p.: administracija@kraujotyrimai.lt</w:t>
      </w:r>
    </w:p>
    <w:p w:rsidR="00647AE1" w:rsidRPr="00647AE1" w:rsidRDefault="00647AE1" w:rsidP="00647AE1">
      <w:pPr>
        <w:jc w:val="center"/>
        <w:rPr>
          <w:sz w:val="20"/>
          <w:lang w:val="pt-BR"/>
        </w:rPr>
      </w:pPr>
      <w:r w:rsidRPr="00647AE1">
        <w:rPr>
          <w:sz w:val="20"/>
          <w:lang w:val="pt-BR"/>
        </w:rPr>
        <w:t>Registro tvarkytojas: valstybės įmonė „Registrų centras“.</w:t>
      </w:r>
    </w:p>
    <w:p w:rsidR="00647AE1" w:rsidRPr="00647AE1" w:rsidRDefault="00647AE1" w:rsidP="00647AE1">
      <w:pPr>
        <w:jc w:val="center"/>
        <w:rPr>
          <w:sz w:val="20"/>
          <w:lang w:val="pt-BR"/>
        </w:rPr>
      </w:pPr>
      <w:r w:rsidRPr="00647AE1">
        <w:rPr>
          <w:sz w:val="20"/>
          <w:lang w:val="pt-BR"/>
        </w:rPr>
        <w:t>Įmonės kodas: 300598351</w:t>
      </w:r>
    </w:p>
    <w:p w:rsidR="00647AE1" w:rsidRPr="00647AE1" w:rsidRDefault="00647AE1" w:rsidP="00647AE1">
      <w:pPr>
        <w:autoSpaceDE w:val="0"/>
        <w:autoSpaceDN w:val="0"/>
        <w:adjustRightInd w:val="0"/>
        <w:jc w:val="center"/>
        <w:rPr>
          <w:sz w:val="20"/>
          <w:lang w:val="pt-BR"/>
        </w:rPr>
      </w:pPr>
      <w:r w:rsidRPr="00647AE1">
        <w:rPr>
          <w:sz w:val="20"/>
          <w:lang w:val="pt-BR"/>
        </w:rPr>
        <w:t>PVM kodas: ne PVM mokėtojas</w:t>
      </w:r>
    </w:p>
    <w:p w:rsidR="00647AE1" w:rsidRPr="00647AE1" w:rsidRDefault="00647AE1" w:rsidP="00647AE1">
      <w:pPr>
        <w:suppressAutoHyphens/>
        <w:rPr>
          <w:b/>
          <w:bCs/>
          <w:sz w:val="22"/>
          <w:szCs w:val="22"/>
          <w:u w:val="single"/>
          <w:lang w:val="pt-BR" w:eastAsia="ar-SA"/>
        </w:rPr>
      </w:pPr>
    </w:p>
    <w:p w:rsidR="00647AE1" w:rsidRPr="00647AE1" w:rsidRDefault="00647AE1" w:rsidP="00647AE1">
      <w:pPr>
        <w:jc w:val="both"/>
        <w:rPr>
          <w:lang w:val="pt-BR"/>
        </w:rPr>
      </w:pPr>
    </w:p>
    <w:p w:rsidR="00647AE1" w:rsidRPr="00647AE1" w:rsidRDefault="00647AE1" w:rsidP="00647AE1">
      <w:pPr>
        <w:jc w:val="both"/>
      </w:pPr>
    </w:p>
    <w:p w:rsidR="00647AE1" w:rsidRPr="00647AE1" w:rsidRDefault="00647AE1" w:rsidP="00647AE1">
      <w:pPr>
        <w:jc w:val="both"/>
      </w:pPr>
      <w:r w:rsidRPr="00647AE1">
        <w:t>VšĮ Kalvarijos savivaldybės sveikatos centrui</w:t>
      </w:r>
    </w:p>
    <w:p w:rsidR="00647AE1" w:rsidRPr="00647AE1" w:rsidRDefault="00647AE1" w:rsidP="00647AE1">
      <w:pPr>
        <w:jc w:val="both"/>
      </w:pPr>
    </w:p>
    <w:p w:rsidR="00647AE1" w:rsidRPr="00647AE1" w:rsidRDefault="00647AE1" w:rsidP="00647AE1">
      <w:pPr>
        <w:jc w:val="both"/>
      </w:pPr>
    </w:p>
    <w:p w:rsidR="00647AE1" w:rsidRPr="00647AE1" w:rsidRDefault="00647AE1" w:rsidP="00647AE1">
      <w:pPr>
        <w:jc w:val="center"/>
        <w:rPr>
          <w:b/>
        </w:rPr>
      </w:pPr>
      <w:r w:rsidRPr="00647AE1">
        <w:rPr>
          <w:b/>
        </w:rPr>
        <w:t>PASIŪLYMAS</w:t>
      </w:r>
    </w:p>
    <w:p w:rsidR="00647AE1" w:rsidRPr="00647AE1" w:rsidRDefault="00647AE1" w:rsidP="00647AE1">
      <w:pPr>
        <w:jc w:val="center"/>
      </w:pPr>
    </w:p>
    <w:p w:rsidR="00647AE1" w:rsidRPr="00647AE1" w:rsidRDefault="00647AE1" w:rsidP="00647AE1">
      <w:pPr>
        <w:jc w:val="center"/>
        <w:rPr>
          <w:b/>
        </w:rPr>
      </w:pPr>
      <w:r w:rsidRPr="00647AE1">
        <w:rPr>
          <w:b/>
        </w:rPr>
        <w:t>DĖL</w:t>
      </w:r>
      <w:r w:rsidRPr="00647AE1">
        <w:t xml:space="preserve"> </w:t>
      </w:r>
      <w:r w:rsidRPr="00647AE1">
        <w:rPr>
          <w:b/>
        </w:rPr>
        <w:t>MEDICINOS LABORATORIJOS PASLAUGŲ PIRKIMO</w:t>
      </w:r>
    </w:p>
    <w:p w:rsidR="00647AE1" w:rsidRPr="00647AE1" w:rsidRDefault="00647AE1" w:rsidP="00647AE1">
      <w:pPr>
        <w:jc w:val="center"/>
        <w:rPr>
          <w:u w:val="single"/>
        </w:rPr>
      </w:pPr>
      <w:r w:rsidRPr="00647AE1">
        <w:rPr>
          <w:u w:val="single"/>
        </w:rPr>
        <w:t>2025.03.31</w:t>
      </w:r>
    </w:p>
    <w:p w:rsidR="00647AE1" w:rsidRPr="00647AE1" w:rsidRDefault="00647AE1" w:rsidP="00647AE1">
      <w:pPr>
        <w:jc w:val="center"/>
      </w:pPr>
      <w:r w:rsidRPr="00647AE1">
        <w:t>(Data)</w:t>
      </w:r>
    </w:p>
    <w:p w:rsidR="00647AE1" w:rsidRPr="00647AE1" w:rsidRDefault="00647AE1" w:rsidP="00647AE1">
      <w:pPr>
        <w:jc w:val="center"/>
        <w:rPr>
          <w:u w:val="single"/>
        </w:rPr>
      </w:pPr>
      <w:r w:rsidRPr="00647AE1">
        <w:rPr>
          <w:u w:val="single"/>
        </w:rPr>
        <w:t>Kalvarija</w:t>
      </w:r>
    </w:p>
    <w:p w:rsidR="00647AE1" w:rsidRPr="00647AE1" w:rsidRDefault="00647AE1" w:rsidP="00647AE1">
      <w:pPr>
        <w:jc w:val="center"/>
      </w:pPr>
      <w:r w:rsidRPr="00647AE1">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23"/>
      </w:tblGrid>
      <w:tr w:rsidR="00647AE1" w:rsidRPr="00647AE1" w:rsidTr="00481A47">
        <w:tc>
          <w:tcPr>
            <w:tcW w:w="492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rPr>
                <w:b/>
              </w:rPr>
            </w:pPr>
            <w:r w:rsidRPr="00647AE1">
              <w:rPr>
                <w:b/>
              </w:rPr>
              <w:t>Tiekėjo pavadinimas</w:t>
            </w:r>
          </w:p>
          <w:p w:rsidR="00647AE1" w:rsidRPr="00647AE1" w:rsidRDefault="00647AE1" w:rsidP="00647AE1">
            <w:pPr>
              <w:rPr>
                <w:lang w:eastAsia="zh-CN" w:bidi="hi-IN"/>
              </w:rPr>
            </w:pPr>
            <w:r w:rsidRPr="00647AE1">
              <w:rPr>
                <w:b/>
              </w:rPr>
              <w:t>/Jeigu dalyvauja ūkio subjektų grupė, surašomi visi dalyvių pavadinimai/</w:t>
            </w:r>
          </w:p>
        </w:tc>
        <w:tc>
          <w:tcPr>
            <w:tcW w:w="442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UAB Diagnostikos laboratorija</w:t>
            </w:r>
          </w:p>
        </w:tc>
      </w:tr>
      <w:tr w:rsidR="00647AE1" w:rsidRPr="00647AE1" w:rsidTr="00481A47">
        <w:tc>
          <w:tcPr>
            <w:tcW w:w="492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rPr>
                <w:lang w:eastAsia="zh-CN" w:bidi="hi-IN"/>
              </w:rPr>
            </w:pPr>
            <w:r w:rsidRPr="00647AE1">
              <w:t>Tiekėjo adresas</w:t>
            </w:r>
          </w:p>
        </w:tc>
        <w:tc>
          <w:tcPr>
            <w:tcW w:w="442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Žemaičių pl. 37, Kaunas</w:t>
            </w:r>
          </w:p>
        </w:tc>
      </w:tr>
      <w:tr w:rsidR="00647AE1" w:rsidRPr="00647AE1" w:rsidTr="00481A47">
        <w:tc>
          <w:tcPr>
            <w:tcW w:w="492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rPr>
                <w:lang w:eastAsia="zh-CN" w:bidi="hi-IN"/>
              </w:rPr>
            </w:pPr>
            <w:r w:rsidRPr="00647AE1">
              <w:t>Įmonės kodas</w:t>
            </w:r>
          </w:p>
        </w:tc>
        <w:tc>
          <w:tcPr>
            <w:tcW w:w="442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300598351</w:t>
            </w:r>
          </w:p>
        </w:tc>
      </w:tr>
      <w:tr w:rsidR="00647AE1" w:rsidRPr="00647AE1" w:rsidTr="00481A47">
        <w:tc>
          <w:tcPr>
            <w:tcW w:w="492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r w:rsidRPr="00647AE1">
              <w:t xml:space="preserve">Už pasiūlymą atsakingo asmens </w:t>
            </w:r>
          </w:p>
          <w:p w:rsidR="00647AE1" w:rsidRPr="00647AE1" w:rsidRDefault="00647AE1" w:rsidP="00647AE1">
            <w:pPr>
              <w:rPr>
                <w:lang w:eastAsia="zh-CN" w:bidi="hi-IN"/>
              </w:rPr>
            </w:pPr>
            <w:r w:rsidRPr="00647AE1">
              <w:t>vardas, pavardė</w:t>
            </w:r>
          </w:p>
        </w:tc>
        <w:tc>
          <w:tcPr>
            <w:tcW w:w="442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Viešųjų pirkimų vadovė Jolanta Zaikauskeinė</w:t>
            </w:r>
          </w:p>
        </w:tc>
      </w:tr>
      <w:tr w:rsidR="00647AE1" w:rsidRPr="00647AE1" w:rsidTr="00481A47">
        <w:tc>
          <w:tcPr>
            <w:tcW w:w="492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rPr>
                <w:lang w:eastAsia="zh-CN" w:bidi="hi-IN"/>
              </w:rPr>
            </w:pPr>
            <w:r w:rsidRPr="00647AE1">
              <w:t>Telefono numeris</w:t>
            </w:r>
          </w:p>
        </w:tc>
        <w:tc>
          <w:tcPr>
            <w:tcW w:w="442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8 700 55511</w:t>
            </w:r>
          </w:p>
        </w:tc>
      </w:tr>
      <w:tr w:rsidR="00647AE1" w:rsidRPr="00647AE1" w:rsidTr="00481A47">
        <w:tc>
          <w:tcPr>
            <w:tcW w:w="492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rPr>
                <w:lang w:eastAsia="zh-CN" w:bidi="hi-IN"/>
              </w:rPr>
            </w:pPr>
            <w:r w:rsidRPr="00647AE1">
              <w:t>Fakso numeris</w:t>
            </w:r>
          </w:p>
        </w:tc>
        <w:tc>
          <w:tcPr>
            <w:tcW w:w="442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8 37 252689</w:t>
            </w:r>
          </w:p>
        </w:tc>
      </w:tr>
      <w:tr w:rsidR="00647AE1" w:rsidRPr="00647AE1" w:rsidTr="00481A47">
        <w:tc>
          <w:tcPr>
            <w:tcW w:w="492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rPr>
                <w:lang w:eastAsia="zh-CN" w:bidi="hi-IN"/>
              </w:rPr>
            </w:pPr>
            <w:r w:rsidRPr="00647AE1">
              <w:t>El. pašto adresas</w:t>
            </w:r>
          </w:p>
        </w:tc>
        <w:tc>
          <w:tcPr>
            <w:tcW w:w="442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administracija@anteja.lt</w:t>
            </w:r>
          </w:p>
        </w:tc>
      </w:tr>
    </w:tbl>
    <w:p w:rsidR="00647AE1" w:rsidRPr="00647AE1" w:rsidRDefault="00647AE1" w:rsidP="00647AE1">
      <w:pPr>
        <w:rPr>
          <w:kern w:val="3"/>
          <w:lang w:eastAsia="zh-CN" w:bidi="hi-IN"/>
        </w:rPr>
      </w:pPr>
    </w:p>
    <w:p w:rsidR="00647AE1" w:rsidRPr="00647AE1" w:rsidRDefault="00647AE1" w:rsidP="00647AE1">
      <w:pPr>
        <w:ind w:firstLine="720"/>
        <w:jc w:val="both"/>
      </w:pPr>
      <w:r w:rsidRPr="00647AE1">
        <w:t>1. Šiuo pasiūlymu pažymime, kad sutinkame su visomis Neskelbiamos apklausos sąlygomis, nustatytomis:</w:t>
      </w:r>
    </w:p>
    <w:p w:rsidR="00647AE1" w:rsidRPr="00647AE1" w:rsidRDefault="00647AE1" w:rsidP="00647AE1">
      <w:pPr>
        <w:numPr>
          <w:ilvl w:val="1"/>
          <w:numId w:val="1"/>
        </w:numPr>
        <w:autoSpaceDN w:val="0"/>
        <w:jc w:val="both"/>
      </w:pPr>
      <w:r w:rsidRPr="00647AE1">
        <w:t>Pirkimo sąlygose;</w:t>
      </w:r>
    </w:p>
    <w:p w:rsidR="00647AE1" w:rsidRPr="00647AE1" w:rsidRDefault="00647AE1" w:rsidP="00647AE1">
      <w:pPr>
        <w:numPr>
          <w:ilvl w:val="1"/>
          <w:numId w:val="1"/>
        </w:numPr>
        <w:autoSpaceDN w:val="0"/>
        <w:jc w:val="both"/>
      </w:pPr>
      <w:r w:rsidRPr="00647AE1">
        <w:t>kituose pirkimo dokumentuose.</w:t>
      </w:r>
    </w:p>
    <w:p w:rsidR="00647AE1" w:rsidRPr="00647AE1" w:rsidRDefault="00647AE1" w:rsidP="00647AE1">
      <w:pPr>
        <w:ind w:firstLine="720"/>
        <w:jc w:val="both"/>
        <w:rPr>
          <w:bCs/>
        </w:rPr>
      </w:pPr>
      <w:r w:rsidRPr="00647AE1">
        <w:t xml:space="preserve">2. Atsižvelgdami į Pirkimo sąlygose išdėstytas nuostatas, teikiame savo pasiūlymą, </w:t>
      </w:r>
      <w:r w:rsidRPr="00647AE1">
        <w:rPr>
          <w:b/>
          <w:bCs/>
        </w:rPr>
        <w:t>kuris atitinka</w:t>
      </w:r>
      <w:r w:rsidRPr="00647AE1">
        <w:rPr>
          <w:bCs/>
        </w:rPr>
        <w:t xml:space="preserve"> visus apklausos sąlygose nustatytus reikalavimus.</w:t>
      </w:r>
    </w:p>
    <w:p w:rsidR="00647AE1" w:rsidRPr="00647AE1" w:rsidRDefault="00647AE1" w:rsidP="00647AE1">
      <w:pPr>
        <w:jc w:val="both"/>
        <w:rPr>
          <w:b/>
          <w:bCs/>
        </w:rPr>
      </w:pPr>
    </w:p>
    <w:p w:rsidR="00647AE1" w:rsidRPr="00647AE1" w:rsidRDefault="00647AE1" w:rsidP="00647AE1">
      <w:pPr>
        <w:ind w:firstLine="720"/>
        <w:rPr>
          <w:b/>
          <w:bCs/>
        </w:rPr>
      </w:pPr>
      <w:r w:rsidRPr="00647AE1">
        <w:rPr>
          <w:b/>
          <w:bCs/>
        </w:rPr>
        <w:t>Mes siūlome:</w:t>
      </w:r>
    </w:p>
    <w:p w:rsidR="00647AE1" w:rsidRPr="00647AE1" w:rsidRDefault="00647AE1" w:rsidP="00647AE1">
      <w:pPr>
        <w:rPr>
          <w:b/>
        </w:rPr>
      </w:pPr>
      <w:r w:rsidRPr="00647AE1">
        <w:rPr>
          <w:b/>
        </w:rPr>
        <w:t>Medicininių laboratorinių tyrimų sąrašas ir kiekiai</w:t>
      </w:r>
    </w:p>
    <w:tbl>
      <w:tblPr>
        <w:tblW w:w="10720" w:type="dxa"/>
        <w:jc w:val="right"/>
        <w:tblLook w:val="04A0" w:firstRow="1" w:lastRow="0" w:firstColumn="1" w:lastColumn="0" w:noHBand="0" w:noVBand="1"/>
      </w:tblPr>
      <w:tblGrid>
        <w:gridCol w:w="612"/>
        <w:gridCol w:w="6780"/>
        <w:gridCol w:w="1451"/>
        <w:gridCol w:w="898"/>
        <w:gridCol w:w="979"/>
      </w:tblGrid>
      <w:tr w:rsidR="00647AE1" w:rsidRPr="00647AE1" w:rsidTr="00481A47">
        <w:trPr>
          <w:trHeight w:val="2329"/>
          <w:jc w:val="right"/>
        </w:trPr>
        <w:tc>
          <w:tcPr>
            <w:tcW w:w="6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b/>
                <w:bCs/>
                <w:sz w:val="22"/>
                <w:szCs w:val="22"/>
              </w:rPr>
            </w:pPr>
            <w:r w:rsidRPr="00647AE1">
              <w:rPr>
                <w:b/>
                <w:bCs/>
                <w:sz w:val="22"/>
                <w:szCs w:val="22"/>
              </w:rPr>
              <w:t>Eil. Nr.</w:t>
            </w:r>
          </w:p>
        </w:tc>
        <w:tc>
          <w:tcPr>
            <w:tcW w:w="6780" w:type="dxa"/>
            <w:tcBorders>
              <w:top w:val="single" w:sz="8" w:space="0" w:color="auto"/>
              <w:left w:val="nil"/>
              <w:bottom w:val="single" w:sz="8" w:space="0" w:color="auto"/>
              <w:right w:val="single" w:sz="8" w:space="0" w:color="auto"/>
            </w:tcBorders>
            <w:shd w:val="clear" w:color="auto" w:fill="auto"/>
            <w:noWrap/>
            <w:vAlign w:val="center"/>
            <w:hideMark/>
          </w:tcPr>
          <w:p w:rsidR="00647AE1" w:rsidRPr="00647AE1" w:rsidRDefault="00647AE1" w:rsidP="00647AE1">
            <w:pPr>
              <w:jc w:val="center"/>
              <w:rPr>
                <w:b/>
                <w:bCs/>
                <w:sz w:val="22"/>
                <w:szCs w:val="22"/>
              </w:rPr>
            </w:pPr>
            <w:r w:rsidRPr="00647AE1">
              <w:rPr>
                <w:b/>
                <w:bCs/>
                <w:sz w:val="22"/>
                <w:szCs w:val="22"/>
              </w:rPr>
              <w:t>Tyrimo pavadinimas</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647AE1" w:rsidRPr="00647AE1" w:rsidRDefault="00647AE1" w:rsidP="00647AE1">
            <w:pPr>
              <w:jc w:val="center"/>
              <w:rPr>
                <w:b/>
                <w:bCs/>
                <w:sz w:val="22"/>
                <w:szCs w:val="22"/>
              </w:rPr>
            </w:pPr>
            <w:r w:rsidRPr="00647AE1">
              <w:rPr>
                <w:b/>
                <w:bCs/>
                <w:sz w:val="22"/>
                <w:szCs w:val="22"/>
              </w:rPr>
              <w:t>Preliminarus tyrimų kiekis per metus*</w:t>
            </w:r>
          </w:p>
        </w:tc>
        <w:tc>
          <w:tcPr>
            <w:tcW w:w="898" w:type="dxa"/>
            <w:tcBorders>
              <w:top w:val="single" w:sz="8" w:space="0" w:color="auto"/>
              <w:left w:val="nil"/>
              <w:bottom w:val="single" w:sz="8" w:space="0" w:color="auto"/>
              <w:right w:val="single" w:sz="8" w:space="0" w:color="auto"/>
            </w:tcBorders>
            <w:shd w:val="clear" w:color="auto" w:fill="auto"/>
            <w:vAlign w:val="center"/>
            <w:hideMark/>
          </w:tcPr>
          <w:p w:rsidR="00647AE1" w:rsidRPr="00647AE1" w:rsidRDefault="00647AE1" w:rsidP="00647AE1">
            <w:pPr>
              <w:jc w:val="center"/>
              <w:rPr>
                <w:b/>
                <w:bCs/>
                <w:sz w:val="22"/>
                <w:szCs w:val="22"/>
              </w:rPr>
            </w:pPr>
            <w:r w:rsidRPr="00647AE1">
              <w:rPr>
                <w:b/>
                <w:bCs/>
                <w:sz w:val="22"/>
                <w:szCs w:val="22"/>
              </w:rPr>
              <w:t>Vnt. kaina Eur**</w:t>
            </w:r>
          </w:p>
        </w:tc>
        <w:tc>
          <w:tcPr>
            <w:tcW w:w="979" w:type="dxa"/>
            <w:tcBorders>
              <w:top w:val="single" w:sz="8" w:space="0" w:color="auto"/>
              <w:left w:val="nil"/>
              <w:bottom w:val="single" w:sz="8" w:space="0" w:color="auto"/>
              <w:right w:val="single" w:sz="8" w:space="0" w:color="auto"/>
            </w:tcBorders>
            <w:shd w:val="clear" w:color="auto" w:fill="auto"/>
            <w:vAlign w:val="center"/>
            <w:hideMark/>
          </w:tcPr>
          <w:p w:rsidR="00647AE1" w:rsidRPr="00647AE1" w:rsidRDefault="00647AE1" w:rsidP="00647AE1">
            <w:pPr>
              <w:jc w:val="center"/>
              <w:rPr>
                <w:b/>
                <w:bCs/>
                <w:sz w:val="22"/>
                <w:szCs w:val="22"/>
              </w:rPr>
            </w:pPr>
            <w:r w:rsidRPr="00647AE1">
              <w:rPr>
                <w:b/>
                <w:bCs/>
                <w:sz w:val="22"/>
                <w:szCs w:val="22"/>
              </w:rPr>
              <w:t>Suma Eur</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w:t>
            </w:r>
          </w:p>
        </w:tc>
        <w:tc>
          <w:tcPr>
            <w:tcW w:w="678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CHOL Bendro cholesterolio koncentracijos nustatymas</w:t>
            </w:r>
          </w:p>
        </w:tc>
        <w:tc>
          <w:tcPr>
            <w:tcW w:w="1451" w:type="dxa"/>
            <w:tcBorders>
              <w:top w:val="single" w:sz="4" w:space="0" w:color="auto"/>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50</w:t>
            </w:r>
          </w:p>
        </w:tc>
        <w:tc>
          <w:tcPr>
            <w:tcW w:w="898"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single" w:sz="4" w:space="0" w:color="auto"/>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DTL Didelio tankio lipoproteinų cholesterolio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0.16</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MTL Mažo tankio lipoproteinų cholesterolio koncentracijos nustatymas (apskaičiuojamas) (atliekamas iš tyrimų CHOL, DTL ir TRIG)</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TRIG Trigliceridų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9</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 xml:space="preserve">GLU Gliukozės koncentracijos nustatymas </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1900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190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HbA1c Glikozilinto hemoglobino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500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CRB C reaktyviojo baltymo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0.6</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180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TBIL Bendrojo bilirubino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40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DBIL Tiesioginio (konjuguoto) bilirubino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IBIL Netiesioginio bilirubino koncentracijos nustatymas (atliekamas iš tyrimų TBIL ir DBIL)</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ASAT Aspartataminotransferazės aktyvumo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1500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ALAT Alaninaminotransferazės aktyvumo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1500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GGT Gamaglutamiltransferazės aktyvumo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0.23</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6.9</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ALP Šarminės fosfatazės aktyvumo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240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28.8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P-AMYL Kasos amilazės aktyvumo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0.39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AMYL α amilazės aktyvumo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FER Feritino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160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248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UA Šlapimo rūgšties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130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UREA Šlapalo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0.09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CREA Kreatinino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0.09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22.5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ALB Albumino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RF Reumatoidinio faktoriaus kiekybinis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7.95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VitB12 Vitamino B12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FOL Folio rūgšties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VitD 25-OH Vitamino D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5.95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1487.5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TRF Transferino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TS Transferino saturacija (įsotinimas) (atliekamas iš tyrimų Fe ir TRF)</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LDH Laktatdehidrogenazės aktyvumo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3.78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3.78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29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TP Bendro baltymo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GFG Glomerulų filtracijos greitis (pagal CKD-EPI) (atliekamas iš tyrimo CREA)</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0.3</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MTL Mažo tankio lipoproteinų cholesterolio koncentracijos nustatymas (tiesioginis, išmatuojamas)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djCRB Didelio jautrumo CRB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1.89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37.8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ApoB Apolipoproteinas B</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K Kalio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2150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215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Na Natrio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530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0.08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42.4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Ca Kalcio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82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9.84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Ca++ Jonizuotas kalcis (apskaičiuojamas iš Ca)</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0.25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Fe Geležies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39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Mg Magnio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P Fosforo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Cl Chloridų kiekio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0.19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0.95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Cu Vario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19.5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Zn Cinko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Se Selenas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19.5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BKV Bendras kraujo tyrimas (5 dif.)</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2030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0.4</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812</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ENG (Westergreno būdu) - Juodas mėgintuvėlis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0.29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8.7</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Automatizuotas juostelinis šlapimo tyrimas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40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Šlapimo nuosėdų mikroskopija</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49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CREA (š) Kreatininas šlapime</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ACR Albumino ir kreatinino santykis šlapime</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0.4</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iFOB Reakcija slaptam kraujavimui</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600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0.55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330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Kirmėlių kiaušinėliai</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Pirmuonys išmatų tepinėlyje</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Išmatų mikroskopinis tyrimas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HP-Ag Helicobacter pylori antigenas išmatose</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70</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PT/INR Protrombino laiko tyrimas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330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0.7</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231</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ADTL Aktyvinto dalinio tromboplastino laiko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270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0.7</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189</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D-Dimerai</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59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ABO RhD kraujyje, hemagliutinacija plokštumoje</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IgG klasės antikūnų prieš Helicobacter pylori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250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IgA klasės antikūnų prieš Helicobacter pylori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EE IgG Erkinio encefalito IgG antikūnų nustatymas imunofermentiniu metodu</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EE IgM Erkinio encefalito IgM antikūnų nustatymas imunofermentiniu metodu</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LL IgG Boreliozės (Laimo ligos) IgG antikūnų nustatymas imunofermentiniu metodu</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45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135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LL IgM Boreliozės (Laimo ligos) IgM antikūnų nustatymas imunofermentiniu metodu</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45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135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Borrelia burgdorferi, Borrelia afzelii, Borrelia garinii IgG kokybinis (IB)</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16</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320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Borrelia burgdorferi, Borrelia afzelii, Borrelia garinii, Borrelia spielmanii IgM kokybinis (IB)</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16</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320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EE IgG Erkinio encefalito IgG (povakcininiai) antikūnai</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8</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10</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69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LT4 Laisvo tiroksino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315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LT3 Laisvo trijodtironino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225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ATPO Skydliaukės peroksidazės antikūnų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170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258.4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Tg Tiroglobulinas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6</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23.4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Anti-TG Antikūnai prieš tiroglobuliną</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TTH Tirotropino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1700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1530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LAI Laisvų androgenų indeksas (atliekamas iš tyrimų SHBG ir TEST)</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0.58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0.58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HCG Chorioninio gonadotropino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3.86</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38.6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E2 Estradiolio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4</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2.85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11.4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DHEA-SO4 Dehidroepiandrosterono sulfato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5.98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11.96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79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SHBG Lytinius hormonus surišančio globulino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5.98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17.94</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TEST Testosterono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17.5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PRL Prolaktino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PRG Progesterono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FSH Folikulus stimuliuojančio hormono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10.5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LH Liuteinizuojančio hormono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10.5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INS Insulinas (po valgio)</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C-peptidas (nevalgius)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9.89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29.67</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CORTr Rytinės kortizolio koncentracijos nustatymas (7-9 val.)</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5.59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27.95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iPTH Parathormono (intaktinio) koncentracijos nustatymas serume</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89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ALD Aldosteronas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8.98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8.98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CEA Karcinoembrioninio antigeno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3.25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9.75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Vėžio žymens CA 19-9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4</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3.25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13</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Vėžio žymens CA 15-3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6</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3.25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19.5</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Vėžio žymens CA 125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25</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3.25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81.25</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Vėžio žymuo Ca 72-4</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21</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PSA Prostatai specifinio antigeno koncentracijos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450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1.69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760.5</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Vėžio žymuo He4</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20</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60</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97</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ROMA įvertis (atliekamas iš tyrimų Ca 125 ir He4)</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98</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Antikūnai IgA prieš Chlamydia trachomatis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99</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Antikūnai IgG prieš Chlamydia trachomatis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100</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Antikūnai IgM prieš Chlamydia trachomatis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101</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RPR Sifilio antikūnų nustatymas RPR testu</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0.59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11.8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102</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ŽIV komb. antikūnai prieš 1 ir 2 tipo žmogaus imunodeficito virusą, p24 antigenas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30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0.89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26.7</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103</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HBsAg Kokybinis hepatito B viruso paviršinio antigeno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1.89</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22.68</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104</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HBsAb Hepatito B viruso antikūnai prieš paviršiaus antigeną</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4.5</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9</w:t>
            </w:r>
          </w:p>
        </w:tc>
      </w:tr>
      <w:tr w:rsidR="00647AE1" w:rsidRPr="00647AE1" w:rsidTr="00481A47">
        <w:trPr>
          <w:trHeight w:val="300"/>
          <w:jc w:val="right"/>
        </w:trPr>
        <w:tc>
          <w:tcPr>
            <w:tcW w:w="612" w:type="dxa"/>
            <w:tcBorders>
              <w:top w:val="nil"/>
              <w:left w:val="single" w:sz="8" w:space="0" w:color="auto"/>
              <w:bottom w:val="single" w:sz="8" w:space="0" w:color="auto"/>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105</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aHCV Hepatito C viruso antikūnų nustatymas</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250</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3</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750</w:t>
            </w:r>
          </w:p>
        </w:tc>
      </w:tr>
      <w:tr w:rsidR="00647AE1" w:rsidRPr="00647AE1" w:rsidTr="00481A47">
        <w:trPr>
          <w:trHeight w:val="313"/>
          <w:jc w:val="right"/>
        </w:trPr>
        <w:tc>
          <w:tcPr>
            <w:tcW w:w="612" w:type="dxa"/>
            <w:tcBorders>
              <w:top w:val="nil"/>
              <w:left w:val="single" w:sz="8" w:space="0" w:color="auto"/>
              <w:bottom w:val="nil"/>
              <w:right w:val="single" w:sz="8" w:space="0" w:color="auto"/>
            </w:tcBorders>
            <w:shd w:val="clear" w:color="auto" w:fill="auto"/>
            <w:vAlign w:val="center"/>
            <w:hideMark/>
          </w:tcPr>
          <w:p w:rsidR="00647AE1" w:rsidRPr="00647AE1" w:rsidRDefault="00647AE1" w:rsidP="00647AE1">
            <w:pPr>
              <w:jc w:val="center"/>
              <w:rPr>
                <w:sz w:val="22"/>
                <w:szCs w:val="22"/>
              </w:rPr>
            </w:pPr>
            <w:r w:rsidRPr="00647AE1">
              <w:rPr>
                <w:sz w:val="22"/>
                <w:szCs w:val="22"/>
              </w:rPr>
              <w:t>106</w:t>
            </w:r>
          </w:p>
        </w:tc>
        <w:tc>
          <w:tcPr>
            <w:tcW w:w="6780" w:type="dxa"/>
            <w:tcBorders>
              <w:top w:val="nil"/>
              <w:left w:val="single" w:sz="4" w:space="0" w:color="000000"/>
              <w:bottom w:val="single" w:sz="4" w:space="0" w:color="000000"/>
              <w:right w:val="single" w:sz="4" w:space="0" w:color="000000"/>
            </w:tcBorders>
            <w:shd w:val="clear" w:color="000000" w:fill="FFFFFF"/>
            <w:vAlign w:val="bottom"/>
            <w:hideMark/>
          </w:tcPr>
          <w:p w:rsidR="00647AE1" w:rsidRPr="00647AE1" w:rsidRDefault="00647AE1" w:rsidP="00647AE1">
            <w:pPr>
              <w:rPr>
                <w:color w:val="000000"/>
                <w:sz w:val="22"/>
                <w:szCs w:val="22"/>
              </w:rPr>
            </w:pPr>
            <w:r w:rsidRPr="00647AE1">
              <w:rPr>
                <w:rFonts w:ascii="Calibri" w:hAnsi="Calibri" w:cs="Calibri"/>
                <w:sz w:val="20"/>
                <w:szCs w:val="20"/>
              </w:rPr>
              <w:t>aHAV Hepatito A viruso antikūnai</w:t>
            </w:r>
          </w:p>
        </w:tc>
        <w:tc>
          <w:tcPr>
            <w:tcW w:w="1451" w:type="dxa"/>
            <w:tcBorders>
              <w:top w:val="nil"/>
              <w:left w:val="nil"/>
              <w:bottom w:val="single" w:sz="4" w:space="0" w:color="auto"/>
              <w:right w:val="nil"/>
            </w:tcBorders>
            <w:shd w:val="clear" w:color="000000" w:fill="FFFFFF"/>
            <w:vAlign w:val="center"/>
            <w:hideMark/>
          </w:tcPr>
          <w:p w:rsidR="00647AE1" w:rsidRPr="00647AE1" w:rsidRDefault="00647AE1" w:rsidP="00647AE1">
            <w:pPr>
              <w:jc w:val="center"/>
              <w:rPr>
                <w:color w:val="000000"/>
                <w:sz w:val="22"/>
                <w:szCs w:val="22"/>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w:t>
            </w:r>
          </w:p>
        </w:tc>
        <w:tc>
          <w:tcPr>
            <w:tcW w:w="979" w:type="dxa"/>
            <w:tcBorders>
              <w:top w:val="nil"/>
              <w:left w:val="nil"/>
              <w:bottom w:val="single" w:sz="4" w:space="0" w:color="auto"/>
              <w:right w:val="single" w:sz="4" w:space="0" w:color="auto"/>
            </w:tcBorders>
            <w:shd w:val="clear" w:color="000000" w:fill="FFFFFF"/>
            <w:vAlign w:val="center"/>
            <w:hideMark/>
          </w:tcPr>
          <w:p w:rsidR="00647AE1" w:rsidRPr="00647AE1" w:rsidRDefault="00647AE1" w:rsidP="00647AE1">
            <w:pPr>
              <w:jc w:val="center"/>
              <w:rPr>
                <w:sz w:val="22"/>
                <w:szCs w:val="22"/>
              </w:rPr>
            </w:pPr>
            <w:r w:rsidRPr="00647AE1">
              <w:rPr>
                <w:rFonts w:ascii="Calibri" w:hAnsi="Calibri" w:cs="Calibri"/>
                <w:sz w:val="20"/>
                <w:szCs w:val="20"/>
              </w:rPr>
              <w:t>7</w:t>
            </w:r>
          </w:p>
        </w:tc>
      </w:tr>
      <w:tr w:rsidR="00647AE1" w:rsidRPr="00647AE1" w:rsidTr="00481A47">
        <w:trPr>
          <w:trHeight w:val="43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Antikūnai IgG prieš Chlamydia pneumoniae</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3.39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50.85</w:t>
            </w:r>
          </w:p>
        </w:tc>
      </w:tr>
      <w:tr w:rsidR="00647AE1" w:rsidRPr="00647AE1" w:rsidTr="00481A47">
        <w:trPr>
          <w:trHeight w:val="358"/>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107</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Antikūnai IgM prieš Chlamydia pneumoniae</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3.39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50.85</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108</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Antikūnai IgA prieš B. pertussis toksiną (kokliušas)</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10</w:t>
            </w:r>
          </w:p>
        </w:tc>
      </w:tr>
      <w:tr w:rsidR="00647AE1" w:rsidRPr="00647AE1" w:rsidTr="00481A47">
        <w:trPr>
          <w:trHeight w:val="33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109</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Antikūnai IgG prieš B. pertussis toksiną (kokliušas)</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10</w:t>
            </w:r>
          </w:p>
        </w:tc>
      </w:tr>
      <w:tr w:rsidR="00647AE1" w:rsidRPr="00647AE1" w:rsidTr="00481A47">
        <w:trPr>
          <w:trHeight w:val="349"/>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110</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Antikūnai IgG prieš Mycoplasma pneumoniae</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3.89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77.8</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111</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Antikūnai IgM prieš Mycoplasma pneumoniae</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3.89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77.8</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112</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CMV IgG antikūnai prieš citomegalo virusą</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4.5</w:t>
            </w:r>
          </w:p>
        </w:tc>
      </w:tr>
      <w:tr w:rsidR="00647AE1" w:rsidRPr="00647AE1" w:rsidTr="00481A47">
        <w:trPr>
          <w:trHeight w:val="33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113</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Toxop-G Antikūnai IgG prieš Toxoplasma gondii</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4.5</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114</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Toxop-M Antikūnai IgM prieš Toxoplasma gondii</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4.5</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115</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Toxocara canis IgG</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8.1</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16.2</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116</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NT-pro-BNP N-terminalinis B tipo natrio uretinis peptidas</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100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8</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800</w:t>
            </w:r>
          </w:p>
        </w:tc>
      </w:tr>
      <w:tr w:rsidR="00647AE1" w:rsidRPr="00647AE1" w:rsidTr="00481A47">
        <w:trPr>
          <w:trHeight w:val="33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117</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Neisseria gonorrhoeae DNR (PGR metodu) šlapime</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118</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ŽPV aukštos rizikos 14 genotipų (16, 18, 31, 33, 35, 39, 45, 51, 52, 56, 58, 59, 66, 68) DNR (PGR metodu) (skysta terpė)</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25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250</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119</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Gimdos kaklelio citologinis (PAP) tyrimas</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2.9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29</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120</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Gimdos kaklelio citologinis (PAP) tyrimas skystoje terpėje</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10</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250</w:t>
            </w:r>
          </w:p>
        </w:tc>
      </w:tr>
      <w:tr w:rsidR="00647AE1" w:rsidRPr="00647AE1" w:rsidTr="00481A47">
        <w:trPr>
          <w:trHeight w:val="286"/>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121</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Gimdos kaklelio citologinis (PAP) tyrimas skystoje terpėje (Programa)</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7</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175</w:t>
            </w:r>
          </w:p>
        </w:tc>
      </w:tr>
      <w:tr w:rsidR="00647AE1" w:rsidRPr="00647AE1" w:rsidTr="00481A47">
        <w:trPr>
          <w:trHeight w:val="259"/>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122</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Lipidograma (CHOL, DTL, TRIG, MTL apskaičiuojamas, ne DTL cholesterolis)</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2000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0.45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900</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123</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aRh Rezus antikūnai</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1.85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9.25</w:t>
            </w:r>
          </w:p>
        </w:tc>
      </w:tr>
      <w:tr w:rsidR="00647AE1" w:rsidRPr="00647AE1" w:rsidTr="00481A47">
        <w:trPr>
          <w:trHeight w:val="33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124</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Lyties organų išskyrų mikroskopija (iš gimdos kaklelio )</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5</w:t>
            </w:r>
          </w:p>
        </w:tc>
      </w:tr>
      <w:tr w:rsidR="00647AE1" w:rsidRPr="00647AE1" w:rsidTr="00481A47">
        <w:trPr>
          <w:trHeight w:val="33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125</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IgE Bendro imunoglobulino E koncentracijos nustatymas</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3.56</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35.6</w:t>
            </w:r>
          </w:p>
        </w:tc>
      </w:tr>
      <w:tr w:rsidR="00647AE1" w:rsidRPr="00647AE1" w:rsidTr="00481A47">
        <w:trPr>
          <w:trHeight w:val="349"/>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126</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Šlapimo pasėlis(su antibiotikograma )</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35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315</w:t>
            </w:r>
          </w:p>
        </w:tc>
      </w:tr>
      <w:tr w:rsidR="00647AE1" w:rsidRPr="00647AE1" w:rsidTr="00481A47">
        <w:trPr>
          <w:trHeight w:val="33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127</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Pasėlis iš ausies (su antibiotikograma )</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90</w:t>
            </w:r>
          </w:p>
        </w:tc>
      </w:tr>
      <w:tr w:rsidR="00647AE1" w:rsidRPr="00647AE1" w:rsidTr="00481A47">
        <w:trPr>
          <w:trHeight w:val="349"/>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128</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Pasėlis iš gerklės (su antibiotikograma )</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135</w:t>
            </w:r>
          </w:p>
        </w:tc>
      </w:tr>
      <w:tr w:rsidR="00647AE1" w:rsidRPr="00647AE1" w:rsidTr="00481A47">
        <w:trPr>
          <w:trHeight w:val="241"/>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129</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Pasėlis iš nosies (su antibiotikograma )</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5</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45</w:t>
            </w:r>
          </w:p>
        </w:tc>
      </w:tr>
      <w:tr w:rsidR="00647AE1" w:rsidRPr="00647AE1" w:rsidTr="00481A47">
        <w:trPr>
          <w:trHeight w:val="60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130</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Pasėlis iš nosiaryklės (su antibiotikograma )</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18</w:t>
            </w:r>
          </w:p>
        </w:tc>
      </w:tr>
      <w:tr w:rsidR="00647AE1" w:rsidRPr="00647AE1" w:rsidTr="00481A47">
        <w:trPr>
          <w:trHeight w:val="600"/>
          <w:jc w:val="right"/>
        </w:trPr>
        <w:tc>
          <w:tcPr>
            <w:tcW w:w="612" w:type="dxa"/>
            <w:tcBorders>
              <w:top w:val="nil"/>
              <w:left w:val="single" w:sz="8" w:space="0" w:color="auto"/>
              <w:bottom w:val="nil"/>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131</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Pasėlis iš žaizdos (su antibiotikograma )</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3</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9</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27</w:t>
            </w:r>
          </w:p>
        </w:tc>
      </w:tr>
      <w:tr w:rsidR="00647AE1" w:rsidRPr="00647AE1" w:rsidTr="00481A47">
        <w:trPr>
          <w:trHeight w:val="908"/>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LPI 6-ių sukėlėjų: Chlamydia trachomatis/Mycoplasma genitalium/Neisseria gonorrhoeae/Trichomonas vaginalis/Mycoplasma hominis/Ureaplasma spp. DNR nustatymas šlapime (PGR metodu)</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36</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72</w:t>
            </w:r>
          </w:p>
        </w:tc>
      </w:tr>
      <w:tr w:rsidR="00647AE1" w:rsidRPr="00647AE1" w:rsidTr="00481A47">
        <w:trPr>
          <w:trHeight w:val="8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132</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ŽPV aukštos rizikos 14 genotipų (16, 18, 31, 45, 51, 52, 33/58, 56/59/66, 35/39/68) DNR (PGR metodu) (citologinė skysta terpė) (35-59 m. kas 5 metus) (Programa)</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220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0</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0</w:t>
            </w:r>
          </w:p>
        </w:tc>
      </w:tr>
      <w:tr w:rsidR="00647AE1" w:rsidRPr="00647AE1" w:rsidTr="00481A47">
        <w:trPr>
          <w:trHeight w:val="8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133</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Teigiamas šlapimo pasėlis (programa)</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6</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60</w:t>
            </w:r>
          </w:p>
        </w:tc>
      </w:tr>
      <w:tr w:rsidR="00647AE1" w:rsidRPr="00647AE1" w:rsidTr="00481A47">
        <w:trPr>
          <w:trHeight w:val="8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134</w:t>
            </w:r>
          </w:p>
        </w:tc>
        <w:tc>
          <w:tcPr>
            <w:tcW w:w="6780" w:type="dxa"/>
            <w:tcBorders>
              <w:top w:val="nil"/>
              <w:left w:val="single" w:sz="4" w:space="0" w:color="000000"/>
              <w:bottom w:val="single" w:sz="4" w:space="0" w:color="000000"/>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Šlapimo pasėlis (programa)</w:t>
            </w:r>
          </w:p>
        </w:tc>
        <w:tc>
          <w:tcPr>
            <w:tcW w:w="1451" w:type="dxa"/>
            <w:tcBorders>
              <w:top w:val="nil"/>
              <w:left w:val="nil"/>
              <w:bottom w:val="single" w:sz="4" w:space="0" w:color="auto"/>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30</w:t>
            </w:r>
          </w:p>
        </w:tc>
        <w:tc>
          <w:tcPr>
            <w:tcW w:w="898" w:type="dxa"/>
            <w:tcBorders>
              <w:top w:val="nil"/>
              <w:left w:val="single" w:sz="8" w:space="0" w:color="auto"/>
              <w:bottom w:val="single" w:sz="4" w:space="0" w:color="auto"/>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3.5</w:t>
            </w:r>
          </w:p>
        </w:tc>
        <w:tc>
          <w:tcPr>
            <w:tcW w:w="979" w:type="dxa"/>
            <w:tcBorders>
              <w:top w:val="nil"/>
              <w:left w:val="nil"/>
              <w:bottom w:val="single" w:sz="4" w:space="0" w:color="auto"/>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105</w:t>
            </w:r>
          </w:p>
        </w:tc>
      </w:tr>
      <w:tr w:rsidR="00647AE1" w:rsidRPr="00647AE1" w:rsidTr="00481A47">
        <w:trPr>
          <w:trHeight w:val="8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135</w:t>
            </w:r>
          </w:p>
        </w:tc>
        <w:tc>
          <w:tcPr>
            <w:tcW w:w="6780" w:type="dxa"/>
            <w:tcBorders>
              <w:top w:val="nil"/>
              <w:left w:val="single" w:sz="4" w:space="0" w:color="000000"/>
              <w:bottom w:val="nil"/>
              <w:right w:val="single" w:sz="4" w:space="0" w:color="000000"/>
            </w:tcBorders>
            <w:shd w:val="clear" w:color="000000" w:fill="FFFFFF"/>
            <w:vAlign w:val="bottom"/>
          </w:tcPr>
          <w:p w:rsidR="00647AE1" w:rsidRPr="00647AE1" w:rsidRDefault="00647AE1" w:rsidP="00647AE1">
            <w:pPr>
              <w:rPr>
                <w:color w:val="000000"/>
                <w:sz w:val="22"/>
                <w:szCs w:val="22"/>
                <w:lang w:eastAsia="lt-LT"/>
              </w:rPr>
            </w:pPr>
            <w:r w:rsidRPr="00647AE1">
              <w:rPr>
                <w:rFonts w:ascii="Calibri" w:hAnsi="Calibri" w:cs="Calibri"/>
                <w:sz w:val="20"/>
                <w:szCs w:val="20"/>
              </w:rPr>
              <w:t>CK Kreatinkinazės aktyvumo nustatymas</w:t>
            </w:r>
          </w:p>
        </w:tc>
        <w:tc>
          <w:tcPr>
            <w:tcW w:w="1451" w:type="dxa"/>
            <w:tcBorders>
              <w:top w:val="nil"/>
              <w:left w:val="nil"/>
              <w:bottom w:val="nil"/>
              <w:right w:val="nil"/>
            </w:tcBorders>
            <w:shd w:val="clear" w:color="000000" w:fill="FFFFFF"/>
            <w:vAlign w:val="center"/>
          </w:tcPr>
          <w:p w:rsidR="00647AE1" w:rsidRPr="00647AE1" w:rsidRDefault="00647AE1" w:rsidP="00647AE1">
            <w:pPr>
              <w:jc w:val="center"/>
              <w:rPr>
                <w:color w:val="000000"/>
                <w:sz w:val="22"/>
                <w:szCs w:val="22"/>
                <w:lang w:eastAsia="lt-LT"/>
              </w:rPr>
            </w:pPr>
            <w:r w:rsidRPr="00647AE1">
              <w:rPr>
                <w:rFonts w:ascii="Calibri" w:hAnsi="Calibri" w:cs="Calibri"/>
                <w:sz w:val="20"/>
                <w:szCs w:val="20"/>
              </w:rPr>
              <w:t>10</w:t>
            </w:r>
          </w:p>
        </w:tc>
        <w:tc>
          <w:tcPr>
            <w:tcW w:w="898" w:type="dxa"/>
            <w:tcBorders>
              <w:top w:val="nil"/>
              <w:left w:val="single" w:sz="8" w:space="0" w:color="auto"/>
              <w:bottom w:val="nil"/>
              <w:right w:val="single" w:sz="8"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w:t>
            </w:r>
          </w:p>
        </w:tc>
        <w:tc>
          <w:tcPr>
            <w:tcW w:w="979" w:type="dxa"/>
            <w:tcBorders>
              <w:top w:val="nil"/>
              <w:left w:val="nil"/>
              <w:bottom w:val="nil"/>
              <w:right w:val="single" w:sz="4" w:space="0" w:color="auto"/>
            </w:tcBorders>
            <w:shd w:val="clear" w:color="000000" w:fill="FFFFFF"/>
            <w:vAlign w:val="center"/>
          </w:tcPr>
          <w:p w:rsidR="00647AE1" w:rsidRPr="00647AE1" w:rsidRDefault="00647AE1" w:rsidP="00647AE1">
            <w:pPr>
              <w:jc w:val="center"/>
              <w:rPr>
                <w:kern w:val="3"/>
                <w:sz w:val="22"/>
                <w:szCs w:val="22"/>
                <w:lang w:eastAsia="zh-CN" w:bidi="hi-IN"/>
              </w:rPr>
            </w:pPr>
            <w:r w:rsidRPr="00647AE1">
              <w:rPr>
                <w:rFonts w:ascii="Calibri" w:hAnsi="Calibri" w:cs="Calibri"/>
                <w:sz w:val="20"/>
                <w:szCs w:val="20"/>
              </w:rPr>
              <w:t>40</w:t>
            </w:r>
          </w:p>
        </w:tc>
      </w:tr>
      <w:tr w:rsidR="00647AE1" w:rsidRPr="00647AE1" w:rsidTr="00481A47">
        <w:trPr>
          <w:trHeight w:val="124"/>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r w:rsidRPr="00647AE1">
              <w:rPr>
                <w:sz w:val="22"/>
                <w:szCs w:val="22"/>
              </w:rPr>
              <w:t>136</w:t>
            </w:r>
          </w:p>
        </w:tc>
        <w:tc>
          <w:tcPr>
            <w:tcW w:w="6780" w:type="dxa"/>
            <w:tcBorders>
              <w:top w:val="nil"/>
              <w:left w:val="nil"/>
              <w:bottom w:val="single" w:sz="8" w:space="0" w:color="auto"/>
              <w:right w:val="single" w:sz="8" w:space="0" w:color="auto"/>
            </w:tcBorders>
            <w:shd w:val="clear" w:color="auto" w:fill="auto"/>
            <w:vAlign w:val="center"/>
          </w:tcPr>
          <w:p w:rsidR="00647AE1" w:rsidRPr="00647AE1" w:rsidRDefault="00647AE1" w:rsidP="00647AE1">
            <w:pPr>
              <w:rPr>
                <w:color w:val="000000"/>
                <w:sz w:val="22"/>
                <w:szCs w:val="22"/>
                <w:lang w:eastAsia="lt-LT"/>
              </w:rPr>
            </w:pPr>
          </w:p>
        </w:tc>
        <w:tc>
          <w:tcPr>
            <w:tcW w:w="1451" w:type="dxa"/>
            <w:tcBorders>
              <w:top w:val="nil"/>
              <w:left w:val="nil"/>
              <w:bottom w:val="single" w:sz="8" w:space="0" w:color="auto"/>
              <w:right w:val="single" w:sz="8" w:space="0" w:color="000000"/>
            </w:tcBorders>
            <w:shd w:val="clear" w:color="000000" w:fill="FFFFFF"/>
            <w:vAlign w:val="center"/>
          </w:tcPr>
          <w:p w:rsidR="00647AE1" w:rsidRPr="00647AE1" w:rsidRDefault="00647AE1" w:rsidP="00647AE1">
            <w:pPr>
              <w:jc w:val="center"/>
              <w:rPr>
                <w:color w:val="000000"/>
                <w:sz w:val="22"/>
                <w:szCs w:val="22"/>
                <w:lang w:eastAsia="lt-LT"/>
              </w:rPr>
            </w:pPr>
          </w:p>
        </w:tc>
        <w:tc>
          <w:tcPr>
            <w:tcW w:w="898" w:type="dxa"/>
            <w:tcBorders>
              <w:top w:val="nil"/>
              <w:left w:val="nil"/>
              <w:bottom w:val="single" w:sz="8" w:space="0" w:color="auto"/>
              <w:right w:val="single" w:sz="8" w:space="0" w:color="auto"/>
            </w:tcBorders>
            <w:shd w:val="clear" w:color="auto" w:fill="auto"/>
            <w:vAlign w:val="center"/>
          </w:tcPr>
          <w:p w:rsidR="00647AE1" w:rsidRPr="00647AE1" w:rsidRDefault="00647AE1" w:rsidP="00647AE1">
            <w:pPr>
              <w:jc w:val="center"/>
              <w:rPr>
                <w:kern w:val="3"/>
                <w:sz w:val="22"/>
                <w:szCs w:val="22"/>
                <w:lang w:eastAsia="zh-CN" w:bidi="hi-IN"/>
              </w:rPr>
            </w:pPr>
          </w:p>
        </w:tc>
        <w:tc>
          <w:tcPr>
            <w:tcW w:w="979" w:type="dxa"/>
            <w:tcBorders>
              <w:top w:val="nil"/>
              <w:left w:val="nil"/>
              <w:bottom w:val="single" w:sz="8" w:space="0" w:color="auto"/>
              <w:right w:val="single" w:sz="8" w:space="0" w:color="auto"/>
            </w:tcBorders>
            <w:shd w:val="clear" w:color="auto" w:fill="auto"/>
            <w:vAlign w:val="center"/>
          </w:tcPr>
          <w:p w:rsidR="00647AE1" w:rsidRPr="00647AE1" w:rsidRDefault="00647AE1" w:rsidP="00647AE1">
            <w:pPr>
              <w:jc w:val="center"/>
              <w:rPr>
                <w:kern w:val="3"/>
                <w:sz w:val="22"/>
                <w:szCs w:val="22"/>
                <w:lang w:eastAsia="zh-CN" w:bidi="hi-IN"/>
              </w:rPr>
            </w:pPr>
          </w:p>
        </w:tc>
      </w:tr>
      <w:tr w:rsidR="00647AE1" w:rsidRPr="00647AE1" w:rsidTr="00481A47">
        <w:trPr>
          <w:trHeight w:val="600"/>
          <w:jc w:val="right"/>
        </w:trPr>
        <w:tc>
          <w:tcPr>
            <w:tcW w:w="612" w:type="dxa"/>
            <w:tcBorders>
              <w:top w:val="nil"/>
              <w:left w:val="single" w:sz="8" w:space="0" w:color="auto"/>
              <w:bottom w:val="nil"/>
              <w:right w:val="single" w:sz="8" w:space="0" w:color="auto"/>
            </w:tcBorders>
            <w:shd w:val="clear" w:color="auto" w:fill="auto"/>
            <w:vAlign w:val="center"/>
          </w:tcPr>
          <w:p w:rsidR="00647AE1" w:rsidRPr="00647AE1" w:rsidRDefault="00647AE1" w:rsidP="00647AE1">
            <w:pPr>
              <w:jc w:val="center"/>
              <w:rPr>
                <w:sz w:val="22"/>
                <w:szCs w:val="22"/>
              </w:rPr>
            </w:pPr>
          </w:p>
        </w:tc>
        <w:tc>
          <w:tcPr>
            <w:tcW w:w="6780" w:type="dxa"/>
            <w:tcBorders>
              <w:top w:val="nil"/>
              <w:left w:val="nil"/>
              <w:bottom w:val="nil"/>
              <w:right w:val="single" w:sz="8" w:space="0" w:color="auto"/>
            </w:tcBorders>
            <w:shd w:val="clear" w:color="auto" w:fill="auto"/>
            <w:vAlign w:val="center"/>
          </w:tcPr>
          <w:p w:rsidR="00647AE1" w:rsidRPr="00647AE1" w:rsidRDefault="00647AE1" w:rsidP="00647AE1">
            <w:pPr>
              <w:rPr>
                <w:color w:val="000000"/>
                <w:sz w:val="22"/>
                <w:szCs w:val="22"/>
                <w:lang w:eastAsia="lt-LT"/>
              </w:rPr>
            </w:pPr>
          </w:p>
        </w:tc>
        <w:tc>
          <w:tcPr>
            <w:tcW w:w="1451" w:type="dxa"/>
            <w:tcBorders>
              <w:top w:val="nil"/>
              <w:left w:val="nil"/>
              <w:bottom w:val="nil"/>
              <w:right w:val="single" w:sz="8" w:space="0" w:color="000000"/>
            </w:tcBorders>
            <w:shd w:val="clear" w:color="000000" w:fill="FFFFFF"/>
            <w:vAlign w:val="center"/>
          </w:tcPr>
          <w:p w:rsidR="00647AE1" w:rsidRPr="00647AE1" w:rsidRDefault="00647AE1" w:rsidP="00647AE1">
            <w:pPr>
              <w:jc w:val="center"/>
              <w:rPr>
                <w:color w:val="000000"/>
                <w:sz w:val="22"/>
                <w:szCs w:val="22"/>
                <w:lang w:eastAsia="lt-LT"/>
              </w:rPr>
            </w:pPr>
          </w:p>
        </w:tc>
        <w:tc>
          <w:tcPr>
            <w:tcW w:w="898" w:type="dxa"/>
            <w:tcBorders>
              <w:top w:val="nil"/>
              <w:left w:val="nil"/>
              <w:bottom w:val="nil"/>
              <w:right w:val="single" w:sz="8" w:space="0" w:color="auto"/>
            </w:tcBorders>
            <w:shd w:val="clear" w:color="auto" w:fill="auto"/>
            <w:vAlign w:val="center"/>
          </w:tcPr>
          <w:p w:rsidR="00647AE1" w:rsidRPr="00647AE1" w:rsidRDefault="00647AE1" w:rsidP="00647AE1">
            <w:pPr>
              <w:jc w:val="center"/>
              <w:rPr>
                <w:kern w:val="3"/>
                <w:sz w:val="22"/>
                <w:szCs w:val="22"/>
                <w:lang w:eastAsia="zh-CN" w:bidi="hi-IN"/>
              </w:rPr>
            </w:pPr>
          </w:p>
        </w:tc>
        <w:tc>
          <w:tcPr>
            <w:tcW w:w="979" w:type="dxa"/>
            <w:tcBorders>
              <w:top w:val="nil"/>
              <w:left w:val="nil"/>
              <w:bottom w:val="nil"/>
              <w:right w:val="single" w:sz="8" w:space="0" w:color="auto"/>
            </w:tcBorders>
            <w:shd w:val="clear" w:color="auto" w:fill="auto"/>
            <w:vAlign w:val="center"/>
          </w:tcPr>
          <w:p w:rsidR="00647AE1" w:rsidRPr="00647AE1" w:rsidRDefault="00647AE1" w:rsidP="00647AE1">
            <w:pPr>
              <w:jc w:val="center"/>
              <w:rPr>
                <w:kern w:val="3"/>
                <w:sz w:val="22"/>
                <w:szCs w:val="22"/>
                <w:lang w:eastAsia="zh-CN" w:bidi="hi-IN"/>
              </w:rPr>
            </w:pPr>
          </w:p>
        </w:tc>
      </w:tr>
      <w:tr w:rsidR="00647AE1" w:rsidRPr="00647AE1" w:rsidTr="00481A47">
        <w:trPr>
          <w:trHeight w:val="80"/>
          <w:jc w:val="right"/>
        </w:trPr>
        <w:tc>
          <w:tcPr>
            <w:tcW w:w="612" w:type="dxa"/>
            <w:tcBorders>
              <w:top w:val="nil"/>
              <w:left w:val="single" w:sz="8" w:space="0" w:color="auto"/>
              <w:bottom w:val="single" w:sz="8" w:space="0" w:color="auto"/>
              <w:right w:val="single" w:sz="8" w:space="0" w:color="auto"/>
            </w:tcBorders>
            <w:shd w:val="clear" w:color="auto" w:fill="auto"/>
            <w:vAlign w:val="center"/>
          </w:tcPr>
          <w:p w:rsidR="00647AE1" w:rsidRPr="00647AE1" w:rsidRDefault="00647AE1" w:rsidP="00647AE1">
            <w:pPr>
              <w:jc w:val="center"/>
              <w:rPr>
                <w:sz w:val="22"/>
                <w:szCs w:val="22"/>
              </w:rPr>
            </w:pPr>
          </w:p>
        </w:tc>
        <w:tc>
          <w:tcPr>
            <w:tcW w:w="6780" w:type="dxa"/>
            <w:tcBorders>
              <w:top w:val="nil"/>
              <w:left w:val="nil"/>
              <w:bottom w:val="single" w:sz="8" w:space="0" w:color="auto"/>
              <w:right w:val="single" w:sz="8" w:space="0" w:color="auto"/>
            </w:tcBorders>
            <w:shd w:val="clear" w:color="auto" w:fill="auto"/>
            <w:vAlign w:val="center"/>
          </w:tcPr>
          <w:p w:rsidR="00647AE1" w:rsidRPr="00647AE1" w:rsidRDefault="00647AE1" w:rsidP="00647AE1">
            <w:pPr>
              <w:rPr>
                <w:color w:val="000000"/>
                <w:sz w:val="22"/>
                <w:szCs w:val="22"/>
                <w:lang w:eastAsia="lt-LT"/>
              </w:rPr>
            </w:pPr>
          </w:p>
        </w:tc>
        <w:tc>
          <w:tcPr>
            <w:tcW w:w="1451" w:type="dxa"/>
            <w:tcBorders>
              <w:top w:val="nil"/>
              <w:left w:val="nil"/>
              <w:bottom w:val="single" w:sz="8" w:space="0" w:color="auto"/>
              <w:right w:val="single" w:sz="8" w:space="0" w:color="000000"/>
            </w:tcBorders>
            <w:shd w:val="clear" w:color="000000" w:fill="FFFFFF"/>
            <w:vAlign w:val="center"/>
          </w:tcPr>
          <w:p w:rsidR="00647AE1" w:rsidRPr="00647AE1" w:rsidRDefault="00647AE1" w:rsidP="00647AE1">
            <w:pPr>
              <w:jc w:val="center"/>
              <w:rPr>
                <w:color w:val="000000"/>
                <w:sz w:val="22"/>
                <w:szCs w:val="22"/>
                <w:lang w:eastAsia="lt-LT"/>
              </w:rPr>
            </w:pPr>
          </w:p>
        </w:tc>
        <w:tc>
          <w:tcPr>
            <w:tcW w:w="898" w:type="dxa"/>
            <w:tcBorders>
              <w:top w:val="nil"/>
              <w:left w:val="nil"/>
              <w:bottom w:val="single" w:sz="8" w:space="0" w:color="auto"/>
              <w:right w:val="single" w:sz="8" w:space="0" w:color="auto"/>
            </w:tcBorders>
            <w:shd w:val="clear" w:color="auto" w:fill="auto"/>
            <w:vAlign w:val="center"/>
          </w:tcPr>
          <w:p w:rsidR="00647AE1" w:rsidRPr="00647AE1" w:rsidRDefault="00647AE1" w:rsidP="00647AE1">
            <w:pPr>
              <w:jc w:val="center"/>
              <w:rPr>
                <w:kern w:val="3"/>
                <w:sz w:val="22"/>
                <w:szCs w:val="22"/>
                <w:lang w:eastAsia="zh-CN" w:bidi="hi-IN"/>
              </w:rPr>
            </w:pPr>
          </w:p>
        </w:tc>
        <w:tc>
          <w:tcPr>
            <w:tcW w:w="979" w:type="dxa"/>
            <w:tcBorders>
              <w:top w:val="nil"/>
              <w:left w:val="nil"/>
              <w:bottom w:val="single" w:sz="8" w:space="0" w:color="auto"/>
              <w:right w:val="single" w:sz="8" w:space="0" w:color="auto"/>
            </w:tcBorders>
            <w:shd w:val="clear" w:color="auto" w:fill="auto"/>
            <w:vAlign w:val="center"/>
          </w:tcPr>
          <w:p w:rsidR="00647AE1" w:rsidRPr="00647AE1" w:rsidRDefault="00647AE1" w:rsidP="00647AE1">
            <w:pPr>
              <w:jc w:val="center"/>
              <w:rPr>
                <w:kern w:val="3"/>
                <w:sz w:val="22"/>
                <w:szCs w:val="22"/>
                <w:lang w:eastAsia="zh-CN" w:bidi="hi-IN"/>
              </w:rPr>
            </w:pPr>
          </w:p>
        </w:tc>
      </w:tr>
    </w:tbl>
    <w:p w:rsidR="00647AE1" w:rsidRPr="00647AE1" w:rsidRDefault="00647AE1" w:rsidP="00647AE1">
      <w:pPr>
        <w:rPr>
          <w:b/>
          <w:bCs/>
          <w:kern w:val="3"/>
          <w:sz w:val="20"/>
          <w:szCs w:val="20"/>
          <w:lang w:eastAsia="zh-CN" w:bidi="hi-IN"/>
        </w:rPr>
      </w:pPr>
      <w:r w:rsidRPr="00647AE1">
        <w:rPr>
          <w:b/>
          <w:bCs/>
          <w:sz w:val="18"/>
          <w:szCs w:val="18"/>
        </w:rPr>
        <w:t xml:space="preserve">Preliminarus tyrimų kiekis per metus* – </w:t>
      </w:r>
      <w:r w:rsidRPr="00647AE1">
        <w:rPr>
          <w:bCs/>
          <w:sz w:val="18"/>
          <w:szCs w:val="18"/>
        </w:rPr>
        <w:t>laboratorinių tyrimų skaičius gali kisti, bet kaina negali viršyti sutarties sumos</w:t>
      </w:r>
      <w:r w:rsidRPr="00647AE1">
        <w:rPr>
          <w:bCs/>
          <w:sz w:val="20"/>
          <w:szCs w:val="20"/>
        </w:rPr>
        <w:t>.</w:t>
      </w:r>
    </w:p>
    <w:p w:rsidR="00647AE1" w:rsidRPr="00647AE1" w:rsidRDefault="00647AE1" w:rsidP="00647AE1">
      <w:pPr>
        <w:autoSpaceDE w:val="0"/>
        <w:adjustRightInd w:val="0"/>
        <w:ind w:left="142" w:right="6" w:firstLine="851"/>
        <w:jc w:val="both"/>
        <w:rPr>
          <w:rFonts w:eastAsia="Calibri"/>
          <w:b/>
          <w:lang w:eastAsia="lt-LT"/>
        </w:rPr>
      </w:pPr>
    </w:p>
    <w:p w:rsidR="00647AE1" w:rsidRPr="00647AE1" w:rsidRDefault="00647AE1" w:rsidP="00647AE1">
      <w:pPr>
        <w:autoSpaceDE w:val="0"/>
        <w:adjustRightInd w:val="0"/>
        <w:ind w:left="142" w:right="6" w:firstLine="851"/>
        <w:jc w:val="both"/>
        <w:rPr>
          <w:rFonts w:eastAsia="Calibri"/>
          <w:b/>
          <w:lang w:eastAsia="lt-LT"/>
        </w:rPr>
      </w:pPr>
      <w:r w:rsidRPr="00647AE1">
        <w:rPr>
          <w:rFonts w:eastAsia="Calibri"/>
          <w:b/>
          <w:lang w:eastAsia="lt-LT"/>
        </w:rPr>
        <w:t xml:space="preserve">Paslaugų kaina </w:t>
      </w:r>
      <w:r w:rsidRPr="00647AE1">
        <w:rPr>
          <w:rFonts w:eastAsia="Calibri"/>
          <w:lang w:eastAsia="lt-LT"/>
        </w:rPr>
        <w:t xml:space="preserve"> - tai visų laboratorinių tyrimų išlaidų suma, mokama per visą sutarties laikotarpį. </w:t>
      </w:r>
    </w:p>
    <w:p w:rsidR="00647AE1" w:rsidRPr="00647AE1" w:rsidRDefault="00647AE1" w:rsidP="00647AE1">
      <w:pPr>
        <w:jc w:val="both"/>
        <w:rPr>
          <w:rFonts w:eastAsia="Arial Unicode MS"/>
          <w:b/>
          <w:bCs/>
          <w:lang w:eastAsia="zh-CN"/>
        </w:rPr>
      </w:pPr>
    </w:p>
    <w:p w:rsidR="00647AE1" w:rsidRPr="00647AE1" w:rsidRDefault="00647AE1" w:rsidP="00647AE1">
      <w:pPr>
        <w:ind w:firstLine="851"/>
        <w:jc w:val="both"/>
        <w:rPr>
          <w:rFonts w:eastAsia="SimSun"/>
          <w:b/>
          <w:bCs/>
          <w:u w:val="single"/>
        </w:rPr>
      </w:pPr>
      <w:r w:rsidRPr="00647AE1">
        <w:t xml:space="preserve">Mūsų bendra pasiūlymo kaina  yra: </w:t>
      </w:r>
      <w:r w:rsidRPr="00647AE1">
        <w:rPr>
          <w:b/>
        </w:rPr>
        <w:t>14948,13 eurų (skaitmenimis) keturiolika tūkstančių devyni šimtai keturiasdešimt aštuoni eurai 13 centų .</w:t>
      </w:r>
    </w:p>
    <w:p w:rsidR="00647AE1" w:rsidRPr="00647AE1" w:rsidRDefault="00647AE1" w:rsidP="00647AE1">
      <w:pPr>
        <w:ind w:firstLine="851"/>
        <w:jc w:val="both"/>
        <w:rPr>
          <w:u w:val="single"/>
        </w:rPr>
      </w:pPr>
      <w:r w:rsidRPr="00647AE1">
        <w:t xml:space="preserve">Į šią sumą įeina visos išlaidos ir visi mokesčiai, taip pat ir PVM, kuris sudaro </w:t>
      </w:r>
      <w:r w:rsidRPr="00647AE1">
        <w:rPr>
          <w:u w:val="single"/>
        </w:rPr>
        <w:t>0 Eur, (nulis eurų),</w:t>
      </w:r>
    </w:p>
    <w:p w:rsidR="00647AE1" w:rsidRPr="00647AE1" w:rsidRDefault="00647AE1" w:rsidP="00647AE1">
      <w:pPr>
        <w:jc w:val="both"/>
        <w:rPr>
          <w:b/>
          <w:bCs/>
        </w:rPr>
      </w:pPr>
    </w:p>
    <w:p w:rsidR="00647AE1" w:rsidRPr="00647AE1" w:rsidRDefault="00647AE1" w:rsidP="00647AE1">
      <w:pPr>
        <w:ind w:firstLine="851"/>
        <w:jc w:val="both"/>
      </w:pPr>
      <w:r w:rsidRPr="00647AE1">
        <w:t>*Tiekėjui pateikti paslaugų kiekiai yra preliminarūs ir skirti tik pasiūlymo kainai nustatyti. Paslaugų kaina sutarties vykdymo metu bus apskaičiuojama pagal faktiškai suteiktų paslaugų kiekį, naudojant tiekėjo pasiūlyme nurodytus įkainius.</w:t>
      </w:r>
    </w:p>
    <w:p w:rsidR="00647AE1" w:rsidRPr="00647AE1" w:rsidRDefault="00647AE1" w:rsidP="00647AE1">
      <w:pPr>
        <w:ind w:firstLine="851"/>
        <w:jc w:val="both"/>
      </w:pPr>
      <w:r w:rsidRPr="00647AE1">
        <w:rPr>
          <w:b/>
        </w:rPr>
        <w:t>**Į kainą turi būti įskaičiuota PVM, kiti mokesčiai bei visos kitos išlaidos, būtinos sutarčiai tinkamai vykdyti.</w:t>
      </w:r>
      <w:r w:rsidRPr="00647AE1">
        <w:t xml:space="preserve"> Tiekėjas turi nurodyti kainą Eur su PVM, kai tiekėjas yra PVM mokėtojas, arba Eur be PVM, jei tiekėjas yra ne PVM mokėtojas (nurodomas juridinis pagrindas, kuriuo vadovaujantis tiekėjas nėra PVM mokėtojas). </w:t>
      </w:r>
    </w:p>
    <w:p w:rsidR="00647AE1" w:rsidRPr="00647AE1" w:rsidRDefault="00647AE1" w:rsidP="00647AE1">
      <w:pPr>
        <w:spacing w:after="160" w:line="259" w:lineRule="auto"/>
        <w:ind w:left="644"/>
        <w:contextualSpacing/>
        <w:rPr>
          <w:rFonts w:eastAsiaTheme="minorHAnsi" w:cstheme="minorBidi"/>
          <w:kern w:val="2"/>
          <w:sz w:val="22"/>
          <w:szCs w:val="22"/>
          <w:u w:val="single"/>
          <w14:ligatures w14:val="standardContextual"/>
        </w:rPr>
      </w:pPr>
      <w:r w:rsidRPr="00647AE1">
        <w:rPr>
          <w:rFonts w:eastAsiaTheme="minorHAnsi" w:cstheme="minorBidi"/>
          <w:kern w:val="2"/>
          <w:sz w:val="22"/>
          <w:szCs w:val="22"/>
          <w:u w:val="single"/>
          <w14:ligatures w14:val="standardContextual"/>
        </w:rPr>
        <w:t>UAB „ Diagnostikos laboratorija“ ne PVM mokėtoja vadovaujantis Lietuvos Respublikos Pridėtinės vertės mokesčio įstatymo Nr.  IX-751 20 str. 1 punktu.</w:t>
      </w:r>
      <w:r w:rsidRPr="00647AE1">
        <w:rPr>
          <w:rFonts w:asciiTheme="minorHAnsi" w:eastAsiaTheme="minorHAnsi" w:hAnsiTheme="minorHAnsi" w:cstheme="minorBidi"/>
          <w:kern w:val="2"/>
          <w:sz w:val="22"/>
          <w:szCs w:val="22"/>
          <w14:ligatures w14:val="standardContextual"/>
        </w:rPr>
        <w:t xml:space="preserve"> </w:t>
      </w:r>
    </w:p>
    <w:p w:rsidR="00647AE1" w:rsidRPr="00647AE1" w:rsidRDefault="00647AE1" w:rsidP="00647AE1">
      <w:pPr>
        <w:ind w:firstLine="851"/>
        <w:jc w:val="both"/>
      </w:pPr>
      <w:r w:rsidRPr="00647AE1">
        <w:t xml:space="preserve">3. Ryšiams su perkančiąją organizacijai palaikyti skiriame Regiono pardavimų vadovę Vilmą Stanevičienę, el. p. </w:t>
      </w:r>
      <w:hyperlink r:id="rId13" w:history="1">
        <w:r w:rsidRPr="00647AE1">
          <w:rPr>
            <w:color w:val="0000FF" w:themeColor="hyperlink"/>
            <w:u w:val="single"/>
          </w:rPr>
          <w:t>vilma.staneviciene@anteja.lt</w:t>
        </w:r>
      </w:hyperlink>
      <w:r w:rsidRPr="00647AE1">
        <w:t xml:space="preserve">, tel. nr.+370 616 90670 .  </w:t>
      </w:r>
    </w:p>
    <w:p w:rsidR="00647AE1" w:rsidRPr="00647AE1" w:rsidRDefault="00647AE1" w:rsidP="00647AE1">
      <w:pPr>
        <w:ind w:firstLine="851"/>
        <w:rPr>
          <w:bCs/>
        </w:rPr>
      </w:pPr>
      <w:r w:rsidRPr="00647AE1">
        <w:rPr>
          <w:bCs/>
        </w:rPr>
        <w:t xml:space="preserve">4. Vykdant sutartį pasitelksime šiuos </w:t>
      </w:r>
      <w:r w:rsidRPr="00647AE1">
        <w:rPr>
          <w:b/>
          <w:bCs/>
        </w:rPr>
        <w:t xml:space="preserve">subtiekėjus </w:t>
      </w:r>
      <w:r w:rsidRPr="00647AE1">
        <w:rPr>
          <w:bCs/>
        </w:rPr>
        <w:t>***:</w:t>
      </w:r>
    </w:p>
    <w:tbl>
      <w:tblPr>
        <w:tblW w:w="9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709"/>
        <w:gridCol w:w="4144"/>
      </w:tblGrid>
      <w:tr w:rsidR="00647AE1" w:rsidRPr="00647AE1" w:rsidTr="00481A47">
        <w:tc>
          <w:tcPr>
            <w:tcW w:w="675"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Eil.Nr.</w:t>
            </w:r>
          </w:p>
        </w:tc>
        <w:tc>
          <w:tcPr>
            <w:tcW w:w="4708"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Subrangovo pavadinimas</w:t>
            </w:r>
          </w:p>
        </w:tc>
        <w:tc>
          <w:tcPr>
            <w:tcW w:w="4143"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Kokiai daliai pasitelkiamas</w:t>
            </w:r>
          </w:p>
        </w:tc>
      </w:tr>
      <w:tr w:rsidR="00647AE1" w:rsidRPr="00647AE1" w:rsidTr="00481A47">
        <w:tc>
          <w:tcPr>
            <w:tcW w:w="67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4708"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414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r>
      <w:tr w:rsidR="00647AE1" w:rsidRPr="00647AE1" w:rsidTr="00481A47">
        <w:tc>
          <w:tcPr>
            <w:tcW w:w="67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4708"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4143"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r>
    </w:tbl>
    <w:p w:rsidR="00647AE1" w:rsidRPr="00647AE1" w:rsidRDefault="00647AE1" w:rsidP="00647AE1">
      <w:pPr>
        <w:rPr>
          <w:bCs/>
          <w:kern w:val="3"/>
          <w:lang w:eastAsia="zh-CN" w:bidi="hi-IN"/>
        </w:rPr>
      </w:pPr>
      <w:r w:rsidRPr="00647AE1">
        <w:rPr>
          <w:bCs/>
        </w:rPr>
        <w:t>*** Pildyti tada, jei sutarties vykdymui bus pasitelkti subrangovai.</w:t>
      </w:r>
    </w:p>
    <w:p w:rsidR="00647AE1" w:rsidRPr="00647AE1" w:rsidRDefault="00647AE1" w:rsidP="00647AE1"/>
    <w:p w:rsidR="00647AE1" w:rsidRPr="00647AE1" w:rsidRDefault="00647AE1" w:rsidP="00647AE1">
      <w:pPr>
        <w:ind w:firstLine="851"/>
      </w:pPr>
      <w:r w:rsidRPr="00647AE1">
        <w:t xml:space="preserve">5. Šiame pasiūlyme yra pateikta ir </w:t>
      </w:r>
      <w:r w:rsidRPr="00647AE1">
        <w:rPr>
          <w:b/>
        </w:rPr>
        <w:t>konfidenciali informacija</w:t>
      </w:r>
      <w:r w:rsidRPr="00647AE1">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165"/>
      </w:tblGrid>
      <w:tr w:rsidR="00647AE1" w:rsidRPr="00647AE1" w:rsidTr="00481A47">
        <w:tc>
          <w:tcPr>
            <w:tcW w:w="675"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Eil.Nr.</w:t>
            </w:r>
          </w:p>
        </w:tc>
        <w:tc>
          <w:tcPr>
            <w:tcW w:w="3686"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Pateikto dokumento pavadinimas</w:t>
            </w:r>
          </w:p>
        </w:tc>
        <w:tc>
          <w:tcPr>
            <w:tcW w:w="5165"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Dokumento puslapis</w:t>
            </w:r>
          </w:p>
        </w:tc>
      </w:tr>
      <w:tr w:rsidR="00647AE1" w:rsidRPr="00647AE1" w:rsidTr="00481A47">
        <w:tc>
          <w:tcPr>
            <w:tcW w:w="67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3686"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516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r>
      <w:tr w:rsidR="00647AE1" w:rsidRPr="00647AE1" w:rsidTr="00481A47">
        <w:tc>
          <w:tcPr>
            <w:tcW w:w="67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3686"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c>
          <w:tcPr>
            <w:tcW w:w="516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p>
        </w:tc>
      </w:tr>
    </w:tbl>
    <w:p w:rsidR="00647AE1" w:rsidRPr="00647AE1" w:rsidRDefault="00647AE1" w:rsidP="00647AE1">
      <w:pPr>
        <w:jc w:val="both"/>
        <w:rPr>
          <w:bCs/>
          <w:kern w:val="3"/>
          <w:lang w:eastAsia="zh-CN" w:bidi="hi-IN"/>
        </w:rPr>
      </w:pPr>
      <w:r w:rsidRPr="00647AE1">
        <w:rPr>
          <w:bCs/>
        </w:rPr>
        <w:t xml:space="preserve">**** Pildyti tada, jei bus pateikta konfidenciali informacija. Tiekėjas negali nurodyti, kad konfidencialus yra pasiūlymo įkainis arba, kad visas pasiūlymas yra konfidencialus. </w:t>
      </w:r>
    </w:p>
    <w:p w:rsidR="00647AE1" w:rsidRPr="00647AE1" w:rsidRDefault="00647AE1" w:rsidP="00647AE1">
      <w:pPr>
        <w:jc w:val="both"/>
      </w:pPr>
    </w:p>
    <w:p w:rsidR="00647AE1" w:rsidRPr="00647AE1" w:rsidRDefault="00647AE1" w:rsidP="00647AE1">
      <w:pPr>
        <w:ind w:firstLine="851"/>
      </w:pPr>
      <w:r w:rsidRPr="00647AE1">
        <w:t>6. Kartu su pasiūlymu pateikiami šie dokumentai:</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9"/>
        <w:gridCol w:w="2442"/>
      </w:tblGrid>
      <w:tr w:rsidR="00647AE1" w:rsidRPr="00647AE1" w:rsidTr="00481A47">
        <w:tc>
          <w:tcPr>
            <w:tcW w:w="675"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Eil.Nr.</w:t>
            </w:r>
          </w:p>
        </w:tc>
        <w:tc>
          <w:tcPr>
            <w:tcW w:w="6519"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Pateiktų dokumentų pavadinimas</w:t>
            </w:r>
          </w:p>
        </w:tc>
        <w:tc>
          <w:tcPr>
            <w:tcW w:w="2442" w:type="dxa"/>
            <w:tcBorders>
              <w:top w:val="single" w:sz="4" w:space="0" w:color="auto"/>
              <w:left w:val="single" w:sz="4" w:space="0" w:color="auto"/>
              <w:bottom w:val="single" w:sz="4" w:space="0" w:color="auto"/>
              <w:right w:val="single" w:sz="4" w:space="0" w:color="auto"/>
            </w:tcBorders>
            <w:hideMark/>
          </w:tcPr>
          <w:p w:rsidR="00647AE1" w:rsidRPr="00647AE1" w:rsidRDefault="00647AE1" w:rsidP="00647AE1">
            <w:pPr>
              <w:jc w:val="center"/>
              <w:rPr>
                <w:b/>
                <w:lang w:eastAsia="zh-CN" w:bidi="hi-IN"/>
              </w:rPr>
            </w:pPr>
            <w:r w:rsidRPr="00647AE1">
              <w:rPr>
                <w:b/>
              </w:rPr>
              <w:t>Dokumento puslapių skaičius</w:t>
            </w:r>
          </w:p>
        </w:tc>
      </w:tr>
      <w:tr w:rsidR="00647AE1" w:rsidRPr="00647AE1" w:rsidTr="00481A47">
        <w:tc>
          <w:tcPr>
            <w:tcW w:w="67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1.</w:t>
            </w:r>
          </w:p>
        </w:tc>
        <w:tc>
          <w:tcPr>
            <w:tcW w:w="6519"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Įgaliojimas</w:t>
            </w:r>
          </w:p>
        </w:tc>
        <w:tc>
          <w:tcPr>
            <w:tcW w:w="2442"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1 lapas</w:t>
            </w:r>
          </w:p>
        </w:tc>
      </w:tr>
      <w:tr w:rsidR="00647AE1" w:rsidRPr="00647AE1" w:rsidTr="00481A47">
        <w:tc>
          <w:tcPr>
            <w:tcW w:w="67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2.</w:t>
            </w:r>
          </w:p>
        </w:tc>
        <w:tc>
          <w:tcPr>
            <w:tcW w:w="6519"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Įstaigos asmens sveikatos priežiūros licencija</w:t>
            </w:r>
          </w:p>
        </w:tc>
        <w:tc>
          <w:tcPr>
            <w:tcW w:w="2442"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22 lapai</w:t>
            </w:r>
          </w:p>
        </w:tc>
      </w:tr>
      <w:tr w:rsidR="00647AE1" w:rsidRPr="00647AE1" w:rsidTr="00481A47">
        <w:tc>
          <w:tcPr>
            <w:tcW w:w="675"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3.</w:t>
            </w:r>
          </w:p>
        </w:tc>
        <w:tc>
          <w:tcPr>
            <w:tcW w:w="6519"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Techninė specifikacija</w:t>
            </w:r>
          </w:p>
        </w:tc>
        <w:tc>
          <w:tcPr>
            <w:tcW w:w="2442" w:type="dxa"/>
            <w:tcBorders>
              <w:top w:val="single" w:sz="4" w:space="0" w:color="auto"/>
              <w:left w:val="single" w:sz="4" w:space="0" w:color="auto"/>
              <w:bottom w:val="single" w:sz="4" w:space="0" w:color="auto"/>
              <w:right w:val="single" w:sz="4" w:space="0" w:color="auto"/>
            </w:tcBorders>
          </w:tcPr>
          <w:p w:rsidR="00647AE1" w:rsidRPr="00647AE1" w:rsidRDefault="00647AE1" w:rsidP="00647AE1">
            <w:pPr>
              <w:rPr>
                <w:lang w:eastAsia="zh-CN" w:bidi="hi-IN"/>
              </w:rPr>
            </w:pPr>
            <w:r w:rsidRPr="00647AE1">
              <w:rPr>
                <w:lang w:eastAsia="zh-CN" w:bidi="hi-IN"/>
              </w:rPr>
              <w:t>4 lapai</w:t>
            </w:r>
          </w:p>
        </w:tc>
      </w:tr>
    </w:tbl>
    <w:p w:rsidR="00647AE1" w:rsidRPr="00647AE1" w:rsidRDefault="00647AE1" w:rsidP="00647AE1">
      <w:r w:rsidRPr="00647AE1">
        <w:t>Pasiūlymas galioja iki termino, nustatyto pirkimo dokumentuose.</w:t>
      </w:r>
    </w:p>
    <w:p w:rsidR="00647AE1" w:rsidRPr="00647AE1" w:rsidRDefault="00647AE1" w:rsidP="00647AE1"/>
    <w:p w:rsidR="00647AE1" w:rsidRPr="00647AE1" w:rsidRDefault="00647AE1" w:rsidP="00647AE1"/>
    <w:p w:rsidR="00647AE1" w:rsidRPr="00647AE1" w:rsidRDefault="00647AE1" w:rsidP="00647AE1">
      <w:pPr>
        <w:rPr>
          <w:u w:val="single"/>
        </w:rPr>
      </w:pPr>
      <w:r w:rsidRPr="00647AE1">
        <w:tab/>
      </w:r>
      <w:r w:rsidRPr="00647AE1">
        <w:rPr>
          <w:u w:val="single"/>
        </w:rPr>
        <w:t>Viešųjų pirkimų vadovė Jolanta Zaikauskienė</w:t>
      </w:r>
    </w:p>
    <w:p w:rsidR="00647AE1" w:rsidRPr="00647AE1" w:rsidRDefault="00647AE1" w:rsidP="00647AE1">
      <w:r w:rsidRPr="00647AE1">
        <w:t xml:space="preserve">             (tiekėjo arba jo įgalioto asmens pareigos, vardas, pavardė)</w:t>
      </w:r>
    </w:p>
    <w:p w:rsidR="002B6CEE" w:rsidRDefault="002B6CEE"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2B6CEE" w:rsidRDefault="002B6CEE" w:rsidP="006C4CCC">
      <w:pPr>
        <w:jc w:val="center"/>
        <w:rPr>
          <w:rFonts w:ascii="TimesNewRomanPS-BoldMT" w:eastAsiaTheme="minorHAnsi" w:hAnsi="TimesNewRomanPS-BoldMT" w:cs="TimesNewRomanPS-BoldMT"/>
          <w:bCs/>
        </w:rPr>
      </w:pPr>
    </w:p>
    <w:p w:rsidR="006C4CCC" w:rsidRDefault="006C4CCC" w:rsidP="00B330A3"/>
    <w:p w:rsidR="00D5051C" w:rsidRDefault="00D5051C" w:rsidP="009225F0">
      <w:pPr>
        <w:jc w:val="right"/>
      </w:pPr>
    </w:p>
    <w:p w:rsidR="00D5051C" w:rsidRDefault="00D5051C" w:rsidP="009225F0">
      <w:pPr>
        <w:jc w:val="right"/>
      </w:pPr>
    </w:p>
    <w:p w:rsidR="00D5051C" w:rsidRDefault="00D5051C" w:rsidP="009225F0">
      <w:pPr>
        <w:jc w:val="right"/>
      </w:pPr>
    </w:p>
    <w:p w:rsidR="00D5051C" w:rsidRDefault="00D5051C" w:rsidP="009225F0">
      <w:pPr>
        <w:jc w:val="right"/>
      </w:pPr>
    </w:p>
    <w:p w:rsidR="009225F0" w:rsidRDefault="009225F0" w:rsidP="009225F0">
      <w:pPr>
        <w:jc w:val="right"/>
      </w:pPr>
      <w:r>
        <w:t>2 priedas</w:t>
      </w:r>
    </w:p>
    <w:p w:rsidR="009225F0" w:rsidRDefault="009225F0" w:rsidP="009225F0">
      <w:pPr>
        <w:jc w:val="right"/>
      </w:pPr>
    </w:p>
    <w:p w:rsidR="009225F0" w:rsidRDefault="009225F0" w:rsidP="009225F0">
      <w:pPr>
        <w:pStyle w:val="Betarp"/>
        <w:jc w:val="center"/>
        <w:rPr>
          <w:b/>
        </w:rPr>
      </w:pPr>
      <w:r>
        <w:rPr>
          <w:b/>
        </w:rPr>
        <w:t xml:space="preserve">MEDICINOS LABORATORIJOS PASLAUGŲ PIRKIMO </w:t>
      </w:r>
    </w:p>
    <w:p w:rsidR="009225F0" w:rsidRDefault="009225F0" w:rsidP="009225F0">
      <w:pPr>
        <w:pStyle w:val="Betarp"/>
        <w:jc w:val="center"/>
        <w:rPr>
          <w:b/>
        </w:rPr>
      </w:pPr>
      <w:r>
        <w:rPr>
          <w:b/>
        </w:rPr>
        <w:t>TECHNINĖ SPECIFIKACIJA</w:t>
      </w:r>
    </w:p>
    <w:p w:rsidR="009225F0" w:rsidRDefault="009225F0" w:rsidP="009225F0">
      <w:pPr>
        <w:pStyle w:val="Betarp"/>
        <w:rPr>
          <w:b/>
        </w:rPr>
      </w:pPr>
    </w:p>
    <w:p w:rsidR="009225F0" w:rsidRDefault="009225F0" w:rsidP="009225F0">
      <w:pPr>
        <w:pStyle w:val="Betarp"/>
        <w:ind w:firstLine="851"/>
        <w:jc w:val="both"/>
      </w:pPr>
      <w:r>
        <w:rPr>
          <w:b/>
        </w:rPr>
        <w:t>1. Bendrieji reikalavimai</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792"/>
      </w:tblGrid>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
                <w:lang w:eastAsia="zh-CN" w:bidi="hi-IN"/>
              </w:rPr>
            </w:pPr>
            <w:r>
              <w:rPr>
                <w:b/>
              </w:rPr>
              <w:t>Eil. Nr.</w:t>
            </w:r>
          </w:p>
        </w:tc>
        <w:tc>
          <w:tcPr>
            <w:tcW w:w="8792" w:type="dxa"/>
            <w:tcBorders>
              <w:top w:val="single" w:sz="4" w:space="0" w:color="auto"/>
              <w:left w:val="single" w:sz="4" w:space="0" w:color="auto"/>
              <w:bottom w:val="single" w:sz="4" w:space="0" w:color="auto"/>
              <w:right w:val="single" w:sz="4" w:space="0" w:color="auto"/>
            </w:tcBorders>
          </w:tcPr>
          <w:p w:rsidR="009225F0" w:rsidRDefault="009225F0" w:rsidP="00A430A1">
            <w:pPr>
              <w:pStyle w:val="Betarp"/>
              <w:jc w:val="center"/>
              <w:rPr>
                <w:b/>
              </w:rPr>
            </w:pPr>
          </w:p>
          <w:p w:rsidR="009225F0" w:rsidRDefault="009225F0" w:rsidP="00A430A1">
            <w:pPr>
              <w:pStyle w:val="Betarp"/>
              <w:jc w:val="center"/>
              <w:rPr>
                <w:b/>
                <w:lang w:eastAsia="zh-CN" w:bidi="hi-IN"/>
              </w:rPr>
            </w:pPr>
            <w:r>
              <w:rPr>
                <w:b/>
              </w:rPr>
              <w:t>Būtinų savybių ir reikalavimų pavadinimas</w:t>
            </w:r>
          </w:p>
        </w:tc>
      </w:tr>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Cs/>
                <w:lang w:eastAsia="zh-CN" w:bidi="hi-IN"/>
              </w:rPr>
            </w:pPr>
            <w:r>
              <w:rPr>
                <w:bCs/>
              </w:rPr>
              <w:t>1.</w:t>
            </w:r>
          </w:p>
        </w:tc>
        <w:tc>
          <w:tcPr>
            <w:tcW w:w="879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both"/>
              <w:rPr>
                <w:lang w:eastAsia="zh-CN" w:bidi="hi-IN"/>
              </w:rPr>
            </w:pPr>
            <w:r>
              <w:rPr>
                <w:lang w:eastAsia="lt-LT"/>
              </w:rPr>
              <w:t xml:space="preserve">Paslaugos teikėjas </w:t>
            </w:r>
            <w:r>
              <w:t>užtikrina paslaugos tiekimą nuo sutarties įsigaliojimo dienos.</w:t>
            </w:r>
          </w:p>
        </w:tc>
      </w:tr>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Cs/>
                <w:lang w:eastAsia="zh-CN" w:bidi="hi-IN"/>
              </w:rPr>
            </w:pPr>
            <w:r>
              <w:rPr>
                <w:bCs/>
              </w:rPr>
              <w:t>2.</w:t>
            </w:r>
          </w:p>
        </w:tc>
        <w:tc>
          <w:tcPr>
            <w:tcW w:w="879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both"/>
              <w:rPr>
                <w:bCs/>
                <w:lang w:eastAsia="zh-CN" w:bidi="hi-IN"/>
              </w:rPr>
            </w:pPr>
            <w:r>
              <w:rPr>
                <w:bCs/>
              </w:rPr>
              <w:t>Paslaugų teikimo trukmė – 12 mėn.</w:t>
            </w:r>
          </w:p>
        </w:tc>
      </w:tr>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Cs/>
                <w:lang w:eastAsia="zh-CN" w:bidi="hi-IN"/>
              </w:rPr>
            </w:pPr>
            <w:r>
              <w:rPr>
                <w:bCs/>
              </w:rPr>
              <w:t>3.</w:t>
            </w:r>
          </w:p>
        </w:tc>
        <w:tc>
          <w:tcPr>
            <w:tcW w:w="879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both"/>
              <w:rPr>
                <w:bCs/>
                <w:lang w:eastAsia="zh-CN" w:bidi="hi-IN"/>
              </w:rPr>
            </w:pPr>
            <w:r>
              <w:rPr>
                <w:bCs/>
              </w:rPr>
              <w:t xml:space="preserve">Paslaugų teikimo vieta: </w:t>
            </w:r>
            <w:r>
              <w:rPr>
                <w:lang w:eastAsia="lt-LT"/>
              </w:rPr>
              <w:t xml:space="preserve">Paslaugos teikėjas </w:t>
            </w:r>
            <w:r>
              <w:rPr>
                <w:bCs/>
              </w:rPr>
              <w:t xml:space="preserve">įsipareigoja tiriamąją medžiagą savo transportu ir savo sąskaita paimti adresu: VšĮ Kalvarijos savivaldybės sveikatos centras, </w:t>
            </w:r>
            <w:r w:rsidRPr="00EA7B72">
              <w:rPr>
                <w:shd w:val="clear" w:color="auto" w:fill="FFFFFF"/>
              </w:rPr>
              <w:t>Vytauto g. 9, Kalvarija 5</w:t>
            </w:r>
            <w:r>
              <w:rPr>
                <w:bCs/>
              </w:rPr>
              <w:t xml:space="preserve"> (penkis) kartus per savaitę: pirmadieniais, antradieniais, trečiadieniais, ketvirtadieniais ir penktadieniais nuo 11.00 val. iki 11.30 val. </w:t>
            </w:r>
            <w:r>
              <w:rPr>
                <w:shd w:val="clear" w:color="auto" w:fill="FFFFFF"/>
              </w:rPr>
              <w:t>ir VšĮ Kalvarijos savivaldybės sveikatos centras adresu: Mokyklos g. 26, Sangrūdos k., Kalvarijos sav. 2 (du) kartus per savaitę: antradieniais ir ketvirtadieniais nuo 10.30 val. iki 11.00 val.</w:t>
            </w:r>
            <w:r>
              <w:rPr>
                <w:bCs/>
              </w:rPr>
              <w:t xml:space="preserve"> Tiriamosios medžiagos transportavimo priemonės turi būti apsaugotos nuo temperatūros pokyčių.</w:t>
            </w:r>
          </w:p>
        </w:tc>
      </w:tr>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Cs/>
                <w:lang w:eastAsia="zh-CN" w:bidi="hi-IN"/>
              </w:rPr>
            </w:pPr>
            <w:r>
              <w:rPr>
                <w:bCs/>
              </w:rPr>
              <w:t>4.</w:t>
            </w:r>
          </w:p>
        </w:tc>
        <w:tc>
          <w:tcPr>
            <w:tcW w:w="879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both"/>
              <w:rPr>
                <w:bCs/>
                <w:lang w:eastAsia="zh-CN" w:bidi="hi-IN"/>
              </w:rPr>
            </w:pPr>
            <w:r>
              <w:rPr>
                <w:bCs/>
              </w:rPr>
              <w:t xml:space="preserve">Paslaugos teikėjas privalo </w:t>
            </w:r>
            <w:bookmarkStart w:id="17" w:name="_Hlk499214658"/>
            <w:r>
              <w:rPr>
                <w:bCs/>
              </w:rPr>
              <w:t>tiekti mėgintuvėlius kraujo bandiniams ir adatas tyrimams paimti. Jų kaina turi būti įskaičiuota į tyrimo kainą.</w:t>
            </w:r>
            <w:bookmarkEnd w:id="17"/>
          </w:p>
        </w:tc>
      </w:tr>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Cs/>
                <w:lang w:eastAsia="zh-CN" w:bidi="hi-IN"/>
              </w:rPr>
            </w:pPr>
            <w:r>
              <w:rPr>
                <w:bCs/>
              </w:rPr>
              <w:t>5.</w:t>
            </w:r>
          </w:p>
        </w:tc>
        <w:tc>
          <w:tcPr>
            <w:tcW w:w="879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both"/>
              <w:rPr>
                <w:bCs/>
                <w:lang w:eastAsia="zh-CN" w:bidi="hi-IN"/>
              </w:rPr>
            </w:pPr>
            <w:r>
              <w:rPr>
                <w:bCs/>
              </w:rPr>
              <w:t xml:space="preserve">Paslaugos teikėjas turi </w:t>
            </w:r>
            <w:bookmarkStart w:id="18" w:name="_Hlk499214729"/>
            <w:r>
              <w:rPr>
                <w:bCs/>
              </w:rPr>
              <w:t>savo lėšomis įsigyti reagentus bei kitas eksploatacines medžiagas.</w:t>
            </w:r>
            <w:r>
              <w:t xml:space="preserve"> </w:t>
            </w:r>
            <w:r>
              <w:rPr>
                <w:bCs/>
              </w:rPr>
              <w:t>Jų kaina turi būti įskaičiuota į tyrimo kainą.</w:t>
            </w:r>
            <w:bookmarkEnd w:id="18"/>
          </w:p>
        </w:tc>
      </w:tr>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Cs/>
                <w:lang w:eastAsia="zh-CN" w:bidi="hi-IN"/>
              </w:rPr>
            </w:pPr>
            <w:r>
              <w:rPr>
                <w:bCs/>
              </w:rPr>
              <w:t>6.</w:t>
            </w:r>
          </w:p>
        </w:tc>
        <w:tc>
          <w:tcPr>
            <w:tcW w:w="879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both"/>
              <w:rPr>
                <w:lang w:eastAsia="lt-LT"/>
              </w:rPr>
            </w:pPr>
            <w:bookmarkStart w:id="19" w:name="_Hlk499214961"/>
            <w:r>
              <w:rPr>
                <w:lang w:eastAsia="lt-LT"/>
              </w:rPr>
              <w:t xml:space="preserve">Paslaugos teikėjas </w:t>
            </w:r>
            <w:bookmarkStart w:id="20" w:name="_Hlk499296882"/>
            <w:r>
              <w:rPr>
                <w:lang w:eastAsia="lt-LT"/>
              </w:rPr>
              <w:t xml:space="preserve">kraujo tyrimų rezultatus (elektronine forma) turi pateikti per 12-24 valandas nuo mėginių paėmimo. Kraujo tyrimų rezultatus (popierine forma) turi pateikti per 2 darbo dienas po tyrimų atlikimo. Visi atsakymai turi būti tinkamai įforminti – tyrimą atlikusios įstaigos rekvizitai, tyrimo rezultatai, tyrimo normos ribos, tyrimo atlikimo data, tyrimą atlikusio atsakingo darbuotojo vardas pavardė parašas. </w:t>
            </w:r>
            <w:bookmarkEnd w:id="20"/>
          </w:p>
          <w:p w:rsidR="009225F0" w:rsidRDefault="009225F0" w:rsidP="00A430A1">
            <w:pPr>
              <w:pStyle w:val="Betarp"/>
              <w:jc w:val="both"/>
              <w:rPr>
                <w:bCs/>
                <w:lang w:eastAsia="zh-CN" w:bidi="hi-IN"/>
              </w:rPr>
            </w:pPr>
            <w:bookmarkStart w:id="21" w:name="_Hlk525306049"/>
            <w:r>
              <w:rPr>
                <w:bCs/>
              </w:rPr>
              <w:t>Mikrobiologinių tyrimų rezultatai turi būti pateikiami per 3 darbo dienas, esant neigiamiems rezultatams, per 5 darbo dienas, esant teigiamiems rezultatams, išimtinais atvejais per 7 darbo dienas. Citologinių tyrimų atsakymai turi būti pateikiami ne vėliau kaip per 2 savaites</w:t>
            </w:r>
            <w:bookmarkEnd w:id="19"/>
            <w:r>
              <w:rPr>
                <w:bCs/>
              </w:rPr>
              <w:t>.</w:t>
            </w:r>
            <w:bookmarkEnd w:id="21"/>
          </w:p>
        </w:tc>
      </w:tr>
      <w:tr w:rsidR="009225F0" w:rsidTr="00A430A1">
        <w:tc>
          <w:tcPr>
            <w:tcW w:w="84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Cs/>
                <w:lang w:eastAsia="zh-CN" w:bidi="hi-IN"/>
              </w:rPr>
            </w:pPr>
            <w:r>
              <w:rPr>
                <w:bCs/>
              </w:rPr>
              <w:t>7.</w:t>
            </w:r>
          </w:p>
        </w:tc>
        <w:tc>
          <w:tcPr>
            <w:tcW w:w="8792"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both"/>
              <w:rPr>
                <w:lang w:eastAsia="lt-LT" w:bidi="hi-IN"/>
              </w:rPr>
            </w:pPr>
            <w:r>
              <w:rPr>
                <w:lang w:eastAsia="lt-LT"/>
              </w:rPr>
              <w:t>Paslaugos teikėjas turi teisę tiriamosios medžiagos perdavimo momentu brokuoti Perkančiosios organizacijos darbuotojų padaliniuose paimtą tiriamąją medžiagą, jei nustato, kad ji paimta, saugota ar įforminta nesilaikant nustatytų standartų ar kitų reikalavimų. Jei tiriamoji medžiaga nebrokuojama, preziumuojama, kad ji yra paimta, saugota, ir įforminta tinkamai ir visa atsakomybė už tyrimo rezultatus tenka Paslaugos teikėjui ir, jeigu dėl to padaroma žala tretiesiems asmenims, ją atlygina Paslaugos teikėjas.</w:t>
            </w:r>
          </w:p>
        </w:tc>
      </w:tr>
      <w:tr w:rsidR="009225F0" w:rsidTr="00A430A1">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9225F0" w:rsidRDefault="009225F0" w:rsidP="00A430A1">
            <w:pPr>
              <w:pStyle w:val="Betarp"/>
              <w:jc w:val="center"/>
              <w:rPr>
                <w:bCs/>
                <w:lang w:eastAsia="zh-CN" w:bidi="hi-IN"/>
              </w:rPr>
            </w:pPr>
            <w:r>
              <w:rPr>
                <w:bCs/>
              </w:rPr>
              <w:t>8.</w:t>
            </w:r>
          </w:p>
        </w:tc>
        <w:tc>
          <w:tcPr>
            <w:tcW w:w="8792" w:type="dxa"/>
            <w:tcBorders>
              <w:top w:val="single" w:sz="4" w:space="0" w:color="auto"/>
              <w:left w:val="single" w:sz="4" w:space="0" w:color="auto"/>
              <w:bottom w:val="single" w:sz="4" w:space="0" w:color="auto"/>
              <w:right w:val="single" w:sz="4" w:space="0" w:color="auto"/>
            </w:tcBorders>
            <w:shd w:val="clear" w:color="auto" w:fill="FFFFFF"/>
            <w:hideMark/>
          </w:tcPr>
          <w:p w:rsidR="009225F0" w:rsidRDefault="009225F0" w:rsidP="00A430A1">
            <w:pPr>
              <w:pStyle w:val="Betarp"/>
              <w:jc w:val="both"/>
              <w:rPr>
                <w:bCs/>
                <w:lang w:eastAsia="zh-CN" w:bidi="hi-IN"/>
              </w:rPr>
            </w:pPr>
            <w:r>
              <w:rPr>
                <w:bCs/>
              </w:rPr>
              <w:t xml:space="preserve">Paslaugos teikėjas </w:t>
            </w:r>
            <w:bookmarkStart w:id="22" w:name="_Hlk499215218"/>
            <w:r>
              <w:rPr>
                <w:bCs/>
              </w:rPr>
              <w:t>turi suteikti galimybę Perkančiajai organizacijai prisijungti prie elektroninės sistemos laboratorinių tyrimų  atsakymų peržiūrai, Paslaugos teikėjo elektroninėje sistemoje, o popierinis variantas gali būti įteikiamas kitą dieną pasiimant tyrimus.</w:t>
            </w:r>
            <w:bookmarkEnd w:id="22"/>
          </w:p>
        </w:tc>
      </w:tr>
      <w:tr w:rsidR="009225F0" w:rsidTr="00A430A1">
        <w:tc>
          <w:tcPr>
            <w:tcW w:w="842" w:type="dxa"/>
            <w:tcBorders>
              <w:top w:val="single" w:sz="4" w:space="0" w:color="auto"/>
              <w:left w:val="single" w:sz="4" w:space="0" w:color="auto"/>
              <w:bottom w:val="single" w:sz="4" w:space="0" w:color="auto"/>
              <w:right w:val="single" w:sz="4" w:space="0" w:color="auto"/>
            </w:tcBorders>
            <w:shd w:val="clear" w:color="auto" w:fill="FFFFFF"/>
            <w:hideMark/>
          </w:tcPr>
          <w:p w:rsidR="009225F0" w:rsidRDefault="009225F0" w:rsidP="00A430A1">
            <w:pPr>
              <w:pStyle w:val="Betarp"/>
              <w:jc w:val="center"/>
              <w:rPr>
                <w:bCs/>
                <w:lang w:eastAsia="zh-CN" w:bidi="hi-IN"/>
              </w:rPr>
            </w:pPr>
            <w:r>
              <w:rPr>
                <w:bCs/>
              </w:rPr>
              <w:t>9.</w:t>
            </w:r>
          </w:p>
        </w:tc>
        <w:tc>
          <w:tcPr>
            <w:tcW w:w="8792" w:type="dxa"/>
            <w:tcBorders>
              <w:top w:val="single" w:sz="4" w:space="0" w:color="auto"/>
              <w:left w:val="single" w:sz="4" w:space="0" w:color="auto"/>
              <w:bottom w:val="single" w:sz="4" w:space="0" w:color="auto"/>
              <w:right w:val="single" w:sz="4" w:space="0" w:color="auto"/>
            </w:tcBorders>
            <w:shd w:val="clear" w:color="auto" w:fill="FFFFFF"/>
            <w:hideMark/>
          </w:tcPr>
          <w:p w:rsidR="009225F0" w:rsidRDefault="009225F0" w:rsidP="00A430A1">
            <w:pPr>
              <w:pStyle w:val="Betarp"/>
              <w:jc w:val="both"/>
              <w:rPr>
                <w:bCs/>
                <w:lang w:eastAsia="zh-CN" w:bidi="hi-IN"/>
              </w:rPr>
            </w:pPr>
            <w:r>
              <w:rPr>
                <w:bCs/>
              </w:rPr>
              <w:t>Paslaugos teikėjas užtikrina, kad jo naudojama informacinė sistema yra suderinama su informacinėmis sistemomis ESIS IS ir E.SVEIKATA, t. y. Perkančiosios organizacijos darbuotojai gali užsakyti tyrimus ir gauti atsakymus per paminėtas informacines sistemas.</w:t>
            </w:r>
          </w:p>
        </w:tc>
      </w:tr>
    </w:tbl>
    <w:p w:rsidR="009225F0" w:rsidRDefault="009225F0" w:rsidP="009225F0">
      <w:pPr>
        <w:pStyle w:val="Betarp"/>
        <w:rPr>
          <w:b/>
          <w:kern w:val="3"/>
          <w:lang w:eastAsia="zh-CN" w:bidi="hi-IN"/>
        </w:rPr>
      </w:pPr>
    </w:p>
    <w:p w:rsidR="009225F0" w:rsidRDefault="009225F0" w:rsidP="009225F0">
      <w:pPr>
        <w:pStyle w:val="Betarp"/>
        <w:rPr>
          <w:b/>
        </w:rPr>
      </w:pPr>
    </w:p>
    <w:p w:rsidR="009225F0" w:rsidRDefault="009225F0" w:rsidP="009225F0">
      <w:pPr>
        <w:pStyle w:val="Betarp"/>
        <w:rPr>
          <w:b/>
        </w:rPr>
      </w:pPr>
    </w:p>
    <w:p w:rsidR="009225F0" w:rsidRDefault="009225F0" w:rsidP="009225F0">
      <w:pPr>
        <w:pStyle w:val="Betarp"/>
        <w:rPr>
          <w:b/>
        </w:rPr>
      </w:pPr>
    </w:p>
    <w:p w:rsidR="009225F0" w:rsidRDefault="009225F0" w:rsidP="009225F0">
      <w:pPr>
        <w:pStyle w:val="Betarp"/>
        <w:rPr>
          <w:b/>
        </w:rPr>
      </w:pPr>
      <w:r>
        <w:rPr>
          <w:b/>
        </w:rPr>
        <w:t>2</w:t>
      </w:r>
      <w:bookmarkStart w:id="23" w:name="_Hlk499303248"/>
      <w:r>
        <w:rPr>
          <w:b/>
        </w:rPr>
        <w:t>. Medicininių laboratorinių tyrimų sąrašas ir kiekiai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225"/>
        <w:gridCol w:w="1713"/>
      </w:tblGrid>
      <w:tr w:rsidR="009225F0" w:rsidTr="00A430A1">
        <w:tc>
          <w:tcPr>
            <w:tcW w:w="696"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
                <w:lang w:eastAsia="zh-CN" w:bidi="hi-IN"/>
              </w:rPr>
            </w:pPr>
            <w:r>
              <w:rPr>
                <w:b/>
              </w:rPr>
              <w:t>Eil. Nr.</w:t>
            </w:r>
          </w:p>
        </w:tc>
        <w:tc>
          <w:tcPr>
            <w:tcW w:w="7225" w:type="dxa"/>
            <w:tcBorders>
              <w:top w:val="single" w:sz="4" w:space="0" w:color="auto"/>
              <w:left w:val="single" w:sz="4" w:space="0" w:color="auto"/>
              <w:bottom w:val="single" w:sz="4" w:space="0" w:color="auto"/>
              <w:right w:val="single" w:sz="4" w:space="0" w:color="auto"/>
            </w:tcBorders>
          </w:tcPr>
          <w:p w:rsidR="009225F0" w:rsidRDefault="009225F0" w:rsidP="00A430A1">
            <w:pPr>
              <w:pStyle w:val="Betarp"/>
              <w:jc w:val="center"/>
              <w:rPr>
                <w:b/>
              </w:rPr>
            </w:pPr>
          </w:p>
          <w:p w:rsidR="009225F0" w:rsidRDefault="009225F0" w:rsidP="00A430A1">
            <w:pPr>
              <w:pStyle w:val="Betarp"/>
              <w:jc w:val="center"/>
              <w:rPr>
                <w:b/>
                <w:lang w:eastAsia="zh-CN" w:bidi="hi-IN"/>
              </w:rPr>
            </w:pPr>
            <w:r>
              <w:rPr>
                <w:b/>
              </w:rPr>
              <w:t>Tyrimo pavadinimas</w:t>
            </w:r>
          </w:p>
        </w:tc>
        <w:tc>
          <w:tcPr>
            <w:tcW w:w="1713" w:type="dxa"/>
            <w:tcBorders>
              <w:top w:val="single" w:sz="4" w:space="0" w:color="auto"/>
              <w:left w:val="single" w:sz="4" w:space="0" w:color="auto"/>
              <w:bottom w:val="single" w:sz="4" w:space="0" w:color="auto"/>
              <w:right w:val="single" w:sz="4" w:space="0" w:color="auto"/>
            </w:tcBorders>
            <w:hideMark/>
          </w:tcPr>
          <w:p w:rsidR="009225F0" w:rsidRDefault="009225F0" w:rsidP="00A430A1">
            <w:pPr>
              <w:pStyle w:val="Betarp"/>
              <w:jc w:val="center"/>
              <w:rPr>
                <w:b/>
                <w:lang w:eastAsia="zh-CN" w:bidi="hi-IN"/>
              </w:rPr>
            </w:pPr>
            <w:bookmarkStart w:id="24" w:name="_Hlk499560454"/>
            <w:r>
              <w:rPr>
                <w:b/>
              </w:rPr>
              <w:t>Preliminarus tyrimų kiekis per metus</w:t>
            </w:r>
            <w:bookmarkStart w:id="25" w:name="_Hlk499560428"/>
            <w:r>
              <w:rPr>
                <w:b/>
              </w:rPr>
              <w:t>*</w:t>
            </w:r>
            <w:bookmarkEnd w:id="24"/>
            <w:bookmarkEnd w:id="25"/>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w:t>
            </w:r>
          </w:p>
        </w:tc>
        <w:tc>
          <w:tcPr>
            <w:tcW w:w="7225" w:type="dxa"/>
            <w:tcBorders>
              <w:top w:val="single" w:sz="4" w:space="0" w:color="000000"/>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CHOL Bendro cholesterolio koncentracijos nustatymas</w:t>
            </w:r>
          </w:p>
        </w:tc>
        <w:tc>
          <w:tcPr>
            <w:tcW w:w="1713" w:type="dxa"/>
            <w:tcBorders>
              <w:top w:val="single" w:sz="4" w:space="0" w:color="000000"/>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DTL Didelio tankio lipoproteinų cholesterolio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MTL Mažo tankio lipoproteinų cholesterolio koncentracijos nustatymas (apskaičiuojamas) (atliekamas iš tyrimų CHOL, DTL ir TRIG)</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TRIG Trigliceridų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 xml:space="preserve">GLU Gliukozės koncentracijos nustatymas </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1900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6.</w:t>
            </w:r>
          </w:p>
        </w:tc>
        <w:tc>
          <w:tcPr>
            <w:tcW w:w="7225" w:type="dxa"/>
            <w:tcBorders>
              <w:top w:val="nil"/>
              <w:left w:val="single" w:sz="4" w:space="0" w:color="000000"/>
              <w:bottom w:val="single" w:sz="4" w:space="0" w:color="auto"/>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HbA1c Glikozilinto hemoglobino koncentracijos nustatymas</w:t>
            </w:r>
          </w:p>
        </w:tc>
        <w:tc>
          <w:tcPr>
            <w:tcW w:w="1713" w:type="dxa"/>
            <w:tcBorders>
              <w:top w:val="nil"/>
              <w:left w:val="single" w:sz="4" w:space="0" w:color="000000"/>
              <w:bottom w:val="single" w:sz="4" w:space="0" w:color="auto"/>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7.</w:t>
            </w:r>
          </w:p>
        </w:tc>
        <w:tc>
          <w:tcPr>
            <w:tcW w:w="7225" w:type="dxa"/>
            <w:tcBorders>
              <w:top w:val="single" w:sz="4" w:space="0" w:color="auto"/>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CRB C reaktyviojo baltymo nustatymas</w:t>
            </w:r>
          </w:p>
        </w:tc>
        <w:tc>
          <w:tcPr>
            <w:tcW w:w="1713" w:type="dxa"/>
            <w:tcBorders>
              <w:top w:val="single" w:sz="4" w:space="0" w:color="auto"/>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TBIL Bendrojo bilirubino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40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9.</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DBIL Tiesioginio (konjuguoto) bilirubino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10.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IBIL Netiesioginio bilirubino koncentracijos nustatymas (atliekamas iš tyrimų TBIL ir DBIL)</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11.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ASAT Aspartataminotransferazės aktyvumo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1500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12.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ALAT Alaninaminotransferazės aktyvumo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1500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GGT Gamaglutamiltransferazės aktyvumo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ALP Šarminės fosfatazės aktyvumo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240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P-AMYL Kasos amilazės aktyvumo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AMYL α amilazės aktyvumo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FER Feritino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160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UA Šlapimo rūgšties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130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19.</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UREA Šlapalo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20.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CREA Kreatinino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21.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ALB Albumino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RF Reumatoidinio faktoriaus kiekybinis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VitB12 Vitamino B12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FOL Folio rūgšties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VitD 25-OH Vitamino D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TRF Transferino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TS Transferino saturacija (įsotinimas) (atliekamas iš tyrimų Fe ir TRF)</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rPr>
          <w:trHeight w:val="272"/>
        </w:trPr>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LDH Laktatdehidrogenazės aktyvumo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rPr>
          <w:trHeight w:val="272"/>
        </w:trPr>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29.</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TP Bendro baltymo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GFG Glomerulų filtracijos greitis (pagal CKD-EPI) (atliekamas iš tyrimo CREA)</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MTL Mažo tankio lipoproteinų cholesterolio koncentracijos nustatymas (tiesioginis, išmatuojamas)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djCRB Didelio jautrumo CRB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ApoB Apolipoproteinas B</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K Kalio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2150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Na Natrio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530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Ca Kalcio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82</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Ca++ Jonizuotas kalcis (apskaičiuojamas iš Ca)</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Fe Geležies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39.</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Mg Magnio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40.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P Fosforo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41.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Cl Chloridų kiekio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eastAsia="zh-CN" w:bidi="hi-IN"/>
              </w:rPr>
            </w:pPr>
            <w:r>
              <w:t>42.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Cu Vario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43.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Zn Cinko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44.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Se Selenas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45.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BKV Bendras kraujo tyrimas (5 dif.)</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2030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46.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ENG (Westergreno būdu) - Juodas mėgintuvėlis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47.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Automatizuotas juostelinis šlapimo tyrimas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40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48.</w:t>
            </w:r>
          </w:p>
        </w:tc>
        <w:tc>
          <w:tcPr>
            <w:tcW w:w="7225" w:type="dxa"/>
            <w:tcBorders>
              <w:top w:val="nil"/>
              <w:left w:val="single" w:sz="4" w:space="0" w:color="000000"/>
              <w:bottom w:val="single" w:sz="4" w:space="0" w:color="auto"/>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Šlapimo nuosėdų mikroskopija</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49.</w:t>
            </w:r>
          </w:p>
        </w:tc>
        <w:tc>
          <w:tcPr>
            <w:tcW w:w="7225" w:type="dxa"/>
            <w:tcBorders>
              <w:top w:val="single" w:sz="4" w:space="0" w:color="auto"/>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CREA (š) Kreatininas šlapime</w:t>
            </w:r>
          </w:p>
        </w:tc>
        <w:tc>
          <w:tcPr>
            <w:tcW w:w="1713" w:type="dxa"/>
            <w:tcBorders>
              <w:top w:val="nil"/>
              <w:left w:val="single" w:sz="4" w:space="0" w:color="000000"/>
              <w:bottom w:val="single" w:sz="4" w:space="0" w:color="auto"/>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ACR Albumino ir kreatinino santykis šlapime</w:t>
            </w:r>
          </w:p>
        </w:tc>
        <w:tc>
          <w:tcPr>
            <w:tcW w:w="1713" w:type="dxa"/>
            <w:tcBorders>
              <w:top w:val="single" w:sz="4" w:space="0" w:color="auto"/>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iFOB Reakcija slaptam kraujavimui</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600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Kirmėlių kiaušinėliai</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Pirmuonys išmatų tepinėlyje</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Išmatų mikroskopinis tyrimas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HP-Ag Helicobacter pylori antigenas išmatose</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PT/INR Protrombino laiko tyrimas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330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ADTL Aktyvinto dalinio tromboplastino laiko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270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D-Dimerai</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59.</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ABO RhD kraujyje, hemagliutinacija plokštumoje</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IgG klasės antikūnų prieš Helicobacter pylori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IgA klasės antikūnų prieš Helicobacter pylori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62.</w:t>
            </w:r>
          </w:p>
        </w:tc>
        <w:tc>
          <w:tcPr>
            <w:tcW w:w="7225" w:type="dxa"/>
            <w:tcBorders>
              <w:top w:val="nil"/>
              <w:left w:val="single" w:sz="4" w:space="0" w:color="000000"/>
              <w:bottom w:val="single" w:sz="4" w:space="0" w:color="auto"/>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EE IgG Erkinio encefalito IgG antikūnų nustatymas imunofermentiniu metodu</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63.</w:t>
            </w:r>
          </w:p>
        </w:tc>
        <w:tc>
          <w:tcPr>
            <w:tcW w:w="7225" w:type="dxa"/>
            <w:tcBorders>
              <w:top w:val="single" w:sz="4" w:space="0" w:color="auto"/>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EE IgM Erkinio encefalito IgM antikūnų nustatymas imunofermentiniu metodu</w:t>
            </w:r>
          </w:p>
        </w:tc>
        <w:tc>
          <w:tcPr>
            <w:tcW w:w="1713" w:type="dxa"/>
            <w:tcBorders>
              <w:top w:val="nil"/>
              <w:left w:val="single" w:sz="4" w:space="0" w:color="000000"/>
              <w:bottom w:val="single" w:sz="4" w:space="0" w:color="auto"/>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LL IgG Boreliozės (Laimo ligos) IgG antikūnų nustatymas imunofermentiniu metodu</w:t>
            </w:r>
          </w:p>
        </w:tc>
        <w:tc>
          <w:tcPr>
            <w:tcW w:w="1713" w:type="dxa"/>
            <w:tcBorders>
              <w:top w:val="single" w:sz="4" w:space="0" w:color="auto"/>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45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LL IgM Boreliozės (Laimo ligos) IgM antikūnų nustatymas imunofermentiniu metodu</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45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Borrelia burgdorferi, Borrelia afzelii, Borrelia garinii IgG kokybinis (IB)</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Borrelia burgdorferi, Borrelia afzelii, Borrelia garinii, Borrelia spielmanii IgM kokybinis (IB)</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EE IgG Erkinio encefalito IgG (povakcininiai) antikūnai</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8</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69.</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LT4 Laisvo tiroksino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LT3 Laisvo trijodtironino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ATPO Skydliaukės peroksidazės antikūnų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170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Tg Tiroglobulinas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6</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Anti-TG Antikūnai prieš tiroglobuliną</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TTH Tirotropino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1700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LAI Laisvų androgenų indeksas (atliekamas iš tyrimų SHBG ir TEST)</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HCG Chorioninio gonadotropino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E2 Estradiolio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4</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DHEA-SO4 Dehidroepiandrosterono sulfato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79.</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SHBG Lytinius hormonus surišančio globulino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80.</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TEST Testosterono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81.</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PRL Prolaktino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82.</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PRG Progesterono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83.</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FSH Folikulus stimuliuojančio hormono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84.</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LH Liuteinizuojančio hormono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85.</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INS Insulinas (po valgio)</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86.</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C-peptidas (nevalgius)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CORTr Rytinės kortizolio koncentracijos nustatymas (7-9 val.)</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88.</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iPTH Parathormono (intaktinio) koncentracijos nustatymas serume</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89.</w:t>
            </w:r>
          </w:p>
        </w:tc>
        <w:tc>
          <w:tcPr>
            <w:tcW w:w="7225"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ALD Aldosteronas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90.</w:t>
            </w:r>
          </w:p>
        </w:tc>
        <w:tc>
          <w:tcPr>
            <w:tcW w:w="7225"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CEA Karcinoembrioninio antigeno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91.</w:t>
            </w:r>
          </w:p>
        </w:tc>
        <w:tc>
          <w:tcPr>
            <w:tcW w:w="7225"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Vėžio žymens CA 19-9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4</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92.</w:t>
            </w:r>
          </w:p>
        </w:tc>
        <w:tc>
          <w:tcPr>
            <w:tcW w:w="7225"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Vėžio žymens CA 15-3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6</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93.</w:t>
            </w:r>
          </w:p>
        </w:tc>
        <w:tc>
          <w:tcPr>
            <w:tcW w:w="7225"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Vėžio žymens CA 125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25</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94.</w:t>
            </w:r>
          </w:p>
        </w:tc>
        <w:tc>
          <w:tcPr>
            <w:tcW w:w="7225"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Vėžio žymuo Ca 72-4</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95.</w:t>
            </w:r>
          </w:p>
        </w:tc>
        <w:tc>
          <w:tcPr>
            <w:tcW w:w="7225" w:type="dxa"/>
            <w:tcBorders>
              <w:top w:val="single" w:sz="4" w:space="0" w:color="auto"/>
              <w:left w:val="single" w:sz="4" w:space="0" w:color="000000"/>
              <w:bottom w:val="single" w:sz="4" w:space="0" w:color="auto"/>
              <w:right w:val="single" w:sz="4" w:space="0" w:color="auto"/>
            </w:tcBorders>
            <w:hideMark/>
          </w:tcPr>
          <w:p w:rsidR="00730C39" w:rsidRDefault="00730C39" w:rsidP="00730C39">
            <w:pPr>
              <w:autoSpaceDE w:val="0"/>
              <w:autoSpaceDN w:val="0"/>
              <w:adjustRightInd w:val="0"/>
              <w:rPr>
                <w:color w:val="000000"/>
                <w:sz w:val="20"/>
                <w:szCs w:val="20"/>
                <w:lang w:eastAsia="lt-LT"/>
              </w:rPr>
            </w:pPr>
            <w:r w:rsidRPr="007B1A20">
              <w:t>PSA Prostatai specifinio antigeno koncentracijos nustatymas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450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96.</w:t>
            </w:r>
          </w:p>
        </w:tc>
        <w:tc>
          <w:tcPr>
            <w:tcW w:w="7225" w:type="dxa"/>
            <w:tcBorders>
              <w:top w:val="single" w:sz="4" w:space="0" w:color="auto"/>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Vėžio žymuo He4</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97.</w:t>
            </w:r>
          </w:p>
        </w:tc>
        <w:tc>
          <w:tcPr>
            <w:tcW w:w="7225" w:type="dxa"/>
            <w:tcBorders>
              <w:top w:val="nil"/>
              <w:left w:val="single" w:sz="4" w:space="0" w:color="000000"/>
              <w:bottom w:val="single" w:sz="4" w:space="0" w:color="000000"/>
              <w:right w:val="single" w:sz="4" w:space="0" w:color="000000"/>
            </w:tcBorders>
            <w:hideMark/>
          </w:tcPr>
          <w:p w:rsidR="00730C39" w:rsidRDefault="00730C39" w:rsidP="00730C39">
            <w:pPr>
              <w:autoSpaceDE w:val="0"/>
              <w:autoSpaceDN w:val="0"/>
              <w:adjustRightInd w:val="0"/>
              <w:rPr>
                <w:color w:val="000000"/>
                <w:sz w:val="20"/>
                <w:szCs w:val="20"/>
                <w:lang w:eastAsia="lt-LT"/>
              </w:rPr>
            </w:pPr>
            <w:r w:rsidRPr="007B1A20">
              <w:t>ROMA įvertis (atliekamas iš tyrimų Ca 125 ir He4)</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98.</w:t>
            </w:r>
          </w:p>
        </w:tc>
        <w:tc>
          <w:tcPr>
            <w:tcW w:w="7225" w:type="dxa"/>
            <w:tcBorders>
              <w:top w:val="nil"/>
              <w:left w:val="nil"/>
              <w:bottom w:val="single" w:sz="4" w:space="0" w:color="000000"/>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Antikūnai IgA prieš Chlamydia trachomatis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99.</w:t>
            </w:r>
          </w:p>
        </w:tc>
        <w:tc>
          <w:tcPr>
            <w:tcW w:w="7225" w:type="dxa"/>
            <w:tcBorders>
              <w:top w:val="nil"/>
              <w:left w:val="nil"/>
              <w:bottom w:val="single" w:sz="4" w:space="0" w:color="000000"/>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Antikūnai IgG prieš Chlamydia trachomatis</w:t>
            </w:r>
          </w:p>
        </w:tc>
        <w:tc>
          <w:tcPr>
            <w:tcW w:w="1713" w:type="dxa"/>
            <w:tcBorders>
              <w:top w:val="nil"/>
              <w:left w:val="single" w:sz="4" w:space="0" w:color="000000"/>
              <w:bottom w:val="single" w:sz="4" w:space="0" w:color="000000"/>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100.</w:t>
            </w:r>
          </w:p>
        </w:tc>
        <w:tc>
          <w:tcPr>
            <w:tcW w:w="7225" w:type="dxa"/>
            <w:tcBorders>
              <w:top w:val="nil"/>
              <w:left w:val="nil"/>
              <w:bottom w:val="single" w:sz="4" w:space="0" w:color="000000"/>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Antikūnai IgM prieš Chlamydia trachomatis</w:t>
            </w:r>
          </w:p>
        </w:tc>
        <w:tc>
          <w:tcPr>
            <w:tcW w:w="1713"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101.</w:t>
            </w:r>
          </w:p>
        </w:tc>
        <w:tc>
          <w:tcPr>
            <w:tcW w:w="7225" w:type="dxa"/>
            <w:tcBorders>
              <w:top w:val="nil"/>
              <w:left w:val="nil"/>
              <w:bottom w:val="single" w:sz="4" w:space="0" w:color="000000"/>
              <w:right w:val="single" w:sz="4" w:space="0" w:color="000000"/>
            </w:tcBorders>
            <w:shd w:val="clear" w:color="auto" w:fill="FFFFFF"/>
            <w:hideMark/>
          </w:tcPr>
          <w:p w:rsidR="00730C39" w:rsidRDefault="00730C39" w:rsidP="00730C39">
            <w:pPr>
              <w:autoSpaceDE w:val="0"/>
              <w:autoSpaceDN w:val="0"/>
              <w:adjustRightInd w:val="0"/>
              <w:rPr>
                <w:color w:val="000000"/>
                <w:sz w:val="20"/>
                <w:szCs w:val="20"/>
                <w:lang w:eastAsia="lt-LT"/>
              </w:rPr>
            </w:pPr>
            <w:r w:rsidRPr="007B1A20">
              <w:t>RPR Sifilio antikūnų nustatymas RPR testu</w:t>
            </w:r>
          </w:p>
        </w:tc>
        <w:tc>
          <w:tcPr>
            <w:tcW w:w="1713" w:type="dxa"/>
            <w:tcBorders>
              <w:top w:val="nil"/>
              <w:left w:val="nil"/>
              <w:bottom w:val="single" w:sz="4" w:space="0" w:color="auto"/>
              <w:right w:val="single" w:sz="4" w:space="0" w:color="000000"/>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102.</w:t>
            </w:r>
          </w:p>
        </w:tc>
        <w:tc>
          <w:tcPr>
            <w:tcW w:w="7225" w:type="dxa"/>
            <w:tcBorders>
              <w:top w:val="single" w:sz="4" w:space="0" w:color="auto"/>
              <w:left w:val="single" w:sz="4" w:space="0" w:color="auto"/>
              <w:bottom w:val="single" w:sz="4" w:space="0" w:color="auto"/>
              <w:right w:val="single" w:sz="4" w:space="0" w:color="auto"/>
            </w:tcBorders>
            <w:hideMark/>
          </w:tcPr>
          <w:p w:rsidR="00730C39" w:rsidRDefault="00730C39" w:rsidP="00730C39">
            <w:pPr>
              <w:autoSpaceDE w:val="0"/>
              <w:autoSpaceDN w:val="0"/>
              <w:adjustRightInd w:val="0"/>
              <w:rPr>
                <w:color w:val="000000"/>
                <w:sz w:val="20"/>
                <w:szCs w:val="20"/>
                <w:lang w:eastAsia="lt-LT"/>
              </w:rPr>
            </w:pPr>
            <w:r w:rsidRPr="007B1A20">
              <w:t>ŽIV komb. antikūnai prieš 1 ir 2 tipo žmogaus imunodeficito virusą, p24 antigenas</w:t>
            </w:r>
          </w:p>
        </w:tc>
        <w:tc>
          <w:tcPr>
            <w:tcW w:w="1713" w:type="dxa"/>
            <w:tcBorders>
              <w:top w:val="single" w:sz="4" w:space="0" w:color="auto"/>
              <w:left w:val="single" w:sz="4" w:space="0" w:color="auto"/>
              <w:bottom w:val="single" w:sz="4" w:space="0" w:color="auto"/>
              <w:right w:val="single" w:sz="4" w:space="0" w:color="auto"/>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30</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103.</w:t>
            </w:r>
          </w:p>
        </w:tc>
        <w:tc>
          <w:tcPr>
            <w:tcW w:w="7225" w:type="dxa"/>
            <w:tcBorders>
              <w:top w:val="single" w:sz="4" w:space="0" w:color="auto"/>
              <w:left w:val="single" w:sz="4" w:space="0" w:color="auto"/>
              <w:bottom w:val="single" w:sz="4" w:space="0" w:color="auto"/>
              <w:right w:val="single" w:sz="4" w:space="0" w:color="auto"/>
            </w:tcBorders>
            <w:hideMark/>
          </w:tcPr>
          <w:p w:rsidR="00730C39" w:rsidRDefault="00730C39" w:rsidP="00730C39">
            <w:pPr>
              <w:autoSpaceDE w:val="0"/>
              <w:autoSpaceDN w:val="0"/>
              <w:adjustRightInd w:val="0"/>
              <w:rPr>
                <w:color w:val="000000"/>
                <w:sz w:val="20"/>
                <w:szCs w:val="20"/>
                <w:lang w:eastAsia="lt-LT"/>
              </w:rPr>
            </w:pPr>
            <w:r w:rsidRPr="007B1A20">
              <w:t>HBsAg Kokybinis hepatito B viruso paviršinio antigeno nustatymas</w:t>
            </w:r>
          </w:p>
        </w:tc>
        <w:tc>
          <w:tcPr>
            <w:tcW w:w="1713" w:type="dxa"/>
            <w:tcBorders>
              <w:top w:val="single" w:sz="4" w:space="0" w:color="auto"/>
              <w:left w:val="single" w:sz="4" w:space="0" w:color="auto"/>
              <w:bottom w:val="single" w:sz="4" w:space="0" w:color="auto"/>
              <w:right w:val="single" w:sz="4" w:space="0" w:color="auto"/>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12</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104.</w:t>
            </w:r>
          </w:p>
        </w:tc>
        <w:tc>
          <w:tcPr>
            <w:tcW w:w="7225" w:type="dxa"/>
            <w:tcBorders>
              <w:top w:val="single" w:sz="4" w:space="0" w:color="auto"/>
              <w:left w:val="single" w:sz="4" w:space="0" w:color="auto"/>
              <w:bottom w:val="single" w:sz="4" w:space="0" w:color="auto"/>
              <w:right w:val="single" w:sz="4" w:space="0" w:color="auto"/>
            </w:tcBorders>
            <w:hideMark/>
          </w:tcPr>
          <w:p w:rsidR="00730C39" w:rsidRDefault="00730C39" w:rsidP="00730C39">
            <w:pPr>
              <w:autoSpaceDE w:val="0"/>
              <w:autoSpaceDN w:val="0"/>
              <w:adjustRightInd w:val="0"/>
              <w:rPr>
                <w:color w:val="000000"/>
                <w:sz w:val="20"/>
                <w:szCs w:val="20"/>
                <w:lang w:eastAsia="lt-LT"/>
              </w:rPr>
            </w:pPr>
            <w:r w:rsidRPr="007B1A20">
              <w:t>HBsAb Hepatito B viruso antikūnai prieš paviršiaus antigeną</w:t>
            </w:r>
          </w:p>
        </w:tc>
        <w:tc>
          <w:tcPr>
            <w:tcW w:w="1713" w:type="dxa"/>
            <w:tcBorders>
              <w:top w:val="single" w:sz="4" w:space="0" w:color="auto"/>
              <w:left w:val="single" w:sz="4" w:space="0" w:color="auto"/>
              <w:bottom w:val="single" w:sz="4" w:space="0" w:color="auto"/>
              <w:right w:val="single" w:sz="4" w:space="0" w:color="auto"/>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105.</w:t>
            </w:r>
          </w:p>
        </w:tc>
        <w:tc>
          <w:tcPr>
            <w:tcW w:w="7225" w:type="dxa"/>
            <w:tcBorders>
              <w:top w:val="single" w:sz="4" w:space="0" w:color="auto"/>
              <w:left w:val="single" w:sz="4" w:space="0" w:color="auto"/>
              <w:bottom w:val="single" w:sz="4" w:space="0" w:color="auto"/>
              <w:right w:val="single" w:sz="4" w:space="0" w:color="auto"/>
            </w:tcBorders>
            <w:hideMark/>
          </w:tcPr>
          <w:p w:rsidR="00730C39" w:rsidRDefault="00730C39" w:rsidP="00730C39">
            <w:pPr>
              <w:autoSpaceDE w:val="0"/>
              <w:autoSpaceDN w:val="0"/>
              <w:adjustRightInd w:val="0"/>
              <w:rPr>
                <w:color w:val="000000"/>
                <w:sz w:val="20"/>
                <w:szCs w:val="20"/>
                <w:lang w:eastAsia="lt-LT"/>
              </w:rPr>
            </w:pPr>
            <w:r w:rsidRPr="007B1A20">
              <w:t>aHCV Hepatito C viruso antikūnų nustatymas</w:t>
            </w:r>
          </w:p>
        </w:tc>
        <w:tc>
          <w:tcPr>
            <w:tcW w:w="1713" w:type="dxa"/>
            <w:tcBorders>
              <w:top w:val="single" w:sz="4" w:space="0" w:color="auto"/>
              <w:left w:val="single" w:sz="4" w:space="0" w:color="auto"/>
              <w:bottom w:val="single" w:sz="4" w:space="0" w:color="auto"/>
              <w:right w:val="single" w:sz="4" w:space="0" w:color="auto"/>
            </w:tcBorders>
            <w:shd w:val="clear" w:color="auto" w:fill="FFFFFF"/>
            <w:hideMark/>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250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106.</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aHAV Hepatito A viruso antikūnai</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107.</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Antikūnai IgG prieš Chlamydia pneumoniae</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108.</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Antikūnai IgM prieš Chlamydia pneumoniae</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109.</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Antikūnai IgA prieš B. pertussis toksiną (kokliušas)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110.</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Antikūnai IgG prieš B. pertussis toksiną (kokliušas)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111.</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Antikūnai IgG prieš Mycoplasma pneumoniae</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112.</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Antikūnai IgM prieš Mycoplasma pneumoniae</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113.</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CMV IgG antikūnai prieš citomegalo virusą</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114.</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Toxop-G Antikūnai IgG prieš Toxoplasma gondii</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115.</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Toxop-M Antikūnai IgM prieš Toxoplasma gondii</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116.</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Toxocara canis IgG</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117.</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NT-pro-BNP N-terminalinis B tipo natrio uretinis peptidas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118.</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Neisseria gonorrhoeae DNR (PGR metodu) šlapime</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119.</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ŽPV aukštos rizikos 14 genotipų (16, 18, 31, 33, 35, 39, 45, 51, 52, 56, 58, 59, 66, 68) DNR (PGR metodu) (skysta terpė)</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120.</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Gimdos kaklelio citologinis (PAP) tyrimas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121.</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Gimdos kaklelio citologinis (PAP) tyrimas skystoje terpėje</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122.</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Gimdos kaklelio citologinis (PAP) tyrimas skystoje terpėje (Programa)</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123.</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Lipidograma (CHOL, DTL, TRIG, MTL apskaičiuojamas, ne DTL cholesterolis)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2000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124.</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aRh Rezus antikūnai</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125.</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Lyties organų išskyrų mikroskopija (iš gimdos kaklelio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126.</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IgE Bendro imunoglobulino E koncentracijos nustatymas</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127.</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Šlapimo pasėlis(su antibiotikograma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128.</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Pasėlis iš ausies (su antibiotikograma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129.</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Pasėlis iš gerklės (su antibiotikograma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130.</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Pasėlis iš nosies (su antibiotikograma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5</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131.</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Pasėlis iš nosiaryklės (su antibiotikograma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132.</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Pasėlis iš žaizdos (su antibiotikograma )</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133.</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LPI 6-ių sukėlėjų: Chlamydia trachomatis/Mycoplasma genitalium/Neisseria gonorrhoeae/Trichomonas vaginalis/Mycoplasma hominis/Ureaplasma spp. DNR nustatymas šlapime (PGR metodu)</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134.</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ŽPV aukštos rizikos 14 genotipų (16, 18, 31, 45, 51, 52, 33/58, 56/59/66, 35/39/68) DNR (PGR metodu) (citologinė skysta terpė) (35-59 m. kas 5 metus) (Programa)</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220</w:t>
            </w:r>
          </w:p>
        </w:tc>
      </w:tr>
      <w:tr w:rsidR="00730C39" w:rsidTr="00A430A1">
        <w:tc>
          <w:tcPr>
            <w:tcW w:w="696" w:type="dxa"/>
            <w:tcBorders>
              <w:top w:val="single" w:sz="4" w:space="0" w:color="auto"/>
              <w:left w:val="single" w:sz="4" w:space="0" w:color="auto"/>
              <w:bottom w:val="single" w:sz="4" w:space="0" w:color="auto"/>
              <w:right w:val="single" w:sz="4" w:space="0" w:color="auto"/>
            </w:tcBorders>
          </w:tcPr>
          <w:p w:rsidR="00730C39" w:rsidRDefault="00730C39" w:rsidP="00730C39">
            <w:pPr>
              <w:pStyle w:val="Betarp"/>
              <w:jc w:val="center"/>
              <w:rPr>
                <w:lang w:val="en-US"/>
              </w:rPr>
            </w:pPr>
            <w:r>
              <w:rPr>
                <w:lang w:val="en-US"/>
              </w:rPr>
              <w:t>135.</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Teigiamas šlapimo pasėlis (programa)</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10</w:t>
            </w:r>
          </w:p>
        </w:tc>
      </w:tr>
      <w:tr w:rsidR="00730C39" w:rsidTr="00D75BE6">
        <w:tc>
          <w:tcPr>
            <w:tcW w:w="696" w:type="dxa"/>
            <w:tcBorders>
              <w:top w:val="single" w:sz="4" w:space="0" w:color="auto"/>
              <w:left w:val="single" w:sz="4" w:space="0" w:color="auto"/>
              <w:bottom w:val="single" w:sz="4" w:space="0" w:color="auto"/>
              <w:right w:val="single" w:sz="4" w:space="0" w:color="auto"/>
            </w:tcBorders>
            <w:hideMark/>
          </w:tcPr>
          <w:p w:rsidR="00730C39" w:rsidRDefault="00730C39" w:rsidP="00730C39">
            <w:pPr>
              <w:pStyle w:val="Betarp"/>
              <w:jc w:val="center"/>
              <w:rPr>
                <w:lang w:val="en-US" w:eastAsia="zh-CN" w:bidi="hi-IN"/>
              </w:rPr>
            </w:pPr>
            <w:r>
              <w:rPr>
                <w:lang w:val="en-US"/>
              </w:rPr>
              <w:t>136.</w:t>
            </w:r>
          </w:p>
        </w:tc>
        <w:tc>
          <w:tcPr>
            <w:tcW w:w="7225" w:type="dxa"/>
            <w:tcBorders>
              <w:top w:val="single" w:sz="4" w:space="0" w:color="auto"/>
              <w:left w:val="single" w:sz="4" w:space="0" w:color="auto"/>
              <w:bottom w:val="single" w:sz="4" w:space="0" w:color="auto"/>
              <w:right w:val="single" w:sz="4" w:space="0" w:color="auto"/>
            </w:tcBorders>
          </w:tcPr>
          <w:p w:rsidR="00730C39" w:rsidRDefault="00730C39" w:rsidP="00730C39">
            <w:pPr>
              <w:autoSpaceDE w:val="0"/>
              <w:autoSpaceDN w:val="0"/>
              <w:adjustRightInd w:val="0"/>
              <w:rPr>
                <w:color w:val="000000"/>
                <w:sz w:val="20"/>
                <w:szCs w:val="20"/>
                <w:lang w:eastAsia="lt-LT"/>
              </w:rPr>
            </w:pPr>
            <w:r w:rsidRPr="007B1A20">
              <w:t>Šlapimo pasėlis (programa)</w:t>
            </w:r>
          </w:p>
        </w:tc>
        <w:tc>
          <w:tcPr>
            <w:tcW w:w="1713" w:type="dxa"/>
            <w:tcBorders>
              <w:top w:val="single" w:sz="4" w:space="0" w:color="auto"/>
              <w:left w:val="single" w:sz="4" w:space="0" w:color="auto"/>
              <w:bottom w:val="single" w:sz="4" w:space="0" w:color="auto"/>
              <w:right w:val="single" w:sz="4" w:space="0" w:color="auto"/>
            </w:tcBorders>
            <w:shd w:val="clear" w:color="auto" w:fill="FFFFFF"/>
          </w:tcPr>
          <w:p w:rsidR="00730C39" w:rsidRDefault="00730C39" w:rsidP="00730C39">
            <w:pPr>
              <w:autoSpaceDE w:val="0"/>
              <w:autoSpaceDN w:val="0"/>
              <w:adjustRightInd w:val="0"/>
              <w:jc w:val="right"/>
              <w:rPr>
                <w:rFonts w:ascii="Arial" w:hAnsi="Arial" w:cs="Arial"/>
                <w:color w:val="000000"/>
                <w:sz w:val="20"/>
                <w:szCs w:val="20"/>
                <w:lang w:eastAsia="lt-LT"/>
              </w:rPr>
            </w:pPr>
            <w:r w:rsidRPr="007B1A20">
              <w:t>30</w:t>
            </w:r>
          </w:p>
        </w:tc>
      </w:tr>
    </w:tbl>
    <w:p w:rsidR="009225F0" w:rsidRDefault="009225F0" w:rsidP="009225F0">
      <w:pPr>
        <w:rPr>
          <w:kern w:val="3"/>
          <w:lang w:eastAsia="zh-CN" w:bidi="hi-IN"/>
        </w:rPr>
      </w:pPr>
      <w:bookmarkStart w:id="26" w:name="_Hlk499560598"/>
      <w:bookmarkStart w:id="27" w:name="_Hlk499302437"/>
      <w:bookmarkStart w:id="28" w:name="_Hlk499208840"/>
      <w:bookmarkStart w:id="29" w:name="_Hlk499304027"/>
      <w:bookmarkEnd w:id="23"/>
      <w:r>
        <w:rPr>
          <w:b/>
        </w:rPr>
        <w:t xml:space="preserve">Preliminarus tyrimų kiekis per metus* – </w:t>
      </w:r>
      <w:r>
        <w:t>laboratorinių tyrimų skaičius gali kisti.</w:t>
      </w:r>
    </w:p>
    <w:p w:rsidR="009225F0" w:rsidRDefault="009225F0" w:rsidP="009225F0">
      <w:pPr>
        <w:rPr>
          <w:rFonts w:cs="Arial"/>
        </w:rPr>
      </w:pPr>
    </w:p>
    <w:bookmarkEnd w:id="26"/>
    <w:p w:rsidR="009225F0" w:rsidRDefault="009225F0" w:rsidP="009225F0">
      <w:pPr>
        <w:jc w:val="center"/>
      </w:pPr>
      <w:r>
        <w:t>___________</w:t>
      </w:r>
    </w:p>
    <w:bookmarkEnd w:id="27"/>
    <w:bookmarkEnd w:id="28"/>
    <w:bookmarkEnd w:id="29"/>
    <w:p w:rsidR="00D51851" w:rsidRDefault="00D51851"/>
    <w:sectPr w:rsidR="00D518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141D1"/>
    <w:multiLevelType w:val="multilevel"/>
    <w:tmpl w:val="763C81B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0373877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KxwYAlo3LsiRu7zAMCRpGbeF5tT12zCOYIK58872h7v1AzqRz6nZUn7gIxSoW6VTmRmUzWO0M8NkFw7Y+AaQ==" w:salt="q1d0KoUN6fp6cG2XGwNg9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EA"/>
    <w:rsid w:val="000038EA"/>
    <w:rsid w:val="0005458D"/>
    <w:rsid w:val="000A17D3"/>
    <w:rsid w:val="00140D1E"/>
    <w:rsid w:val="001D5911"/>
    <w:rsid w:val="001E75A4"/>
    <w:rsid w:val="00255CF7"/>
    <w:rsid w:val="00262B84"/>
    <w:rsid w:val="002B6CEE"/>
    <w:rsid w:val="002D35A0"/>
    <w:rsid w:val="00315791"/>
    <w:rsid w:val="0039086D"/>
    <w:rsid w:val="004633C2"/>
    <w:rsid w:val="00491506"/>
    <w:rsid w:val="005043FF"/>
    <w:rsid w:val="005220EA"/>
    <w:rsid w:val="00574EA1"/>
    <w:rsid w:val="00587B57"/>
    <w:rsid w:val="005F2B2C"/>
    <w:rsid w:val="005F40EF"/>
    <w:rsid w:val="00647AE1"/>
    <w:rsid w:val="0066681B"/>
    <w:rsid w:val="006C4CCC"/>
    <w:rsid w:val="006D1EBE"/>
    <w:rsid w:val="00712E79"/>
    <w:rsid w:val="00730C39"/>
    <w:rsid w:val="007629A1"/>
    <w:rsid w:val="007B66F0"/>
    <w:rsid w:val="007C747F"/>
    <w:rsid w:val="007E43FD"/>
    <w:rsid w:val="0083650C"/>
    <w:rsid w:val="00863045"/>
    <w:rsid w:val="009225F0"/>
    <w:rsid w:val="00927D90"/>
    <w:rsid w:val="00973F6D"/>
    <w:rsid w:val="009B201A"/>
    <w:rsid w:val="009E38CC"/>
    <w:rsid w:val="009E4BD6"/>
    <w:rsid w:val="00A26E54"/>
    <w:rsid w:val="00A41A56"/>
    <w:rsid w:val="00A974F4"/>
    <w:rsid w:val="00AF4BF4"/>
    <w:rsid w:val="00B02125"/>
    <w:rsid w:val="00B330A3"/>
    <w:rsid w:val="00B82169"/>
    <w:rsid w:val="00C1170C"/>
    <w:rsid w:val="00CA2B73"/>
    <w:rsid w:val="00CE5ADF"/>
    <w:rsid w:val="00CF2AA3"/>
    <w:rsid w:val="00D5051C"/>
    <w:rsid w:val="00D51851"/>
    <w:rsid w:val="00D75BE6"/>
    <w:rsid w:val="00DB0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E0FD"/>
  <w15:docId w15:val="{12267BCA-F897-4F89-A7DD-D1F7A8838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38E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038EA"/>
    <w:rPr>
      <w:color w:val="0000FF"/>
      <w:u w:val="single"/>
    </w:rPr>
  </w:style>
  <w:style w:type="paragraph" w:styleId="Betarp">
    <w:name w:val="No Spacing"/>
    <w:uiPriority w:val="1"/>
    <w:qFormat/>
    <w:rsid w:val="000038EA"/>
    <w:pPr>
      <w:spacing w:after="0" w:line="240" w:lineRule="auto"/>
    </w:pPr>
    <w:rPr>
      <w:rFonts w:ascii="Times New Roman" w:eastAsia="Times New Roman" w:hAnsi="Times New Roman" w:cs="Times New Roman"/>
      <w:sz w:val="24"/>
      <w:szCs w:val="24"/>
    </w:rPr>
  </w:style>
  <w:style w:type="paragraph" w:customStyle="1" w:styleId="Heading">
    <w:name w:val="Heading"/>
    <w:next w:val="prastasis"/>
    <w:rsid w:val="000038EA"/>
    <w:pPr>
      <w:spacing w:after="0" w:line="240" w:lineRule="auto"/>
      <w:outlineLvl w:val="0"/>
    </w:pPr>
    <w:rPr>
      <w:rFonts w:ascii="Times New Roman" w:eastAsia="Arial Unicode MS" w:hAnsi="Times New Roman" w:cs="Arial Unicode MS"/>
      <w:b/>
      <w:bCs/>
      <w:caps/>
      <w:color w:val="434343"/>
      <w:spacing w:val="4"/>
      <w:lang w:eastAsia="lt-LT"/>
    </w:rPr>
  </w:style>
  <w:style w:type="paragraph" w:customStyle="1" w:styleId="Body2">
    <w:name w:val="Body 2"/>
    <w:rsid w:val="000038E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Default">
    <w:name w:val="Default"/>
    <w:rsid w:val="000038EA"/>
    <w:pPr>
      <w:autoSpaceDE w:val="0"/>
      <w:autoSpaceDN w:val="0"/>
      <w:adjustRightInd w:val="0"/>
      <w:spacing w:after="0" w:line="240" w:lineRule="auto"/>
    </w:pPr>
    <w:rPr>
      <w:rFonts w:ascii="Times New Roman" w:eastAsia="Arial Unicode MS" w:hAnsi="Times New Roman" w:cs="Times New Roman"/>
      <w:color w:val="000000"/>
      <w:sz w:val="24"/>
      <w:szCs w:val="24"/>
      <w:lang w:eastAsia="lt-LT"/>
    </w:rPr>
  </w:style>
  <w:style w:type="paragraph" w:customStyle="1" w:styleId="Pagrindinistekstas2">
    <w:name w:val="Pagrindinis tekstas2"/>
    <w:basedOn w:val="prastasis"/>
    <w:rsid w:val="000038EA"/>
    <w:pPr>
      <w:suppressAutoHyphens/>
      <w:autoSpaceDE w:val="0"/>
      <w:autoSpaceDN w:val="0"/>
      <w:adjustRightInd w:val="0"/>
      <w:spacing w:line="292" w:lineRule="auto"/>
      <w:ind w:firstLine="312"/>
      <w:jc w:val="both"/>
    </w:pPr>
    <w:rPr>
      <w:color w:val="000000"/>
      <w:sz w:val="20"/>
      <w:szCs w:val="20"/>
    </w:rPr>
  </w:style>
  <w:style w:type="paragraph" w:styleId="Debesliotekstas">
    <w:name w:val="Balloon Text"/>
    <w:basedOn w:val="prastasis"/>
    <w:link w:val="DebesliotekstasDiagrama"/>
    <w:uiPriority w:val="99"/>
    <w:semiHidden/>
    <w:unhideWhenUsed/>
    <w:rsid w:val="00CA2B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2B73"/>
    <w:rPr>
      <w:rFonts w:ascii="Tahoma" w:eastAsia="Times New Roman" w:hAnsi="Tahoma" w:cs="Tahoma"/>
      <w:sz w:val="16"/>
      <w:szCs w:val="16"/>
    </w:rPr>
  </w:style>
  <w:style w:type="character" w:styleId="Neapdorotaspaminjimas">
    <w:name w:val="Unresolved Mention"/>
    <w:basedOn w:val="Numatytasispastraiposriftas"/>
    <w:uiPriority w:val="99"/>
    <w:semiHidden/>
    <w:unhideWhenUsed/>
    <w:rsid w:val="007B66F0"/>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
    <w:basedOn w:val="prastasis"/>
    <w:link w:val="SraopastraipaDiagrama"/>
    <w:uiPriority w:val="34"/>
    <w:qFormat/>
    <w:rsid w:val="00647AE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locked/>
    <w:rsid w:val="00647AE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staneviciene@anteja.lt" TargetMode="External"/><Relationship Id="rId13" Type="http://schemas.openxmlformats.org/officeDocument/2006/relationships/hyperlink" Target="mailto:vilma.staneviciene@anteja.l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dministracija@antej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veikatoscentras@kssc.lt" TargetMode="External"/><Relationship Id="rId4" Type="http://schemas.openxmlformats.org/officeDocument/2006/relationships/settings" Target="settings.xml"/><Relationship Id="rId9" Type="http://schemas.openxmlformats.org/officeDocument/2006/relationships/hyperlink" Target="mailto:sveikatoscentras@kss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DA389-8141-4203-A847-C913588E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25761</Words>
  <Characters>14685</Characters>
  <Application>Microsoft Office Word</Application>
  <DocSecurity>8</DocSecurity>
  <Lines>122</Lines>
  <Paragraphs>80</Paragraphs>
  <ScaleCrop>false</ScaleCrop>
  <Company/>
  <LinksUpToDate>false</LinksUpToDate>
  <CharactersWithSpaces>40366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M.Rubinas</dc:creator>
  <cp:lastModifiedBy>M. Rubinas</cp:lastModifiedBy>
  <cp:revision>1</cp:revision>
  <dcterms:created xsi:type="dcterms:W3CDTF">2025-04-10T06:38:00Z</dcterms:created>
  <dcterms:modified xsi:type="dcterms:W3CDTF">2025-04-10T06:38:00Z</dcterms:modified>
</cp:coreProperties>
</file>