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3F0BCC0E"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34</w:t>
          </w:r>
          <w:r w:rsidR="007276C4">
            <w:rPr>
              <w:b/>
              <w:bCs/>
            </w:rPr>
            <w:t>7</w:t>
          </w:r>
          <w:r w:rsidR="00C30D92">
            <w:rPr>
              <w:b/>
              <w:bCs/>
            </w:rPr>
            <w:t>5</w:t>
          </w:r>
          <w:r w:rsidR="00D26732" w:rsidRPr="00D26732">
            <w:rPr>
              <w:b/>
              <w:bCs/>
            </w:rPr>
            <w:t>/25</w:t>
          </w:r>
          <w:bookmarkEnd w:id="3"/>
          <w:r w:rsidR="00D26732" w:rsidRPr="00D26732">
            <w:rPr>
              <w:b/>
              <w:bCs/>
            </w:rPr>
            <w:t xml:space="preserve">) </w:t>
          </w:r>
          <w:bookmarkStart w:id="4" w:name="_Hlk193450304"/>
          <w:r w:rsidR="007276C4" w:rsidRPr="007276C4">
            <w:rPr>
              <w:b/>
            </w:rPr>
            <w:t>VL8141 VILNIAUS R. SAV., BEZDONIŲ SEN., SKERSABALIŲ GLŽ. ST.</w:t>
          </w:r>
          <w:bookmarkEnd w:id="4"/>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5" w:name="_Hlk100641788" w:displacedByCustomXml="next"/>
      </w:sdtContent>
    </w:sdt>
    <w:bookmarkEnd w:id="0" w:displacedByCustomXml="prev"/>
    <w:bookmarkEnd w:id="5"/>
    <w:bookmarkEnd w:id="1"/>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55294F42"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7276C4" w:rsidRPr="007276C4">
        <w:rPr>
          <w:rFonts w:ascii="Times New Roman" w:hAnsi="Times New Roman" w:cs="Times New Roman"/>
          <w:lang w:val="lt-LT"/>
        </w:rPr>
        <w:t xml:space="preserve">VL8141 </w:t>
      </w:r>
      <w:proofErr w:type="spellStart"/>
      <w:r w:rsidR="007276C4" w:rsidRPr="007276C4">
        <w:rPr>
          <w:rFonts w:ascii="Times New Roman" w:hAnsi="Times New Roman" w:cs="Times New Roman"/>
          <w:lang w:val="lt-LT"/>
        </w:rPr>
        <w:t>Skersabalių</w:t>
      </w:r>
      <w:proofErr w:type="spellEnd"/>
      <w:r w:rsidR="007276C4" w:rsidRPr="007276C4">
        <w:rPr>
          <w:rFonts w:ascii="Times New Roman" w:hAnsi="Times New Roman" w:cs="Times New Roman"/>
          <w:lang w:val="lt-LT"/>
        </w:rPr>
        <w:t xml:space="preserve"> g., </w:t>
      </w:r>
      <w:proofErr w:type="spellStart"/>
      <w:r w:rsidR="007276C4" w:rsidRPr="007276C4">
        <w:rPr>
          <w:rFonts w:ascii="Times New Roman" w:hAnsi="Times New Roman" w:cs="Times New Roman"/>
          <w:lang w:val="lt-LT"/>
        </w:rPr>
        <w:t>Skersabalių</w:t>
      </w:r>
      <w:proofErr w:type="spellEnd"/>
      <w:r w:rsidR="007276C4" w:rsidRPr="007276C4">
        <w:rPr>
          <w:rFonts w:ascii="Times New Roman" w:hAnsi="Times New Roman" w:cs="Times New Roman"/>
          <w:lang w:val="lt-LT"/>
        </w:rPr>
        <w:t xml:space="preserve"> </w:t>
      </w:r>
      <w:proofErr w:type="spellStart"/>
      <w:r w:rsidR="007276C4" w:rsidRPr="007276C4">
        <w:rPr>
          <w:rFonts w:ascii="Times New Roman" w:hAnsi="Times New Roman" w:cs="Times New Roman"/>
          <w:lang w:val="lt-LT"/>
        </w:rPr>
        <w:t>glž</w:t>
      </w:r>
      <w:proofErr w:type="spellEnd"/>
      <w:r w:rsidR="007276C4" w:rsidRPr="007276C4">
        <w:rPr>
          <w:rFonts w:ascii="Times New Roman" w:hAnsi="Times New Roman" w:cs="Times New Roman"/>
          <w:lang w:val="lt-LT"/>
        </w:rPr>
        <w:t xml:space="preserve">. st., (A/b dangos įrengimas: ilgis - 180 m, plotis 3,5 m,  kelkraščiai nuo - 0,25 m ) </w:t>
      </w:r>
      <w:r w:rsidR="00AA2E1F" w:rsidRPr="00AA2E1F">
        <w:rPr>
          <w:rFonts w:ascii="Times New Roman" w:hAnsi="Times New Roman" w:cs="Times New Roman"/>
          <w:lang w:val="lt-LT"/>
        </w:rPr>
        <w:t xml:space="preserve">kapitalinio remonto projektas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6"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6"/>
    <w:p w14:paraId="10E4C914" w14:textId="2B78319B"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bookmarkStart w:id="7" w:name="_Hlk193450323"/>
      <w:r w:rsidR="007276C4" w:rsidRPr="007276C4">
        <w:rPr>
          <w:rFonts w:ascii="Times New Roman" w:hAnsi="Times New Roman" w:cs="Times New Roman"/>
          <w:lang w:val="lt-LT"/>
        </w:rPr>
        <w:t xml:space="preserve">VL8141 </w:t>
      </w:r>
      <w:proofErr w:type="spellStart"/>
      <w:r w:rsidR="007276C4" w:rsidRPr="007276C4">
        <w:rPr>
          <w:rFonts w:ascii="Times New Roman" w:hAnsi="Times New Roman" w:cs="Times New Roman"/>
          <w:lang w:val="lt-LT"/>
        </w:rPr>
        <w:t>Skersabalių</w:t>
      </w:r>
      <w:proofErr w:type="spellEnd"/>
      <w:r w:rsidR="007276C4" w:rsidRPr="007276C4">
        <w:rPr>
          <w:rFonts w:ascii="Times New Roman" w:hAnsi="Times New Roman" w:cs="Times New Roman"/>
          <w:lang w:val="lt-LT"/>
        </w:rPr>
        <w:t xml:space="preserve"> g., </w:t>
      </w:r>
      <w:proofErr w:type="spellStart"/>
      <w:r w:rsidR="007276C4" w:rsidRPr="007276C4">
        <w:rPr>
          <w:rFonts w:ascii="Times New Roman" w:hAnsi="Times New Roman" w:cs="Times New Roman"/>
          <w:lang w:val="lt-LT"/>
        </w:rPr>
        <w:t>Skersabalių</w:t>
      </w:r>
      <w:proofErr w:type="spellEnd"/>
      <w:r w:rsidR="007276C4" w:rsidRPr="007276C4">
        <w:rPr>
          <w:rFonts w:ascii="Times New Roman" w:hAnsi="Times New Roman" w:cs="Times New Roman"/>
          <w:lang w:val="lt-LT"/>
        </w:rPr>
        <w:t xml:space="preserve"> </w:t>
      </w:r>
      <w:proofErr w:type="spellStart"/>
      <w:r w:rsidR="007276C4" w:rsidRPr="007276C4">
        <w:rPr>
          <w:rFonts w:ascii="Times New Roman" w:hAnsi="Times New Roman" w:cs="Times New Roman"/>
          <w:lang w:val="lt-LT"/>
        </w:rPr>
        <w:t>glž</w:t>
      </w:r>
      <w:proofErr w:type="spellEnd"/>
      <w:r w:rsidR="007276C4" w:rsidRPr="007276C4">
        <w:rPr>
          <w:rFonts w:ascii="Times New Roman" w:hAnsi="Times New Roman" w:cs="Times New Roman"/>
          <w:lang w:val="lt-LT"/>
        </w:rPr>
        <w:t>. st.</w:t>
      </w:r>
      <w:bookmarkEnd w:id="7"/>
      <w:r w:rsidR="007276C4" w:rsidRPr="007276C4">
        <w:rPr>
          <w:rFonts w:ascii="Times New Roman" w:hAnsi="Times New Roman" w:cs="Times New Roman"/>
          <w:lang w:val="lt-LT"/>
        </w:rPr>
        <w:t xml:space="preserve">, (A/b dangos įrengimas: ilgis - 180 m, plotis 3,5 m,  kelkraščiai nuo - 0,25 m ) </w:t>
      </w:r>
      <w:r w:rsidR="00C30D92">
        <w:rPr>
          <w:rFonts w:ascii="Times New Roman" w:hAnsi="Times New Roman" w:cs="Times New Roman"/>
          <w:lang w:val="lt-LT"/>
        </w:rPr>
        <w:t xml:space="preserve"> </w:t>
      </w:r>
      <w:r w:rsidR="00EB59B3" w:rsidRPr="00EB59B3">
        <w:rPr>
          <w:rFonts w:ascii="Times New Roman" w:hAnsi="Times New Roman" w:cs="Times New Roman"/>
          <w:lang w:val="lt-LT"/>
        </w:rPr>
        <w:t>kapitalinio remonto projektas</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10CE68E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8501FC">
        <w:rPr>
          <w:rFonts w:ascii="Times New Roman" w:hAnsi="Times New Roman" w:cs="Times New Roman"/>
          <w:lang w:val="lt-LT"/>
        </w:rPr>
        <w:t>2</w:t>
      </w:r>
      <w:r w:rsidR="00E723F4">
        <w:rPr>
          <w:rFonts w:ascii="Times New Roman" w:hAnsi="Times New Roman" w:cs="Times New Roman"/>
          <w:lang w:val="lt-LT"/>
        </w:rPr>
        <w:t>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8"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8"/>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9"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9"/>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F3AE3"/>
    <w:rsid w:val="00344890"/>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4794</Words>
  <Characters>2734</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11</cp:revision>
  <cp:lastPrinted>2021-04-26T11:38:00Z</cp:lastPrinted>
  <dcterms:created xsi:type="dcterms:W3CDTF">2025-02-19T07:05:00Z</dcterms:created>
  <dcterms:modified xsi:type="dcterms:W3CDTF">2025-03-21T09:53:00Z</dcterms:modified>
</cp:coreProperties>
</file>