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C452" w14:textId="0710BDD7" w:rsidR="00662DA6" w:rsidRPr="007510C5" w:rsidRDefault="00662DA6">
      <w:pPr>
        <w:pStyle w:val="Title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 xml:space="preserve">PIRKIMO-PARDAVIMO SUTARTIS </w:t>
      </w:r>
    </w:p>
    <w:p w14:paraId="050C376A" w14:textId="77777777" w:rsidR="00662DA6" w:rsidRPr="007510C5" w:rsidRDefault="00662DA6">
      <w:pPr>
        <w:jc w:val="center"/>
        <w:rPr>
          <w:i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662DA6" w:rsidRPr="007510C5" w14:paraId="4F65028E" w14:textId="77777777">
        <w:tc>
          <w:tcPr>
            <w:tcW w:w="5210" w:type="dxa"/>
          </w:tcPr>
          <w:p w14:paraId="40B684C5" w14:textId="77777777" w:rsidR="00662DA6" w:rsidRPr="007510C5" w:rsidRDefault="00662DA6">
            <w:pPr>
              <w:rPr>
                <w:b/>
                <w:i/>
                <w:sz w:val="22"/>
                <w:szCs w:val="22"/>
              </w:rPr>
            </w:pPr>
            <w:r w:rsidRPr="007510C5">
              <w:rPr>
                <w:b/>
                <w:i/>
                <w:sz w:val="22"/>
                <w:szCs w:val="22"/>
              </w:rPr>
              <w:t>Vilnius</w:t>
            </w:r>
          </w:p>
        </w:tc>
        <w:tc>
          <w:tcPr>
            <w:tcW w:w="5210" w:type="dxa"/>
          </w:tcPr>
          <w:p w14:paraId="35105A4D" w14:textId="681D7809" w:rsidR="00662DA6" w:rsidRPr="007510C5" w:rsidRDefault="00BE2B0F">
            <w:pPr>
              <w:jc w:val="right"/>
              <w:rPr>
                <w:b/>
                <w:i/>
                <w:sz w:val="22"/>
                <w:szCs w:val="22"/>
              </w:rPr>
            </w:pPr>
            <w:r w:rsidRPr="007510C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14:paraId="711FDF78" w14:textId="77777777" w:rsidR="00662DA6" w:rsidRPr="007510C5" w:rsidRDefault="00662DA6">
      <w:pPr>
        <w:rPr>
          <w:sz w:val="22"/>
          <w:szCs w:val="22"/>
        </w:rPr>
      </w:pPr>
    </w:p>
    <w:p w14:paraId="6ECCEF49" w14:textId="3E55682B" w:rsidR="00662DA6" w:rsidRPr="0067030A" w:rsidRDefault="00662DA6" w:rsidP="002365AB">
      <w:pPr>
        <w:jc w:val="both"/>
      </w:pPr>
      <w:r w:rsidRPr="0067030A">
        <w:t>UAB „</w:t>
      </w:r>
      <w:r w:rsidR="00BE2B0F" w:rsidRPr="0067030A">
        <w:t>Eit Sprendimai</w:t>
      </w:r>
      <w:r w:rsidRPr="0067030A">
        <w:t xml:space="preserve">“, atstovaujama </w:t>
      </w:r>
      <w:r w:rsidR="0004423F" w:rsidRPr="0067030A">
        <w:t>generalinės direktorės Daivos Šmakovienės</w:t>
      </w:r>
      <w:r w:rsidRPr="0067030A">
        <w:t xml:space="preserve">, toliau vadinama PARDAVĖJU, ir </w:t>
      </w:r>
      <w:r w:rsidR="00AD3929">
        <w:t>Radiacinės saugos centras</w:t>
      </w:r>
      <w:r w:rsidR="00D7105F">
        <w:t>,</w:t>
      </w:r>
      <w:r w:rsidRPr="0067030A">
        <w:t xml:space="preserve"> atstovaujama </w:t>
      </w:r>
      <w:r w:rsidR="004706F6" w:rsidRPr="0067030A">
        <w:t>direktor</w:t>
      </w:r>
      <w:r w:rsidR="00834DD9" w:rsidRPr="0067030A">
        <w:t xml:space="preserve">iaus </w:t>
      </w:r>
      <w:r w:rsidR="00212F08" w:rsidRPr="00420CB4">
        <w:t>Ernesto Jasaičio</w:t>
      </w:r>
      <w:r w:rsidRPr="0067030A">
        <w:t>, toliau vadinama</w:t>
      </w:r>
      <w:r w:rsidR="008B1A4F">
        <w:t>s</w:t>
      </w:r>
      <w:r w:rsidRPr="0067030A">
        <w:t xml:space="preserve"> PIRKĖJU, sudarėme šią sutartį:</w:t>
      </w:r>
    </w:p>
    <w:p w14:paraId="4704A48D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182997C2" w14:textId="77777777" w:rsidR="00662DA6" w:rsidRPr="007510C5" w:rsidRDefault="00662DA6">
      <w:pPr>
        <w:pStyle w:val="List"/>
        <w:numPr>
          <w:ilvl w:val="0"/>
          <w:numId w:val="5"/>
        </w:numPr>
        <w:ind w:left="0" w:firstLine="0"/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SUTARTIES OBJEKTAS</w:t>
      </w:r>
    </w:p>
    <w:p w14:paraId="0EAF9B7C" w14:textId="47F1EB47" w:rsidR="00662DA6" w:rsidRPr="007510C5" w:rsidRDefault="00662DA6">
      <w:pPr>
        <w:pStyle w:val="List2"/>
        <w:numPr>
          <w:ilvl w:val="1"/>
          <w:numId w:val="9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Pardavėjas pateikia </w:t>
      </w:r>
      <w:r w:rsidR="00212F08">
        <w:rPr>
          <w:sz w:val="22"/>
          <w:szCs w:val="22"/>
          <w:lang w:val="lt-LT"/>
        </w:rPr>
        <w:t xml:space="preserve">ir įdeigia </w:t>
      </w:r>
      <w:r w:rsidRPr="007510C5">
        <w:rPr>
          <w:sz w:val="22"/>
          <w:szCs w:val="22"/>
          <w:lang w:val="lt-LT"/>
        </w:rPr>
        <w:t>ryšių įrangą, toliau vadinama Įranga, išvardintą Specifikacijoje Nr. 1, o Pirkėjas priima ir sumoka už Įrangą.</w:t>
      </w:r>
    </w:p>
    <w:p w14:paraId="01ECABC2" w14:textId="77777777" w:rsidR="00662DA6" w:rsidRPr="007510C5" w:rsidRDefault="00662DA6">
      <w:pPr>
        <w:pStyle w:val="BodyText2"/>
        <w:rPr>
          <w:b/>
          <w:sz w:val="22"/>
          <w:szCs w:val="22"/>
          <w:lang w:val="lt-LT"/>
        </w:rPr>
      </w:pPr>
    </w:p>
    <w:p w14:paraId="6F85DE6E" w14:textId="77777777" w:rsidR="00662DA6" w:rsidRPr="007510C5" w:rsidRDefault="00662DA6">
      <w:pPr>
        <w:pStyle w:val="List"/>
        <w:numPr>
          <w:ilvl w:val="0"/>
          <w:numId w:val="5"/>
        </w:numPr>
        <w:ind w:left="0" w:firstLine="0"/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SUTARTIES KAINA IR MOKĖJIMO SĄLYGOS</w:t>
      </w:r>
    </w:p>
    <w:p w14:paraId="7DB32190" w14:textId="2B98214A" w:rsidR="00662DA6" w:rsidRPr="007510C5" w:rsidRDefault="00662DA6">
      <w:pPr>
        <w:pStyle w:val="List2"/>
        <w:numPr>
          <w:ilvl w:val="1"/>
          <w:numId w:val="11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Pagal šią sutartį pateikiamos Įrangos kaina yra </w:t>
      </w:r>
      <w:r w:rsidR="009D41EA" w:rsidRPr="00420CB4">
        <w:rPr>
          <w:b/>
          <w:bCs/>
          <w:color w:val="000000"/>
          <w:sz w:val="22"/>
          <w:szCs w:val="22"/>
          <w:lang w:val="lt-LT"/>
        </w:rPr>
        <w:t>9725,98</w:t>
      </w:r>
      <w:r w:rsidR="008B1A4F">
        <w:rPr>
          <w:b/>
          <w:bCs/>
          <w:sz w:val="22"/>
          <w:szCs w:val="22"/>
          <w:lang w:val="lt-LT"/>
        </w:rPr>
        <w:t xml:space="preserve"> </w:t>
      </w:r>
      <w:r w:rsidR="0004423F">
        <w:rPr>
          <w:sz w:val="22"/>
          <w:szCs w:val="22"/>
          <w:lang w:val="lt-LT"/>
        </w:rPr>
        <w:t>EUR</w:t>
      </w:r>
      <w:r w:rsidR="0004423F" w:rsidRPr="007510C5">
        <w:rPr>
          <w:sz w:val="22"/>
          <w:szCs w:val="22"/>
          <w:lang w:val="lt-LT"/>
        </w:rPr>
        <w:t xml:space="preserve"> </w:t>
      </w:r>
      <w:r w:rsidR="003B41D0">
        <w:rPr>
          <w:sz w:val="22"/>
          <w:szCs w:val="22"/>
          <w:lang w:val="lt-LT"/>
        </w:rPr>
        <w:t>(</w:t>
      </w:r>
      <w:r w:rsidR="009D41EA">
        <w:rPr>
          <w:sz w:val="22"/>
          <w:szCs w:val="22"/>
          <w:lang w:val="lt-LT"/>
        </w:rPr>
        <w:t>devyni</w:t>
      </w:r>
      <w:r w:rsidR="00072CF6">
        <w:rPr>
          <w:sz w:val="22"/>
          <w:szCs w:val="22"/>
          <w:lang w:val="lt-LT"/>
        </w:rPr>
        <w:t xml:space="preserve"> </w:t>
      </w:r>
      <w:r w:rsidR="00944C1C" w:rsidRPr="007510C5">
        <w:rPr>
          <w:sz w:val="22"/>
          <w:szCs w:val="22"/>
          <w:lang w:val="lt-LT"/>
        </w:rPr>
        <w:t>tūkstanči</w:t>
      </w:r>
      <w:r w:rsidR="00944C1C">
        <w:rPr>
          <w:sz w:val="22"/>
          <w:szCs w:val="22"/>
          <w:lang w:val="lt-LT"/>
        </w:rPr>
        <w:t>ai</w:t>
      </w:r>
      <w:r w:rsidR="00944C1C" w:rsidRPr="007510C5">
        <w:rPr>
          <w:sz w:val="22"/>
          <w:szCs w:val="22"/>
          <w:lang w:val="lt-LT"/>
        </w:rPr>
        <w:t xml:space="preserve"> </w:t>
      </w:r>
      <w:r w:rsidR="009D41EA">
        <w:rPr>
          <w:sz w:val="22"/>
          <w:szCs w:val="22"/>
          <w:lang w:val="lt-LT"/>
        </w:rPr>
        <w:t>septyni</w:t>
      </w:r>
      <w:r w:rsidR="00944C1C" w:rsidRPr="007510C5">
        <w:rPr>
          <w:sz w:val="22"/>
          <w:szCs w:val="22"/>
          <w:lang w:val="lt-LT"/>
        </w:rPr>
        <w:t xml:space="preserve"> </w:t>
      </w:r>
      <w:r w:rsidR="00A37579" w:rsidRPr="007510C5">
        <w:rPr>
          <w:sz w:val="22"/>
          <w:szCs w:val="22"/>
          <w:lang w:val="lt-LT"/>
        </w:rPr>
        <w:t>šimta</w:t>
      </w:r>
      <w:r w:rsidR="00072CF6">
        <w:rPr>
          <w:sz w:val="22"/>
          <w:szCs w:val="22"/>
          <w:lang w:val="lt-LT"/>
        </w:rPr>
        <w:t>i</w:t>
      </w:r>
      <w:r w:rsidR="00A37579" w:rsidRPr="007510C5">
        <w:rPr>
          <w:sz w:val="22"/>
          <w:szCs w:val="22"/>
          <w:lang w:val="lt-LT"/>
        </w:rPr>
        <w:t xml:space="preserve"> </w:t>
      </w:r>
      <w:r w:rsidR="009D41EA">
        <w:rPr>
          <w:sz w:val="22"/>
          <w:szCs w:val="22"/>
          <w:lang w:val="lt-LT"/>
        </w:rPr>
        <w:t>dvidešimt penki</w:t>
      </w:r>
      <w:r w:rsidR="00944C1C">
        <w:rPr>
          <w:sz w:val="22"/>
          <w:szCs w:val="22"/>
          <w:lang w:val="lt-LT"/>
        </w:rPr>
        <w:t xml:space="preserve"> </w:t>
      </w:r>
      <w:r w:rsidR="0004423F">
        <w:rPr>
          <w:sz w:val="22"/>
          <w:szCs w:val="22"/>
          <w:lang w:val="lt-LT"/>
        </w:rPr>
        <w:t>eur</w:t>
      </w:r>
      <w:r w:rsidR="009D41EA">
        <w:rPr>
          <w:sz w:val="22"/>
          <w:szCs w:val="22"/>
          <w:lang w:val="lt-LT"/>
        </w:rPr>
        <w:t>ai</w:t>
      </w:r>
      <w:r w:rsidR="00944C1C">
        <w:rPr>
          <w:sz w:val="22"/>
          <w:szCs w:val="22"/>
          <w:lang w:val="lt-LT"/>
        </w:rPr>
        <w:t xml:space="preserve"> ir </w:t>
      </w:r>
      <w:r w:rsidR="009D41EA">
        <w:rPr>
          <w:sz w:val="22"/>
          <w:szCs w:val="22"/>
          <w:lang w:val="lt-LT"/>
        </w:rPr>
        <w:t>98</w:t>
      </w:r>
      <w:r w:rsidR="008B1A4F">
        <w:rPr>
          <w:sz w:val="22"/>
          <w:szCs w:val="22"/>
          <w:lang w:val="lt-LT"/>
        </w:rPr>
        <w:t xml:space="preserve"> </w:t>
      </w:r>
      <w:r w:rsidR="00944C1C">
        <w:rPr>
          <w:sz w:val="22"/>
          <w:szCs w:val="22"/>
          <w:lang w:val="lt-LT"/>
        </w:rPr>
        <w:t>ct.</w:t>
      </w:r>
      <w:r w:rsidR="00072CF6">
        <w:rPr>
          <w:sz w:val="22"/>
          <w:szCs w:val="22"/>
          <w:lang w:val="lt-LT"/>
        </w:rPr>
        <w:t xml:space="preserve">) </w:t>
      </w:r>
      <w:r w:rsidRPr="007510C5">
        <w:rPr>
          <w:sz w:val="22"/>
          <w:szCs w:val="22"/>
          <w:lang w:val="lt-LT"/>
        </w:rPr>
        <w:t xml:space="preserve">įskaitant 21% PVM, kuris sudaro </w:t>
      </w:r>
      <w:r w:rsidR="00F360BB" w:rsidRPr="00420CB4">
        <w:rPr>
          <w:color w:val="000000"/>
          <w:sz w:val="22"/>
          <w:szCs w:val="22"/>
          <w:lang w:val="lt-LT"/>
        </w:rPr>
        <w:t>1687,98</w:t>
      </w:r>
      <w:r w:rsidR="008B1A4F">
        <w:rPr>
          <w:b/>
          <w:bCs/>
          <w:sz w:val="22"/>
          <w:szCs w:val="22"/>
          <w:lang w:val="lt-LT"/>
        </w:rPr>
        <w:t xml:space="preserve"> </w:t>
      </w:r>
      <w:r w:rsidR="0004423F">
        <w:rPr>
          <w:sz w:val="22"/>
          <w:szCs w:val="22"/>
          <w:lang w:val="lt-LT"/>
        </w:rPr>
        <w:t>EUR</w:t>
      </w:r>
      <w:r w:rsidRPr="007510C5">
        <w:rPr>
          <w:sz w:val="22"/>
          <w:szCs w:val="22"/>
          <w:lang w:val="lt-LT"/>
        </w:rPr>
        <w:t>.</w:t>
      </w:r>
    </w:p>
    <w:p w14:paraId="5C1B8EF7" w14:textId="2A300500" w:rsidR="00072CF6" w:rsidRDefault="00662DA6">
      <w:pPr>
        <w:pStyle w:val="List2"/>
        <w:numPr>
          <w:ilvl w:val="1"/>
          <w:numId w:val="15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 Pirkėjas už pateiktą Įrangą sumoka </w:t>
      </w:r>
      <w:r w:rsidR="00944C1C">
        <w:rPr>
          <w:sz w:val="22"/>
          <w:szCs w:val="22"/>
          <w:lang w:val="lt-LT"/>
        </w:rPr>
        <w:t xml:space="preserve">per </w:t>
      </w:r>
      <w:r w:rsidR="001809BB">
        <w:rPr>
          <w:sz w:val="22"/>
          <w:szCs w:val="22"/>
          <w:lang w:val="lt-LT"/>
        </w:rPr>
        <w:t>20</w:t>
      </w:r>
      <w:r w:rsidR="00944C1C">
        <w:rPr>
          <w:sz w:val="22"/>
          <w:szCs w:val="22"/>
          <w:lang w:val="lt-LT"/>
        </w:rPr>
        <w:t xml:space="preserve"> kalendorin</w:t>
      </w:r>
      <w:r w:rsidR="001809BB">
        <w:rPr>
          <w:sz w:val="22"/>
          <w:szCs w:val="22"/>
          <w:lang w:val="lt-LT"/>
        </w:rPr>
        <w:t>ių</w:t>
      </w:r>
      <w:r w:rsidR="00944C1C">
        <w:rPr>
          <w:sz w:val="22"/>
          <w:szCs w:val="22"/>
          <w:lang w:val="lt-LT"/>
        </w:rPr>
        <w:t xml:space="preserve"> dien</w:t>
      </w:r>
      <w:r w:rsidR="001809BB">
        <w:rPr>
          <w:sz w:val="22"/>
          <w:szCs w:val="22"/>
          <w:lang w:val="lt-LT"/>
        </w:rPr>
        <w:t>ų</w:t>
      </w:r>
      <w:r w:rsidR="00944C1C">
        <w:rPr>
          <w:sz w:val="22"/>
          <w:szCs w:val="22"/>
          <w:lang w:val="lt-LT"/>
        </w:rPr>
        <w:t xml:space="preserve"> nuo sąskaitos faktūros p</w:t>
      </w:r>
      <w:r w:rsidR="00F360BB">
        <w:rPr>
          <w:sz w:val="22"/>
          <w:szCs w:val="22"/>
          <w:lang w:val="lt-LT"/>
        </w:rPr>
        <w:t>ateikimo</w:t>
      </w:r>
      <w:r w:rsidR="00944C1C">
        <w:rPr>
          <w:sz w:val="22"/>
          <w:szCs w:val="22"/>
          <w:lang w:val="lt-LT"/>
        </w:rPr>
        <w:t xml:space="preserve"> datos.</w:t>
      </w:r>
    </w:p>
    <w:p w14:paraId="28488B19" w14:textId="77777777" w:rsidR="00662DA6" w:rsidRPr="007510C5" w:rsidRDefault="00662DA6">
      <w:pPr>
        <w:pStyle w:val="List2"/>
        <w:ind w:left="0" w:firstLine="0"/>
        <w:jc w:val="both"/>
        <w:rPr>
          <w:sz w:val="22"/>
          <w:szCs w:val="22"/>
          <w:lang w:val="lt-LT"/>
        </w:rPr>
      </w:pPr>
    </w:p>
    <w:p w14:paraId="020D111B" w14:textId="77777777" w:rsidR="00662DA6" w:rsidRPr="007510C5" w:rsidRDefault="00662DA6">
      <w:pPr>
        <w:pStyle w:val="List"/>
        <w:numPr>
          <w:ilvl w:val="0"/>
          <w:numId w:val="10"/>
        </w:numPr>
        <w:jc w:val="both"/>
        <w:rPr>
          <w:b/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 </w:t>
      </w:r>
      <w:r w:rsidRPr="007510C5">
        <w:rPr>
          <w:b/>
          <w:sz w:val="22"/>
          <w:szCs w:val="22"/>
          <w:lang w:val="lt-LT"/>
        </w:rPr>
        <w:t>PAGRINDINIAI SUTARTIES ŠALIŲ ĮSIPAREIGOJIMAI</w:t>
      </w:r>
    </w:p>
    <w:p w14:paraId="4A55F62D" w14:textId="77777777" w:rsidR="00662DA6" w:rsidRPr="007510C5" w:rsidRDefault="00662DA6" w:rsidP="00C465C3">
      <w:pPr>
        <w:pStyle w:val="List2"/>
        <w:numPr>
          <w:ilvl w:val="1"/>
          <w:numId w:val="10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PARDAVĖJAS įsipareigoja:</w:t>
      </w:r>
    </w:p>
    <w:p w14:paraId="5ED1ED1F" w14:textId="5D8EC0C3" w:rsidR="00662DA6" w:rsidRPr="00212F08" w:rsidRDefault="0067030A" w:rsidP="00C465C3">
      <w:pPr>
        <w:jc w:val="both"/>
        <w:rPr>
          <w:sz w:val="22"/>
          <w:szCs w:val="22"/>
        </w:rPr>
      </w:pPr>
      <w:r w:rsidRPr="00212F08">
        <w:rPr>
          <w:sz w:val="22"/>
          <w:szCs w:val="22"/>
        </w:rPr>
        <w:t xml:space="preserve">Pateikti Specifikacijoje Nr. 1 išvardintą įrangą </w:t>
      </w:r>
      <w:r w:rsidR="00212F08" w:rsidRPr="00212F08">
        <w:rPr>
          <w:sz w:val="22"/>
          <w:szCs w:val="22"/>
        </w:rPr>
        <w:t xml:space="preserve">ir įdiegti </w:t>
      </w:r>
      <w:r w:rsidRPr="00212F08">
        <w:rPr>
          <w:sz w:val="22"/>
          <w:szCs w:val="22"/>
        </w:rPr>
        <w:t xml:space="preserve">per </w:t>
      </w:r>
      <w:r w:rsidR="00212F08" w:rsidRPr="00212F08">
        <w:rPr>
          <w:sz w:val="22"/>
          <w:szCs w:val="22"/>
        </w:rPr>
        <w:t>45</w:t>
      </w:r>
      <w:r w:rsidRPr="00212F08">
        <w:rPr>
          <w:sz w:val="22"/>
          <w:szCs w:val="22"/>
        </w:rPr>
        <w:t xml:space="preserve"> dien</w:t>
      </w:r>
      <w:r w:rsidR="00212F08" w:rsidRPr="00212F08">
        <w:rPr>
          <w:sz w:val="22"/>
          <w:szCs w:val="22"/>
        </w:rPr>
        <w:t>as</w:t>
      </w:r>
      <w:r w:rsidRPr="00212F08">
        <w:rPr>
          <w:sz w:val="22"/>
          <w:szCs w:val="22"/>
        </w:rPr>
        <w:t xml:space="preserve"> nuo sutarties pasirašymo datos </w:t>
      </w:r>
      <w:r w:rsidR="00212F08" w:rsidRPr="00212F08">
        <w:rPr>
          <w:sz w:val="22"/>
          <w:szCs w:val="22"/>
        </w:rPr>
        <w:t xml:space="preserve">Pirkėjo buveinėje </w:t>
      </w:r>
      <w:r w:rsidR="00212F08" w:rsidRPr="00212F08">
        <w:rPr>
          <w:color w:val="212529"/>
          <w:sz w:val="22"/>
          <w:szCs w:val="22"/>
        </w:rPr>
        <w:t>Kalvarijų g. 153, LT-08352 Vilnius</w:t>
      </w:r>
      <w:r w:rsidRPr="00212F08">
        <w:rPr>
          <w:sz w:val="22"/>
          <w:szCs w:val="22"/>
        </w:rPr>
        <w:t>.</w:t>
      </w:r>
    </w:p>
    <w:p w14:paraId="3682A7C3" w14:textId="77777777" w:rsidR="00662DA6" w:rsidRPr="007510C5" w:rsidRDefault="00662DA6" w:rsidP="00C465C3">
      <w:pPr>
        <w:pStyle w:val="List2"/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3.2.</w:t>
      </w:r>
      <w:r w:rsidRPr="007510C5">
        <w:rPr>
          <w:sz w:val="22"/>
          <w:szCs w:val="22"/>
          <w:lang w:val="lt-LT"/>
        </w:rPr>
        <w:tab/>
        <w:t>PIRKĖJAS įsipareigoja:</w:t>
      </w:r>
    </w:p>
    <w:p w14:paraId="4D6AB416" w14:textId="77777777" w:rsidR="00662DA6" w:rsidRPr="007510C5" w:rsidRDefault="00D7105F" w:rsidP="00C465C3">
      <w:pPr>
        <w:pStyle w:val="List3"/>
        <w:numPr>
          <w:ilvl w:val="2"/>
          <w:numId w:val="10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Priimti pristatytą Įrangą sutartu laiku.</w:t>
      </w:r>
      <w:r w:rsidR="00662DA6" w:rsidRPr="007510C5">
        <w:rPr>
          <w:sz w:val="22"/>
          <w:szCs w:val="22"/>
          <w:lang w:val="lt-LT"/>
        </w:rPr>
        <w:t xml:space="preserve"> </w:t>
      </w:r>
    </w:p>
    <w:p w14:paraId="118B9E71" w14:textId="77777777" w:rsidR="00662DA6" w:rsidRPr="007510C5" w:rsidRDefault="00662DA6" w:rsidP="00C465C3">
      <w:pPr>
        <w:pStyle w:val="List3"/>
        <w:numPr>
          <w:ilvl w:val="2"/>
          <w:numId w:val="10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Pats ar su trečių šalių pagalba netaisyti Įrangos. </w:t>
      </w:r>
    </w:p>
    <w:p w14:paraId="3449FE7D" w14:textId="77777777" w:rsidR="00662DA6" w:rsidRPr="007510C5" w:rsidRDefault="00662DA6" w:rsidP="00C465C3">
      <w:pPr>
        <w:pStyle w:val="List3"/>
        <w:numPr>
          <w:ilvl w:val="2"/>
          <w:numId w:val="10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Nedelsiant, </w:t>
      </w:r>
      <w:r w:rsidR="00D7105F">
        <w:rPr>
          <w:sz w:val="22"/>
          <w:szCs w:val="22"/>
          <w:lang w:val="lt-LT"/>
        </w:rPr>
        <w:t xml:space="preserve">bet </w:t>
      </w:r>
      <w:r w:rsidRPr="007510C5">
        <w:rPr>
          <w:sz w:val="22"/>
          <w:szCs w:val="22"/>
          <w:lang w:val="lt-LT"/>
        </w:rPr>
        <w:t xml:space="preserve">ne vėliau kaip per 2 (dvi) darbo dienas, pasirašyti Įrangos perdavimo-priėmimo aktą, jei pateikta Įranga yra </w:t>
      </w:r>
      <w:r w:rsidR="00D7105F" w:rsidRPr="007510C5">
        <w:rPr>
          <w:sz w:val="22"/>
          <w:szCs w:val="22"/>
          <w:lang w:val="lt-LT"/>
        </w:rPr>
        <w:t>kokybišk</w:t>
      </w:r>
      <w:r w:rsidR="00D7105F">
        <w:rPr>
          <w:sz w:val="22"/>
          <w:szCs w:val="22"/>
          <w:lang w:val="lt-LT"/>
        </w:rPr>
        <w:t>a.</w:t>
      </w:r>
    </w:p>
    <w:p w14:paraId="15B4C60C" w14:textId="77777777" w:rsidR="00662DA6" w:rsidRPr="007510C5" w:rsidRDefault="00662DA6" w:rsidP="00C465C3">
      <w:pPr>
        <w:pStyle w:val="List3"/>
        <w:numPr>
          <w:ilvl w:val="2"/>
          <w:numId w:val="10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Sumokėti Pardavėjui bendrą sutarties kainą, sutartyje nustatyta tvarka.</w:t>
      </w:r>
    </w:p>
    <w:p w14:paraId="531E7C85" w14:textId="77777777" w:rsidR="00662DA6" w:rsidRPr="007510C5" w:rsidRDefault="00662DA6">
      <w:pPr>
        <w:jc w:val="both"/>
        <w:rPr>
          <w:sz w:val="22"/>
          <w:szCs w:val="22"/>
        </w:rPr>
      </w:pPr>
    </w:p>
    <w:p w14:paraId="539BE311" w14:textId="77777777" w:rsidR="00662DA6" w:rsidRPr="007510C5" w:rsidRDefault="00662DA6">
      <w:pPr>
        <w:pStyle w:val="List4"/>
        <w:numPr>
          <w:ilvl w:val="0"/>
          <w:numId w:val="6"/>
        </w:numPr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ĮRANGOS KOKYBĖ IR GARANTIJOS</w:t>
      </w:r>
    </w:p>
    <w:p w14:paraId="1E62DA78" w14:textId="4B22F7EA" w:rsidR="00662DA6" w:rsidRPr="007510C5" w:rsidRDefault="00662DA6" w:rsidP="00C465C3">
      <w:pPr>
        <w:pStyle w:val="List5"/>
        <w:numPr>
          <w:ilvl w:val="1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Pardavėjas patvirtina, kad Įranga atitinka gamintojo kokybės bei Europos </w:t>
      </w:r>
      <w:r w:rsidR="008B1A4F">
        <w:rPr>
          <w:sz w:val="22"/>
          <w:szCs w:val="22"/>
          <w:lang w:val="lt-LT"/>
        </w:rPr>
        <w:t>S</w:t>
      </w:r>
      <w:r w:rsidRPr="007510C5">
        <w:rPr>
          <w:sz w:val="22"/>
          <w:szCs w:val="22"/>
          <w:lang w:val="lt-LT"/>
        </w:rPr>
        <w:t xml:space="preserve">ąjungos elektromagnetinio suderinamumo ir saugumo standartus. </w:t>
      </w:r>
    </w:p>
    <w:p w14:paraId="5163F885" w14:textId="35EF0353" w:rsidR="00662DA6" w:rsidRPr="007510C5" w:rsidRDefault="00662DA6" w:rsidP="00C465C3">
      <w:pPr>
        <w:pStyle w:val="List5"/>
        <w:numPr>
          <w:ilvl w:val="1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Pardavėjas suteikia aparatūrinei Įrangai </w:t>
      </w:r>
      <w:r w:rsidR="00212F08">
        <w:rPr>
          <w:sz w:val="22"/>
          <w:szCs w:val="22"/>
          <w:lang w:val="lt-LT"/>
        </w:rPr>
        <w:t xml:space="preserve">24 </w:t>
      </w:r>
      <w:r w:rsidRPr="007510C5">
        <w:rPr>
          <w:sz w:val="22"/>
          <w:szCs w:val="22"/>
          <w:lang w:val="lt-LT"/>
        </w:rPr>
        <w:t>mėn.</w:t>
      </w:r>
      <w:r w:rsidR="003E5CDF" w:rsidRPr="007510C5">
        <w:rPr>
          <w:sz w:val="22"/>
          <w:szCs w:val="22"/>
          <w:lang w:val="lt-LT"/>
        </w:rPr>
        <w:t xml:space="preserve"> garantiją</w:t>
      </w:r>
      <w:r w:rsidRPr="007510C5">
        <w:rPr>
          <w:sz w:val="22"/>
          <w:szCs w:val="22"/>
          <w:lang w:val="lt-LT"/>
        </w:rPr>
        <w:t xml:space="preserve">, kurios pradžia skaičiuojama nuo </w:t>
      </w:r>
      <w:r w:rsidR="00944C1C">
        <w:rPr>
          <w:sz w:val="22"/>
          <w:szCs w:val="22"/>
          <w:lang w:val="lt-LT"/>
        </w:rPr>
        <w:t xml:space="preserve">sąskaitos faktūros </w:t>
      </w:r>
      <w:r w:rsidR="00212F08">
        <w:rPr>
          <w:sz w:val="22"/>
          <w:szCs w:val="22"/>
          <w:lang w:val="lt-LT"/>
        </w:rPr>
        <w:t>perdaavimo Pirkėjui</w:t>
      </w:r>
      <w:r w:rsidRPr="007510C5">
        <w:rPr>
          <w:sz w:val="22"/>
          <w:szCs w:val="22"/>
          <w:lang w:val="lt-LT"/>
        </w:rPr>
        <w:t xml:space="preserve"> datos.</w:t>
      </w:r>
    </w:p>
    <w:p w14:paraId="0341F8BC" w14:textId="55A7AA7E" w:rsidR="00662DA6" w:rsidRPr="007510C5" w:rsidRDefault="00662DA6" w:rsidP="00C465C3">
      <w:pPr>
        <w:pStyle w:val="List5"/>
        <w:numPr>
          <w:ilvl w:val="1"/>
          <w:numId w:val="6"/>
        </w:numPr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Įrangos gedimo atveju, Pirkėjas registruoja gedimą Pardavėjo interneto svetainėje </w:t>
      </w:r>
      <w:hyperlink r:id="rId8" w:history="1">
        <w:r w:rsidR="007510C5" w:rsidRPr="007510C5">
          <w:rPr>
            <w:rStyle w:val="Hyperlink"/>
            <w:sz w:val="22"/>
            <w:szCs w:val="22"/>
            <w:lang w:val="lt-LT"/>
          </w:rPr>
          <w:t>https://service.</w:t>
        </w:r>
        <w:r w:rsidR="007510C5" w:rsidRPr="007510C5">
          <w:rPr>
            <w:rStyle w:val="Hyperlink"/>
            <w:sz w:val="22"/>
            <w:szCs w:val="22"/>
            <w:lang w:val="pt-BR"/>
          </w:rPr>
          <w:t>eit.lt</w:t>
        </w:r>
      </w:hyperlink>
      <w:r w:rsidRPr="007510C5">
        <w:rPr>
          <w:sz w:val="22"/>
          <w:szCs w:val="22"/>
          <w:lang w:val="lt-LT"/>
        </w:rPr>
        <w:t>, e</w:t>
      </w:r>
      <w:r w:rsidR="00C465C3">
        <w:rPr>
          <w:sz w:val="22"/>
          <w:szCs w:val="22"/>
          <w:lang w:val="lt-LT"/>
        </w:rPr>
        <w:t xml:space="preserve">l. </w:t>
      </w:r>
      <w:r w:rsidRPr="007510C5">
        <w:rPr>
          <w:sz w:val="22"/>
          <w:szCs w:val="22"/>
          <w:lang w:val="lt-LT"/>
        </w:rPr>
        <w:t xml:space="preserve">paštu </w:t>
      </w:r>
      <w:hyperlink r:id="rId9" w:history="1">
        <w:r w:rsidR="007510C5" w:rsidRPr="00F4442A">
          <w:rPr>
            <w:rStyle w:val="Hyperlink"/>
            <w:sz w:val="22"/>
            <w:szCs w:val="22"/>
            <w:lang w:val="lt-LT"/>
          </w:rPr>
          <w:t>service@eit.lt</w:t>
        </w:r>
      </w:hyperlink>
      <w:r w:rsidRPr="007510C5">
        <w:rPr>
          <w:sz w:val="22"/>
          <w:szCs w:val="22"/>
          <w:lang w:val="lt-LT"/>
        </w:rPr>
        <w:t xml:space="preserve"> arba telefonu 8 700 55777. Pranešimai priimami Pardavėjo darbo dienomis ir darbo metu, t.</w:t>
      </w:r>
      <w:r w:rsidR="00C465C3">
        <w:rPr>
          <w:sz w:val="22"/>
          <w:szCs w:val="22"/>
          <w:lang w:val="lt-LT"/>
        </w:rPr>
        <w:t xml:space="preserve"> </w:t>
      </w:r>
      <w:r w:rsidRPr="007510C5">
        <w:rPr>
          <w:sz w:val="22"/>
          <w:szCs w:val="22"/>
          <w:lang w:val="lt-LT"/>
        </w:rPr>
        <w:t>y. pirmadienį-ketvirtadienį nuo 8:00 iki 17:00</w:t>
      </w:r>
      <w:r w:rsidR="00C465C3">
        <w:rPr>
          <w:sz w:val="22"/>
          <w:szCs w:val="22"/>
          <w:lang w:val="lt-LT"/>
        </w:rPr>
        <w:t xml:space="preserve"> </w:t>
      </w:r>
      <w:r w:rsidRPr="007510C5">
        <w:rPr>
          <w:sz w:val="22"/>
          <w:szCs w:val="22"/>
          <w:lang w:val="lt-LT"/>
        </w:rPr>
        <w:t>val., o penktadienį nuo 8:00 iki 15:45</w:t>
      </w:r>
      <w:r w:rsidR="00C465C3">
        <w:rPr>
          <w:sz w:val="22"/>
          <w:szCs w:val="22"/>
          <w:lang w:val="lt-LT"/>
        </w:rPr>
        <w:t xml:space="preserve"> </w:t>
      </w:r>
      <w:r w:rsidRPr="007510C5">
        <w:rPr>
          <w:sz w:val="22"/>
          <w:szCs w:val="22"/>
          <w:lang w:val="lt-LT"/>
        </w:rPr>
        <w:t xml:space="preserve">val. </w:t>
      </w:r>
    </w:p>
    <w:p w14:paraId="14F005CA" w14:textId="77777777" w:rsidR="00662DA6" w:rsidRPr="007510C5" w:rsidRDefault="00662DA6" w:rsidP="00C465C3">
      <w:pPr>
        <w:pStyle w:val="List5"/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 Pardavėjas įsipareigoja savo rizika nemokamai pašalinti visus Įrangos gedimus, atsiradusius garantinio laikotarpio metu, per 5 darbo dienas nuo pranešimo apie gedimą gavimo dienos. </w:t>
      </w:r>
    </w:p>
    <w:p w14:paraId="571AC06B" w14:textId="77777777" w:rsidR="00662DA6" w:rsidRPr="007510C5" w:rsidRDefault="00662DA6" w:rsidP="00C465C3">
      <w:pPr>
        <w:pStyle w:val="List5"/>
        <w:numPr>
          <w:ilvl w:val="1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Garantija netaikoma, jei:</w:t>
      </w:r>
    </w:p>
    <w:p w14:paraId="3854B5E4" w14:textId="02997795" w:rsidR="00662DA6" w:rsidRPr="007510C5" w:rsidRDefault="00662DA6" w:rsidP="00C465C3">
      <w:pPr>
        <w:pStyle w:val="List5"/>
        <w:numPr>
          <w:ilvl w:val="2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Įranga ar jos dalis naudota nesilaikant Priede Nr.1 išvardintų sąlygų ar</w:t>
      </w:r>
      <w:r w:rsidR="00AD3929">
        <w:rPr>
          <w:sz w:val="22"/>
          <w:szCs w:val="22"/>
          <w:lang w:val="lt-LT"/>
        </w:rPr>
        <w:t>ba</w:t>
      </w:r>
      <w:r w:rsidRPr="007510C5">
        <w:rPr>
          <w:sz w:val="22"/>
          <w:szCs w:val="22"/>
          <w:lang w:val="lt-LT"/>
        </w:rPr>
        <w:t xml:space="preserve"> ne pagal paskirtį.</w:t>
      </w:r>
    </w:p>
    <w:p w14:paraId="24D2D0AF" w14:textId="77777777" w:rsidR="00662DA6" w:rsidRPr="007510C5" w:rsidRDefault="00662DA6" w:rsidP="00C465C3">
      <w:pPr>
        <w:pStyle w:val="List5"/>
        <w:numPr>
          <w:ilvl w:val="2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Įrangą ar jos dalį taisė ne Pardavėjo ar gamintojo įgaliota aptarnavimo ir remonto tarnyba.</w:t>
      </w:r>
    </w:p>
    <w:p w14:paraId="469C8FC8" w14:textId="77777777" w:rsidR="00662DA6" w:rsidRPr="007510C5" w:rsidRDefault="00662DA6" w:rsidP="00C465C3">
      <w:pPr>
        <w:pStyle w:val="List5"/>
        <w:numPr>
          <w:ilvl w:val="2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Įrangos gedimas atsirado dėl trečiųjų asmenų kaltės ar nenugalimos jėgos.</w:t>
      </w:r>
    </w:p>
    <w:p w14:paraId="7F44CD0F" w14:textId="77777777" w:rsidR="00662DA6" w:rsidRPr="007510C5" w:rsidRDefault="00662DA6" w:rsidP="00C465C3">
      <w:pPr>
        <w:pStyle w:val="List5"/>
        <w:numPr>
          <w:ilvl w:val="2"/>
          <w:numId w:val="6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Pirkėjas, neinformavęs Pardavėjo, į Įrangą montuoja, perkelia ar prijungia kitus įrengimus.</w:t>
      </w:r>
    </w:p>
    <w:p w14:paraId="0D7BBDC0" w14:textId="77777777" w:rsidR="00662DA6" w:rsidRPr="007510C5" w:rsidRDefault="00662DA6">
      <w:pPr>
        <w:pStyle w:val="List5"/>
        <w:ind w:left="0" w:firstLine="0"/>
        <w:jc w:val="both"/>
        <w:rPr>
          <w:sz w:val="22"/>
          <w:szCs w:val="22"/>
          <w:lang w:val="lt-LT"/>
        </w:rPr>
      </w:pPr>
    </w:p>
    <w:p w14:paraId="5F2B279E" w14:textId="77777777" w:rsidR="00662DA6" w:rsidRPr="007510C5" w:rsidRDefault="00662DA6">
      <w:pPr>
        <w:pStyle w:val="List5"/>
        <w:numPr>
          <w:ilvl w:val="0"/>
          <w:numId w:val="8"/>
        </w:numPr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NENUGALIMA JĖGA</w:t>
      </w:r>
    </w:p>
    <w:p w14:paraId="159BD36F" w14:textId="6AB12A5F" w:rsidR="00662DA6" w:rsidRPr="007510C5" w:rsidRDefault="00662DA6">
      <w:pPr>
        <w:pStyle w:val="List5"/>
        <w:numPr>
          <w:ilvl w:val="1"/>
          <w:numId w:val="8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Iškilus nenugalimos jėgos aplinkybėms, šalys vadovaujasi Lietuvos Respublikos </w:t>
      </w:r>
      <w:r w:rsidR="00564BB1">
        <w:rPr>
          <w:sz w:val="22"/>
          <w:szCs w:val="22"/>
          <w:lang w:val="lt-LT"/>
        </w:rPr>
        <w:t>c</w:t>
      </w:r>
      <w:r w:rsidRPr="007510C5">
        <w:rPr>
          <w:sz w:val="22"/>
          <w:szCs w:val="22"/>
          <w:lang w:val="lt-LT"/>
        </w:rPr>
        <w:t>ivilinio kodekso 6.212 straipsniu.</w:t>
      </w:r>
    </w:p>
    <w:p w14:paraId="160B068B" w14:textId="2E078255" w:rsidR="00662DA6" w:rsidRPr="007510C5" w:rsidRDefault="00662DA6">
      <w:pPr>
        <w:pStyle w:val="List5"/>
        <w:numPr>
          <w:ilvl w:val="1"/>
          <w:numId w:val="8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Jei </w:t>
      </w:r>
      <w:r w:rsidR="00C465C3">
        <w:rPr>
          <w:sz w:val="22"/>
          <w:szCs w:val="22"/>
          <w:lang w:val="lt-LT"/>
        </w:rPr>
        <w:t xml:space="preserve">sutarties </w:t>
      </w:r>
      <w:r w:rsidR="003E5CDF" w:rsidRPr="007510C5">
        <w:rPr>
          <w:sz w:val="22"/>
          <w:szCs w:val="22"/>
          <w:lang w:val="lt-LT"/>
        </w:rPr>
        <w:t>5</w:t>
      </w:r>
      <w:r w:rsidRPr="007510C5">
        <w:rPr>
          <w:sz w:val="22"/>
          <w:szCs w:val="22"/>
          <w:lang w:val="lt-LT"/>
        </w:rPr>
        <w:t>.1 punkte nurodytos aplinkybės tęsiasi ilgiau nei du mėnesius, šalys turi teisę abipusiu raštišku susitarimu nutraukti</w:t>
      </w:r>
      <w:r w:rsidR="00564BB1">
        <w:rPr>
          <w:sz w:val="22"/>
          <w:szCs w:val="22"/>
          <w:lang w:val="lt-LT"/>
        </w:rPr>
        <w:t xml:space="preserve"> sutartį</w:t>
      </w:r>
      <w:r w:rsidRPr="007510C5">
        <w:rPr>
          <w:sz w:val="22"/>
          <w:szCs w:val="22"/>
          <w:lang w:val="lt-LT"/>
        </w:rPr>
        <w:t>.</w:t>
      </w:r>
    </w:p>
    <w:p w14:paraId="4006C555" w14:textId="77777777" w:rsidR="00662DA6" w:rsidRPr="007510C5" w:rsidRDefault="00662DA6">
      <w:pPr>
        <w:pStyle w:val="List5"/>
        <w:ind w:left="0" w:firstLine="0"/>
        <w:jc w:val="both"/>
        <w:rPr>
          <w:sz w:val="22"/>
          <w:szCs w:val="22"/>
          <w:lang w:val="lt-LT"/>
        </w:rPr>
      </w:pPr>
    </w:p>
    <w:p w14:paraId="5ECD289E" w14:textId="77777777" w:rsidR="00662DA6" w:rsidRPr="007510C5" w:rsidRDefault="00662DA6">
      <w:pPr>
        <w:pStyle w:val="List5"/>
        <w:numPr>
          <w:ilvl w:val="0"/>
          <w:numId w:val="8"/>
        </w:numPr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ATSAKOMYBĖ</w:t>
      </w:r>
    </w:p>
    <w:p w14:paraId="7F9C0DF6" w14:textId="0F3C8D2C" w:rsidR="00662DA6" w:rsidRPr="007510C5" w:rsidRDefault="00662DA6">
      <w:pPr>
        <w:pStyle w:val="List5"/>
        <w:numPr>
          <w:ilvl w:val="1"/>
          <w:numId w:val="8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Pardavėjas, šioje sutartyje nustatytu laiku nepateikęs Įrangos ar neatlikęs darbų, Pirkėjui pareikalavus, moka jam 0,</w:t>
      </w:r>
      <w:r w:rsidR="003E5CDF" w:rsidRPr="007510C5">
        <w:rPr>
          <w:sz w:val="22"/>
          <w:szCs w:val="22"/>
          <w:lang w:val="lt-LT"/>
        </w:rPr>
        <w:t>02</w:t>
      </w:r>
      <w:r w:rsidRPr="007510C5">
        <w:rPr>
          <w:sz w:val="22"/>
          <w:szCs w:val="22"/>
          <w:lang w:val="lt-LT"/>
        </w:rPr>
        <w:t>% nuo nepateiktos Įrangos vertės dydžio delspinigius už kiekvieną uždelstą dieną, bet ne daugiau 10% nuo nepateiktos Įrangos vertės.</w:t>
      </w:r>
    </w:p>
    <w:p w14:paraId="20D08B08" w14:textId="77777777" w:rsidR="00662DA6" w:rsidRPr="007510C5" w:rsidRDefault="00662DA6">
      <w:pPr>
        <w:pStyle w:val="List5"/>
        <w:numPr>
          <w:ilvl w:val="1"/>
          <w:numId w:val="8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Pirkėjas, uždelsęs sumokėti už priimtą Įrangą, Pardavėjui pareikalavus, moka jam 0,</w:t>
      </w:r>
      <w:r w:rsidR="003E5CDF" w:rsidRPr="007510C5">
        <w:rPr>
          <w:sz w:val="22"/>
          <w:szCs w:val="22"/>
          <w:lang w:val="lt-LT"/>
        </w:rPr>
        <w:t>02</w:t>
      </w:r>
      <w:r w:rsidRPr="007510C5">
        <w:rPr>
          <w:sz w:val="22"/>
          <w:szCs w:val="22"/>
          <w:lang w:val="lt-LT"/>
        </w:rPr>
        <w:t>% laiku neapmokėtos Įrangos vertės delspinigius už kiekvieną uždelstą dieną, bet ne daugiau kaip 10% nuo neapmokėtos Įrangos vertės.</w:t>
      </w:r>
    </w:p>
    <w:p w14:paraId="7B7284B3" w14:textId="77777777" w:rsidR="00662DA6" w:rsidRPr="007510C5" w:rsidRDefault="00662DA6">
      <w:pPr>
        <w:pStyle w:val="List5"/>
        <w:numPr>
          <w:ilvl w:val="1"/>
          <w:numId w:val="8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Pirkėjas turi teisę vienašališkai nutraukti sutartį, apie tai raštu informuojant Pardavėją, jei Pardavėjas, pažeisdamas sutartį, neįvykdo savo sutartinių įsipareigojimų ilgiau nei 40 kalendorinių dienų. Tokiu atveju Pardavėjas </w:t>
      </w:r>
      <w:r w:rsidR="00EB2155" w:rsidRPr="007510C5">
        <w:rPr>
          <w:sz w:val="22"/>
          <w:szCs w:val="22"/>
          <w:lang w:val="lt-LT"/>
        </w:rPr>
        <w:t>atlygina</w:t>
      </w:r>
      <w:r w:rsidRPr="007510C5">
        <w:rPr>
          <w:sz w:val="22"/>
          <w:szCs w:val="22"/>
          <w:lang w:val="lt-LT"/>
        </w:rPr>
        <w:t xml:space="preserve"> Pirkėjui dėl sutarties nutraukimo kilusius tiesioginius nuostolius. Bauda įskaitoma į nuostolius.</w:t>
      </w:r>
    </w:p>
    <w:p w14:paraId="7359BC36" w14:textId="77777777" w:rsidR="00662DA6" w:rsidRPr="007510C5" w:rsidRDefault="00662DA6">
      <w:pPr>
        <w:pStyle w:val="List5"/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Pardavėjas turi teisę vienašališkai nutraukti sutartį, jei Pirkėjas uždelsia priimti arba apmokėti už Įrangą ilgiau nei 40 kalendorinių dienų. Tokiu atveju Pirkėjas </w:t>
      </w:r>
      <w:r w:rsidR="00EB2155" w:rsidRPr="007510C5">
        <w:rPr>
          <w:sz w:val="22"/>
          <w:szCs w:val="22"/>
          <w:lang w:val="lt-LT"/>
        </w:rPr>
        <w:t>atlygina</w:t>
      </w:r>
      <w:r w:rsidR="00EB2155" w:rsidRPr="007510C5" w:rsidDel="00EB2155">
        <w:rPr>
          <w:sz w:val="22"/>
          <w:szCs w:val="22"/>
          <w:lang w:val="lt-LT"/>
        </w:rPr>
        <w:t xml:space="preserve"> </w:t>
      </w:r>
      <w:r w:rsidRPr="007510C5">
        <w:rPr>
          <w:sz w:val="22"/>
          <w:szCs w:val="22"/>
          <w:lang w:val="lt-LT"/>
        </w:rPr>
        <w:t xml:space="preserve">Pardavėjui dėl sutarties nevykdymo ir nutraukimo Pardavėjui kilusius </w:t>
      </w:r>
      <w:r w:rsidRPr="007510C5">
        <w:rPr>
          <w:sz w:val="22"/>
          <w:szCs w:val="22"/>
          <w:lang w:val="lt-LT"/>
        </w:rPr>
        <w:lastRenderedPageBreak/>
        <w:t>nuostolius. Bauda įskaitoma į nuostolius.</w:t>
      </w:r>
    </w:p>
    <w:p w14:paraId="5496671E" w14:textId="77777777" w:rsidR="00662DA6" w:rsidRPr="007510C5" w:rsidRDefault="00662DA6">
      <w:pPr>
        <w:jc w:val="both"/>
        <w:rPr>
          <w:sz w:val="22"/>
          <w:szCs w:val="22"/>
        </w:rPr>
      </w:pPr>
    </w:p>
    <w:p w14:paraId="28FEBB59" w14:textId="77777777" w:rsidR="00662DA6" w:rsidRPr="007510C5" w:rsidRDefault="00662DA6">
      <w:pPr>
        <w:pStyle w:val="List5"/>
        <w:numPr>
          <w:ilvl w:val="0"/>
          <w:numId w:val="8"/>
        </w:numPr>
        <w:ind w:left="0" w:firstLine="0"/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GINČŲ SPRENDIMO TVARKA</w:t>
      </w:r>
    </w:p>
    <w:p w14:paraId="4F6609D1" w14:textId="77777777" w:rsidR="00662DA6" w:rsidRPr="007510C5" w:rsidRDefault="00662DA6">
      <w:pPr>
        <w:pStyle w:val="List5"/>
        <w:numPr>
          <w:ilvl w:val="1"/>
          <w:numId w:val="8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Iškilus ginčui dėl sutarties vykdymo, šalys jį sprendžia derybų būdu. Jei ginčo nepavyksta išspręsti per 10 darbo dienų, nuo bet kurios šalies pretenzijos pareiškimo, jį sprendžia Lietuvos Respublikos teismas.</w:t>
      </w:r>
    </w:p>
    <w:p w14:paraId="18937184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6B769F94" w14:textId="77777777" w:rsidR="00662DA6" w:rsidRPr="007510C5" w:rsidRDefault="00662DA6">
      <w:pPr>
        <w:pStyle w:val="List5"/>
        <w:numPr>
          <w:ilvl w:val="0"/>
          <w:numId w:val="7"/>
        </w:numPr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KITOS SĄLYGOS</w:t>
      </w:r>
    </w:p>
    <w:p w14:paraId="40D4EDAC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Sutarties priedai, pasirašyti abiejų šalių įgaliotų atstovų, yra neatskiriama šios sutarties dalis:</w:t>
      </w:r>
    </w:p>
    <w:p w14:paraId="43AEB188" w14:textId="534DF1CA" w:rsidR="00662DA6" w:rsidRPr="007510C5" w:rsidRDefault="00662DA6">
      <w:pPr>
        <w:pStyle w:val="List5"/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Priedas Nr.1 </w:t>
      </w:r>
      <w:r w:rsidR="00103A91">
        <w:rPr>
          <w:sz w:val="22"/>
          <w:szCs w:val="22"/>
          <w:lang w:val="lt-LT"/>
        </w:rPr>
        <w:t>„</w:t>
      </w:r>
      <w:r w:rsidRPr="007510C5">
        <w:rPr>
          <w:sz w:val="22"/>
          <w:szCs w:val="22"/>
          <w:lang w:val="lt-LT"/>
        </w:rPr>
        <w:t>Įrangos eksploatavimo sąlygos</w:t>
      </w:r>
      <w:r w:rsidR="00103A91">
        <w:rPr>
          <w:sz w:val="22"/>
          <w:szCs w:val="22"/>
          <w:lang w:val="lt-LT"/>
        </w:rPr>
        <w:t>“.</w:t>
      </w:r>
    </w:p>
    <w:p w14:paraId="1FDD8447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Sutartis įsigalioja nuo pasirašymo dienos ir galioja iki pilno šalių įsipareigojimų įvykdymo.</w:t>
      </w:r>
    </w:p>
    <w:p w14:paraId="1028516B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Nuosavybės teisė į Įrangą pereina Pirkėjui nuo to momento, kai Pirkėjas galutinai atsiskaito su Pardavėju. </w:t>
      </w:r>
    </w:p>
    <w:p w14:paraId="75C81D21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Pardavėjas patvirtina, kad į parduodamą Įrangą trečiosios šalys neturi jokių teisių ar pretenzijų, Įranga neįkeista, neareštuota, nėra teisminio ginčo objektas. Pardavėjo teisė disponuoti Įranga neatimta ir neapribota.</w:t>
      </w:r>
    </w:p>
    <w:p w14:paraId="19128216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Šalys įsipareigoja laiku informuoti viena kitą apie svarbias aplinkybes, kurios gali turėti įtakos šios sutarties vykdymui, tame tarpe ir adresų bei banko rekvizitų pasikeitimą.</w:t>
      </w:r>
    </w:p>
    <w:p w14:paraId="76154CA6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Šalys paskiria savo atstovus, atsakingus už sutarties vykdymą</w:t>
      </w:r>
      <w:r w:rsidR="00332811" w:rsidRPr="007510C5">
        <w:rPr>
          <w:sz w:val="22"/>
          <w:szCs w:val="22"/>
          <w:lang w:val="lt-LT"/>
        </w:rPr>
        <w:t>:</w:t>
      </w:r>
      <w:r w:rsidRPr="007510C5">
        <w:rPr>
          <w:sz w:val="22"/>
          <w:szCs w:val="22"/>
          <w:lang w:val="lt-LT"/>
        </w:rPr>
        <w:t xml:space="preserve"> </w:t>
      </w:r>
    </w:p>
    <w:p w14:paraId="2A2A6129" w14:textId="502775A8" w:rsidR="00662DA6" w:rsidRPr="00F360BB" w:rsidRDefault="00662DA6" w:rsidP="00B13FA7">
      <w:pPr>
        <w:numPr>
          <w:ilvl w:val="0"/>
          <w:numId w:val="24"/>
        </w:numPr>
        <w:jc w:val="both"/>
        <w:rPr>
          <w:sz w:val="22"/>
          <w:szCs w:val="22"/>
        </w:rPr>
      </w:pPr>
      <w:r w:rsidRPr="00F360BB">
        <w:rPr>
          <w:sz w:val="22"/>
          <w:szCs w:val="22"/>
        </w:rPr>
        <w:t>Pirkėjo atstovas</w:t>
      </w:r>
      <w:r w:rsidR="00B13FA7">
        <w:rPr>
          <w:sz w:val="22"/>
          <w:szCs w:val="22"/>
        </w:rPr>
        <w:t xml:space="preserve"> Materialinio techninio aprūpinimo ir ekspoatavimo skyriaus vedėjas</w:t>
      </w:r>
      <w:r w:rsidRPr="00F360BB">
        <w:rPr>
          <w:sz w:val="22"/>
          <w:szCs w:val="22"/>
        </w:rPr>
        <w:t xml:space="preserve"> </w:t>
      </w:r>
      <w:r w:rsidR="00F360BB" w:rsidRPr="00F360BB">
        <w:rPr>
          <w:sz w:val="22"/>
          <w:szCs w:val="22"/>
        </w:rPr>
        <w:t>Ričardas Stundžia</w:t>
      </w:r>
      <w:r w:rsidR="00F360BB">
        <w:rPr>
          <w:i/>
          <w:iCs/>
          <w:sz w:val="22"/>
          <w:szCs w:val="22"/>
        </w:rPr>
        <w:t xml:space="preserve"> </w:t>
      </w:r>
      <w:r w:rsidRPr="00F360BB">
        <w:rPr>
          <w:sz w:val="22"/>
          <w:szCs w:val="22"/>
        </w:rPr>
        <w:t xml:space="preserve">+370 </w:t>
      </w:r>
      <w:r w:rsidR="00F360BB" w:rsidRPr="00C95822">
        <w:rPr>
          <w:sz w:val="22"/>
          <w:szCs w:val="22"/>
        </w:rPr>
        <w:t>610 17280</w:t>
      </w:r>
      <w:r w:rsidR="00B13FA7">
        <w:rPr>
          <w:sz w:val="22"/>
          <w:szCs w:val="22"/>
        </w:rPr>
        <w:t>;</w:t>
      </w:r>
    </w:p>
    <w:p w14:paraId="36DE2841" w14:textId="21007EFE" w:rsidR="00662DA6" w:rsidRPr="00D7105F" w:rsidRDefault="00662DA6" w:rsidP="0004423F">
      <w:pPr>
        <w:numPr>
          <w:ilvl w:val="0"/>
          <w:numId w:val="24"/>
        </w:numPr>
        <w:rPr>
          <w:sz w:val="22"/>
          <w:szCs w:val="22"/>
        </w:rPr>
      </w:pPr>
      <w:r w:rsidRPr="00D7105F">
        <w:rPr>
          <w:sz w:val="22"/>
          <w:szCs w:val="22"/>
        </w:rPr>
        <w:t xml:space="preserve">Pardavėjo atstovas </w:t>
      </w:r>
      <w:r w:rsidR="007A6486">
        <w:rPr>
          <w:sz w:val="22"/>
          <w:szCs w:val="22"/>
        </w:rPr>
        <w:t>Remigijus Turčinavičius</w:t>
      </w:r>
      <w:r w:rsidRPr="00D7105F">
        <w:rPr>
          <w:sz w:val="22"/>
          <w:szCs w:val="22"/>
        </w:rPr>
        <w:t xml:space="preserve"> +370</w:t>
      </w:r>
      <w:r w:rsidR="009D41EA">
        <w:rPr>
          <w:sz w:val="22"/>
          <w:szCs w:val="22"/>
        </w:rPr>
        <w:t> 698 23200</w:t>
      </w:r>
      <w:r w:rsidRPr="00D7105F">
        <w:rPr>
          <w:sz w:val="22"/>
          <w:szCs w:val="22"/>
        </w:rPr>
        <w:t>.</w:t>
      </w:r>
    </w:p>
    <w:p w14:paraId="03BB0E99" w14:textId="77777777" w:rsidR="00662DA6" w:rsidRPr="007510C5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Bet kokie sutarties priedai ar pakeitimai nėra galiojantys, jeigu jie nepasirašyti abiejų šalių įgaliotų atstovų. </w:t>
      </w:r>
    </w:p>
    <w:p w14:paraId="3A2BB3E9" w14:textId="77777777" w:rsidR="00662DA6" w:rsidRDefault="00662DA6">
      <w:pPr>
        <w:pStyle w:val="List5"/>
        <w:numPr>
          <w:ilvl w:val="1"/>
          <w:numId w:val="7"/>
        </w:numPr>
        <w:ind w:left="0" w:firstLine="0"/>
        <w:jc w:val="both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Ši sutartis sudaryta dviem egzemplioriais – po vieną kiekvienai sutarties šaliai. Abu egzemplioriai turi vienodą juridinę galią.</w:t>
      </w:r>
    </w:p>
    <w:p w14:paraId="39A1D18E" w14:textId="77777777" w:rsidR="00CC5BCE" w:rsidRPr="007510C5" w:rsidRDefault="00CC5BCE" w:rsidP="00CC5BCE">
      <w:pPr>
        <w:pStyle w:val="List5"/>
        <w:ind w:left="0" w:firstLine="0"/>
        <w:jc w:val="both"/>
        <w:rPr>
          <w:sz w:val="22"/>
          <w:szCs w:val="22"/>
          <w:lang w:val="lt-LT"/>
        </w:rPr>
      </w:pPr>
    </w:p>
    <w:p w14:paraId="6568352B" w14:textId="50FD7981" w:rsidR="00212F08" w:rsidRPr="007510C5" w:rsidRDefault="00CC5BCE" w:rsidP="00212F0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C5BCE">
        <w:rPr>
          <w:b/>
          <w:sz w:val="22"/>
          <w:szCs w:val="22"/>
        </w:rPr>
        <w:t>Specifikacija Nr.1</w:t>
      </w:r>
    </w:p>
    <w:tbl>
      <w:tblPr>
        <w:tblStyle w:val="prastojilentel1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838"/>
        <w:gridCol w:w="1000"/>
        <w:gridCol w:w="1525"/>
        <w:gridCol w:w="1701"/>
      </w:tblGrid>
      <w:tr w:rsidR="00212F08" w:rsidRPr="00477375" w14:paraId="104C0190" w14:textId="77777777" w:rsidTr="00372440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AC4D" w14:textId="77777777" w:rsidR="00212F08" w:rsidRPr="00477375" w:rsidRDefault="00212F08" w:rsidP="00372440">
            <w:pPr>
              <w:jc w:val="both"/>
              <w:rPr>
                <w:b/>
                <w:bCs/>
              </w:rPr>
            </w:pPr>
            <w:r w:rsidRPr="00477375">
              <w:rPr>
                <w:b/>
                <w:bCs/>
              </w:rPr>
              <w:t xml:space="preserve">Eil. </w:t>
            </w:r>
            <w:r>
              <w:rPr>
                <w:b/>
                <w:bCs/>
              </w:rPr>
              <w:t>N</w:t>
            </w:r>
            <w:r w:rsidRPr="00477375">
              <w:rPr>
                <w:b/>
                <w:bCs/>
              </w:rPr>
              <w:t>r.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0593" w14:textId="77777777" w:rsidR="00212F08" w:rsidRPr="00477375" w:rsidRDefault="00212F08" w:rsidP="003724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BF0F" w14:textId="77777777" w:rsidR="00212F08" w:rsidRPr="00477375" w:rsidRDefault="00212F08" w:rsidP="00372440">
            <w:pPr>
              <w:jc w:val="center"/>
              <w:rPr>
                <w:b/>
                <w:bCs/>
              </w:rPr>
            </w:pPr>
            <w:r w:rsidRPr="00477375">
              <w:rPr>
                <w:b/>
                <w:bCs/>
              </w:rPr>
              <w:t>Kiekis</w:t>
            </w:r>
            <w:r>
              <w:rPr>
                <w:b/>
                <w:bCs/>
              </w:rPr>
              <w:t>, vnt.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503A" w14:textId="77777777" w:rsidR="00212F08" w:rsidRPr="00477375" w:rsidRDefault="00212F08" w:rsidP="00372440">
            <w:pPr>
              <w:jc w:val="center"/>
              <w:rPr>
                <w:b/>
                <w:bCs/>
              </w:rPr>
            </w:pPr>
            <w:r w:rsidRPr="00477375">
              <w:rPr>
                <w:b/>
                <w:bCs/>
              </w:rPr>
              <w:t>V</w:t>
            </w:r>
            <w:r>
              <w:rPr>
                <w:b/>
                <w:bCs/>
              </w:rPr>
              <w:t>nt.</w:t>
            </w:r>
            <w:r w:rsidRPr="00477375">
              <w:rPr>
                <w:b/>
                <w:bCs/>
              </w:rPr>
              <w:t xml:space="preserve"> kaina</w:t>
            </w:r>
            <w:r>
              <w:rPr>
                <w:b/>
                <w:bCs/>
              </w:rPr>
              <w:t xml:space="preserve"> Eur</w:t>
            </w:r>
            <w:r w:rsidRPr="004773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 </w:t>
            </w:r>
            <w:r w:rsidRPr="00477375">
              <w:rPr>
                <w:b/>
                <w:bCs/>
              </w:rPr>
              <w:t>PVM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C09A" w14:textId="77777777" w:rsidR="00212F08" w:rsidRDefault="00212F08" w:rsidP="003724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Viso,</w:t>
            </w:r>
          </w:p>
          <w:p w14:paraId="03668D6B" w14:textId="77777777" w:rsidR="00212F08" w:rsidRPr="00477375" w:rsidRDefault="00212F08" w:rsidP="003724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  <w:r w:rsidRPr="004773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</w:t>
            </w:r>
            <w:r w:rsidRPr="00477375">
              <w:rPr>
                <w:b/>
                <w:bCs/>
              </w:rPr>
              <w:t xml:space="preserve"> PVM</w:t>
            </w:r>
          </w:p>
        </w:tc>
      </w:tr>
      <w:tr w:rsidR="00212F08" w:rsidRPr="00C27B74" w14:paraId="3C0F66DB" w14:textId="77777777" w:rsidTr="00372440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3EC" w14:textId="77777777" w:rsidR="00212F08" w:rsidRPr="00C27B74" w:rsidRDefault="00212F08" w:rsidP="00372440">
            <w:pPr>
              <w:jc w:val="center"/>
              <w:rPr>
                <w:bCs/>
                <w:sz w:val="22"/>
                <w:szCs w:val="22"/>
              </w:rPr>
            </w:pPr>
            <w:r w:rsidRPr="00C27B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50EF" w14:textId="77777777" w:rsidR="00212F08" w:rsidRPr="00C27B74" w:rsidDel="00BA4240" w:rsidRDefault="00212F08" w:rsidP="00372440">
            <w:pPr>
              <w:jc w:val="center"/>
              <w:rPr>
                <w:bCs/>
                <w:sz w:val="22"/>
                <w:szCs w:val="22"/>
              </w:rPr>
            </w:pPr>
            <w:r w:rsidRPr="00C27B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9F63" w14:textId="77777777" w:rsidR="00212F08" w:rsidRPr="00C27B74" w:rsidRDefault="00212F08" w:rsidP="00372440">
            <w:pPr>
              <w:jc w:val="center"/>
              <w:rPr>
                <w:bCs/>
                <w:sz w:val="22"/>
                <w:szCs w:val="22"/>
              </w:rPr>
            </w:pPr>
            <w:r w:rsidRPr="00C27B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8C81" w14:textId="77777777" w:rsidR="00212F08" w:rsidRPr="00C27B74" w:rsidRDefault="00212F08" w:rsidP="00372440">
            <w:pPr>
              <w:jc w:val="center"/>
              <w:rPr>
                <w:bCs/>
                <w:sz w:val="22"/>
                <w:szCs w:val="22"/>
              </w:rPr>
            </w:pPr>
            <w:r w:rsidRPr="00C27B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0E4D" w14:textId="77777777" w:rsidR="00212F08" w:rsidRPr="00C27B74" w:rsidDel="00BA4240" w:rsidRDefault="00212F08" w:rsidP="0037244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7B74">
              <w:rPr>
                <w:bCs/>
                <w:sz w:val="22"/>
                <w:szCs w:val="22"/>
              </w:rPr>
              <w:t>5 =3x4</w:t>
            </w:r>
          </w:p>
        </w:tc>
      </w:tr>
      <w:tr w:rsidR="00212F08" w:rsidRPr="00C27B74" w14:paraId="01E2C64D" w14:textId="77777777" w:rsidTr="00372440">
        <w:tc>
          <w:tcPr>
            <w:tcW w:w="57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B2F4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  <w:bookmarkStart w:id="0" w:name="_Hlk193975661"/>
          </w:p>
        </w:tc>
        <w:tc>
          <w:tcPr>
            <w:tcW w:w="483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1AD9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C27B74">
              <w:rPr>
                <w:sz w:val="22"/>
                <w:szCs w:val="22"/>
              </w:rPr>
              <w:t>Grandstream UCM6302 IP telefonijos serveris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D95C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9927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600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45B63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212F08" w:rsidRPr="00C27B74" w14:paraId="67A4480E" w14:textId="77777777" w:rsidTr="00372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993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FB0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C27B74">
              <w:rPr>
                <w:sz w:val="22"/>
                <w:szCs w:val="22"/>
              </w:rPr>
              <w:t xml:space="preserve">Grandstream </w:t>
            </w:r>
            <w:r w:rsidRPr="00C27B74">
              <w:rPr>
                <w:sz w:val="22"/>
                <w:szCs w:val="22"/>
                <w:lang w:val="en-US"/>
              </w:rPr>
              <w:t>GRP2611G</w:t>
            </w:r>
            <w:r w:rsidRPr="00C27B74">
              <w:rPr>
                <w:sz w:val="22"/>
                <w:szCs w:val="22"/>
              </w:rPr>
              <w:t xml:space="preserve"> stalinis IP telefonas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50E7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014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70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00CC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4340,00</w:t>
            </w:r>
          </w:p>
        </w:tc>
      </w:tr>
      <w:tr w:rsidR="00212F08" w:rsidRPr="00C27B74" w14:paraId="50028FFE" w14:textId="77777777" w:rsidTr="00372440">
        <w:tblPrEx>
          <w:tblCellMar>
            <w:left w:w="108" w:type="dxa"/>
            <w:right w:w="108" w:type="dxa"/>
          </w:tblCellMar>
        </w:tblPrEx>
        <w:tc>
          <w:tcPr>
            <w:tcW w:w="570" w:type="dxa"/>
            <w:tcBorders>
              <w:top w:val="single" w:sz="4" w:space="0" w:color="auto"/>
            </w:tcBorders>
          </w:tcPr>
          <w:p w14:paraId="246D38E6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  <w:bookmarkStart w:id="1" w:name="_Hlk193976007"/>
          </w:p>
        </w:tc>
        <w:tc>
          <w:tcPr>
            <w:tcW w:w="4838" w:type="dxa"/>
            <w:tcBorders>
              <w:top w:val="single" w:sz="4" w:space="0" w:color="auto"/>
            </w:tcBorders>
            <w:vAlign w:val="center"/>
            <w:hideMark/>
          </w:tcPr>
          <w:p w14:paraId="0D2C940B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C27B74">
              <w:rPr>
                <w:sz w:val="22"/>
                <w:szCs w:val="22"/>
              </w:rPr>
              <w:t>Grandstream DP735 belaidis telefonas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hideMark/>
          </w:tcPr>
          <w:p w14:paraId="02381E3A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DEC3B56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120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AAD28CA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480,00</w:t>
            </w:r>
          </w:p>
        </w:tc>
      </w:tr>
      <w:bookmarkEnd w:id="1"/>
      <w:tr w:rsidR="00212F08" w:rsidRPr="00C27B74" w14:paraId="41FFB095" w14:textId="77777777" w:rsidTr="00372440">
        <w:tblPrEx>
          <w:tblCellMar>
            <w:left w:w="108" w:type="dxa"/>
            <w:right w:w="108" w:type="dxa"/>
          </w:tblCellMar>
        </w:tblPrEx>
        <w:tc>
          <w:tcPr>
            <w:tcW w:w="570" w:type="dxa"/>
          </w:tcPr>
          <w:p w14:paraId="0D5AEF79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838" w:type="dxa"/>
            <w:vAlign w:val="center"/>
            <w:hideMark/>
          </w:tcPr>
          <w:p w14:paraId="74A1B385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C27B74">
              <w:rPr>
                <w:sz w:val="22"/>
                <w:szCs w:val="22"/>
              </w:rPr>
              <w:t>Grandstream DP755 radijo stotelė DP735 telefonui</w:t>
            </w:r>
          </w:p>
        </w:tc>
        <w:tc>
          <w:tcPr>
            <w:tcW w:w="1000" w:type="dxa"/>
            <w:hideMark/>
          </w:tcPr>
          <w:p w14:paraId="7A70E8DA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525" w:type="dxa"/>
          </w:tcPr>
          <w:p w14:paraId="58A1F6FE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65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vAlign w:val="bottom"/>
          </w:tcPr>
          <w:p w14:paraId="588D5B98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260,00</w:t>
            </w:r>
          </w:p>
        </w:tc>
      </w:tr>
      <w:tr w:rsidR="00212F08" w:rsidRPr="00C27B74" w14:paraId="2633AACC" w14:textId="77777777" w:rsidTr="00372440">
        <w:tblPrEx>
          <w:tblCellMar>
            <w:left w:w="108" w:type="dxa"/>
            <w:right w:w="108" w:type="dxa"/>
          </w:tblCellMar>
        </w:tblPrEx>
        <w:tc>
          <w:tcPr>
            <w:tcW w:w="570" w:type="dxa"/>
          </w:tcPr>
          <w:p w14:paraId="09262038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838" w:type="dxa"/>
            <w:vAlign w:val="center"/>
            <w:hideMark/>
          </w:tcPr>
          <w:p w14:paraId="16AEC0E3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C27B74">
              <w:rPr>
                <w:sz w:val="22"/>
                <w:szCs w:val="22"/>
              </w:rPr>
              <w:t>Grandstream GDS3710 durų vaizdo telefonas.</w:t>
            </w:r>
          </w:p>
        </w:tc>
        <w:tc>
          <w:tcPr>
            <w:tcW w:w="1000" w:type="dxa"/>
            <w:hideMark/>
          </w:tcPr>
          <w:p w14:paraId="492A9550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25" w:type="dxa"/>
          </w:tcPr>
          <w:p w14:paraId="01AEF788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298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vAlign w:val="bottom"/>
          </w:tcPr>
          <w:p w14:paraId="305ACB3D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298,00</w:t>
            </w:r>
          </w:p>
        </w:tc>
      </w:tr>
      <w:tr w:rsidR="00212F08" w:rsidRPr="00C27B74" w14:paraId="1F605424" w14:textId="77777777" w:rsidTr="00372440">
        <w:tblPrEx>
          <w:tblCellMar>
            <w:left w:w="108" w:type="dxa"/>
            <w:right w:w="108" w:type="dxa"/>
          </w:tblCellMar>
        </w:tblPrEx>
        <w:tc>
          <w:tcPr>
            <w:tcW w:w="570" w:type="dxa"/>
            <w:tcBorders>
              <w:bottom w:val="single" w:sz="4" w:space="0" w:color="auto"/>
            </w:tcBorders>
          </w:tcPr>
          <w:p w14:paraId="272C111A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  <w:bookmarkStart w:id="2" w:name="_Hlk193976330"/>
          </w:p>
        </w:tc>
        <w:tc>
          <w:tcPr>
            <w:tcW w:w="4838" w:type="dxa"/>
            <w:tcBorders>
              <w:bottom w:val="single" w:sz="4" w:space="0" w:color="auto"/>
            </w:tcBorders>
            <w:hideMark/>
          </w:tcPr>
          <w:p w14:paraId="6098E6BD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A708E7">
              <w:rPr>
                <w:sz w:val="20"/>
              </w:rPr>
              <w:t xml:space="preserve">Grandstream </w:t>
            </w:r>
            <w:r w:rsidRPr="007D3EFF">
              <w:rPr>
                <w:sz w:val="20"/>
                <w:lang w:val="en-US"/>
              </w:rPr>
              <w:t xml:space="preserve">GWN7803(P) </w:t>
            </w:r>
            <w:r>
              <w:rPr>
                <w:sz w:val="20"/>
                <w:lang w:val="en-US"/>
              </w:rPr>
              <w:t xml:space="preserve">Poe </w:t>
            </w:r>
            <w:r w:rsidRPr="00A708E7">
              <w:rPr>
                <w:sz w:val="20"/>
              </w:rPr>
              <w:t xml:space="preserve">tinklo komutatorius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hideMark/>
          </w:tcPr>
          <w:p w14:paraId="64D8C7C2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B745B47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330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9DEB205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330,00</w:t>
            </w:r>
          </w:p>
        </w:tc>
      </w:tr>
      <w:tr w:rsidR="00212F08" w:rsidRPr="00C27B74" w14:paraId="3F4F45A2" w14:textId="77777777" w:rsidTr="00372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940" w14:textId="77777777" w:rsidR="00212F08" w:rsidRPr="00C97490" w:rsidRDefault="00212F08" w:rsidP="00212F08">
            <w:pPr>
              <w:pStyle w:val="ListParagraph"/>
              <w:numPr>
                <w:ilvl w:val="0"/>
                <w:numId w:val="27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B3BB" w14:textId="77777777" w:rsidR="00212F08" w:rsidRPr="00C27B74" w:rsidRDefault="00212F08" w:rsidP="00372440">
            <w:pPr>
              <w:jc w:val="both"/>
              <w:rPr>
                <w:sz w:val="22"/>
                <w:szCs w:val="22"/>
              </w:rPr>
            </w:pPr>
            <w:r w:rsidRPr="00061226">
              <w:rPr>
                <w:sz w:val="22"/>
                <w:szCs w:val="28"/>
              </w:rPr>
              <w:t xml:space="preserve">Įrangos </w:t>
            </w:r>
            <w:r>
              <w:rPr>
                <w:sz w:val="22"/>
                <w:szCs w:val="28"/>
              </w:rPr>
              <w:t>diegimo,</w:t>
            </w:r>
            <w:r w:rsidRPr="00061226">
              <w:rPr>
                <w:sz w:val="22"/>
                <w:szCs w:val="28"/>
              </w:rPr>
              <w:t xml:space="preserve"> konfigūravimo </w:t>
            </w:r>
            <w:r>
              <w:rPr>
                <w:sz w:val="22"/>
                <w:szCs w:val="28"/>
              </w:rPr>
              <w:t xml:space="preserve">ir mokymų </w:t>
            </w:r>
            <w:r w:rsidRPr="00061226">
              <w:rPr>
                <w:sz w:val="22"/>
                <w:szCs w:val="28"/>
              </w:rPr>
              <w:t>darbai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BA7E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809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rStyle w:val="m-1540886515878932994translation"/>
                <w:sz w:val="22"/>
                <w:szCs w:val="22"/>
                <w:shd w:val="clear" w:color="auto" w:fill="FFFFFF"/>
              </w:rPr>
              <w:t>1730</w:t>
            </w:r>
            <w:r w:rsidRPr="00C27B74">
              <w:rPr>
                <w:rStyle w:val="m-1540886515878932994translation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B76F3" w14:textId="77777777" w:rsidR="00212F08" w:rsidRPr="00C27B74" w:rsidRDefault="00212F08" w:rsidP="00372440">
            <w:pPr>
              <w:jc w:val="center"/>
              <w:rPr>
                <w:rStyle w:val="m-1540886515878932994translation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1730,00</w:t>
            </w:r>
          </w:p>
        </w:tc>
      </w:tr>
      <w:bookmarkEnd w:id="0"/>
      <w:bookmarkEnd w:id="2"/>
      <w:tr w:rsidR="00212F08" w:rsidRPr="00477375" w14:paraId="75AD402F" w14:textId="77777777" w:rsidTr="00372440">
        <w:tc>
          <w:tcPr>
            <w:tcW w:w="7933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2D58" w14:textId="77777777" w:rsidR="00212F08" w:rsidRPr="004E16B7" w:rsidRDefault="00212F08" w:rsidP="00372440">
            <w:pPr>
              <w:jc w:val="right"/>
              <w:rPr>
                <w:b/>
              </w:rPr>
            </w:pPr>
            <w:r w:rsidRPr="004E16B7">
              <w:rPr>
                <w:b/>
              </w:rPr>
              <w:t xml:space="preserve">Bendra kaina </w:t>
            </w:r>
            <w:r>
              <w:rPr>
                <w:b/>
              </w:rPr>
              <w:t>be</w:t>
            </w:r>
            <w:r w:rsidRPr="004E16B7">
              <w:rPr>
                <w:b/>
              </w:rPr>
              <w:t xml:space="preserve"> PVM: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B6C7A" w14:textId="77777777" w:rsidR="00212F08" w:rsidRPr="00880307" w:rsidRDefault="00212F08" w:rsidP="00372440">
            <w:pPr>
              <w:jc w:val="center"/>
              <w:rPr>
                <w:b/>
                <w:bCs/>
              </w:rPr>
            </w:pPr>
            <w:r w:rsidRPr="00880307">
              <w:rPr>
                <w:color w:val="000000"/>
                <w:sz w:val="22"/>
                <w:szCs w:val="22"/>
              </w:rPr>
              <w:t>8038,00</w:t>
            </w:r>
          </w:p>
        </w:tc>
      </w:tr>
      <w:tr w:rsidR="00212F08" w:rsidRPr="00477375" w14:paraId="74B38908" w14:textId="77777777" w:rsidTr="00372440">
        <w:tc>
          <w:tcPr>
            <w:tcW w:w="793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504D" w14:textId="77777777" w:rsidR="00212F08" w:rsidRPr="004E16B7" w:rsidRDefault="00212F08" w:rsidP="00372440">
            <w:pPr>
              <w:jc w:val="right"/>
              <w:rPr>
                <w:b/>
              </w:rPr>
            </w:pPr>
            <w:r>
              <w:rPr>
                <w:b/>
              </w:rPr>
              <w:t>PVM 21 proc.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94BF2" w14:textId="77777777" w:rsidR="00212F08" w:rsidRPr="00880307" w:rsidRDefault="00212F08" w:rsidP="00372440">
            <w:pPr>
              <w:jc w:val="center"/>
              <w:rPr>
                <w:b/>
                <w:bCs/>
              </w:rPr>
            </w:pPr>
            <w:r w:rsidRPr="00880307">
              <w:rPr>
                <w:color w:val="000000"/>
                <w:sz w:val="22"/>
                <w:szCs w:val="22"/>
              </w:rPr>
              <w:t>1687,98</w:t>
            </w:r>
          </w:p>
        </w:tc>
      </w:tr>
      <w:tr w:rsidR="00212F08" w:rsidRPr="00477375" w14:paraId="36F4AEDC" w14:textId="77777777" w:rsidTr="00372440">
        <w:tc>
          <w:tcPr>
            <w:tcW w:w="793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FD81" w14:textId="77777777" w:rsidR="00212F08" w:rsidRPr="004E16B7" w:rsidRDefault="00212F08" w:rsidP="00372440">
            <w:pPr>
              <w:jc w:val="right"/>
              <w:rPr>
                <w:b/>
              </w:rPr>
            </w:pPr>
            <w:r w:rsidRPr="004E16B7">
              <w:rPr>
                <w:b/>
              </w:rPr>
              <w:t>Bendra kaina su PVM: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6129B" w14:textId="77777777" w:rsidR="00212F08" w:rsidRPr="00880307" w:rsidRDefault="00212F08" w:rsidP="00372440">
            <w:pPr>
              <w:jc w:val="center"/>
              <w:rPr>
                <w:b/>
                <w:bCs/>
              </w:rPr>
            </w:pPr>
            <w:r w:rsidRPr="00880307">
              <w:rPr>
                <w:color w:val="000000"/>
                <w:sz w:val="22"/>
                <w:szCs w:val="22"/>
              </w:rPr>
              <w:t>9725,98</w:t>
            </w:r>
          </w:p>
        </w:tc>
      </w:tr>
    </w:tbl>
    <w:p w14:paraId="70C2BA42" w14:textId="61967DE2" w:rsidR="00662DA6" w:rsidRPr="00212F08" w:rsidRDefault="00662DA6" w:rsidP="00212F08">
      <w:pPr>
        <w:rPr>
          <w:sz w:val="22"/>
          <w:szCs w:val="22"/>
        </w:rPr>
      </w:pPr>
    </w:p>
    <w:p w14:paraId="79705F06" w14:textId="77777777" w:rsidR="00662DA6" w:rsidRPr="007510C5" w:rsidRDefault="00662DA6">
      <w:pPr>
        <w:pStyle w:val="List5"/>
        <w:numPr>
          <w:ilvl w:val="0"/>
          <w:numId w:val="7"/>
        </w:numPr>
        <w:ind w:left="0" w:firstLine="0"/>
        <w:jc w:val="both"/>
        <w:rPr>
          <w:b/>
          <w:sz w:val="22"/>
          <w:szCs w:val="22"/>
          <w:lang w:val="lt-LT"/>
        </w:rPr>
      </w:pPr>
      <w:r w:rsidRPr="007510C5">
        <w:rPr>
          <w:b/>
          <w:sz w:val="22"/>
          <w:szCs w:val="22"/>
          <w:lang w:val="lt-LT"/>
        </w:rPr>
        <w:t>JURIDINIAI ŠALIŲ ADRESAI</w:t>
      </w:r>
    </w:p>
    <w:p w14:paraId="66FA5C7E" w14:textId="37C12B5E" w:rsidR="00662DA6" w:rsidRPr="007510C5" w:rsidRDefault="00662DA6">
      <w:pPr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42"/>
        <w:gridCol w:w="5443"/>
      </w:tblGrid>
      <w:tr w:rsidR="00662DA6" w:rsidRPr="007510C5" w14:paraId="1FBCF178" w14:textId="77777777">
        <w:trPr>
          <w:trHeight w:val="2581"/>
        </w:trPr>
        <w:tc>
          <w:tcPr>
            <w:tcW w:w="2500" w:type="pct"/>
          </w:tcPr>
          <w:p w14:paraId="2DBB3C98" w14:textId="77777777" w:rsidR="00662DA6" w:rsidRPr="007510C5" w:rsidRDefault="00662DA6">
            <w:pPr>
              <w:jc w:val="both"/>
              <w:rPr>
                <w:b/>
                <w:sz w:val="22"/>
                <w:szCs w:val="22"/>
              </w:rPr>
            </w:pPr>
            <w:r w:rsidRPr="007510C5">
              <w:rPr>
                <w:b/>
                <w:sz w:val="22"/>
                <w:szCs w:val="22"/>
              </w:rPr>
              <w:t>PARDAVĖJAS</w:t>
            </w:r>
          </w:p>
          <w:p w14:paraId="03105F80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  <w:p w14:paraId="262C6188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UAB „</w:t>
            </w:r>
            <w:r w:rsidR="00BE2B0F" w:rsidRPr="007510C5">
              <w:rPr>
                <w:sz w:val="22"/>
                <w:szCs w:val="22"/>
              </w:rPr>
              <w:t>EIT Sprendimai</w:t>
            </w:r>
            <w:r w:rsidRPr="007510C5">
              <w:rPr>
                <w:sz w:val="22"/>
                <w:szCs w:val="22"/>
              </w:rPr>
              <w:t>“</w:t>
            </w:r>
          </w:p>
          <w:p w14:paraId="0FA66272" w14:textId="77777777" w:rsidR="00662DA6" w:rsidRPr="007510C5" w:rsidRDefault="00EF1A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Rutkausko g. 6</w:t>
            </w:r>
            <w:r w:rsidR="00662DA6" w:rsidRPr="007510C5">
              <w:rPr>
                <w:sz w:val="22"/>
                <w:szCs w:val="22"/>
              </w:rPr>
              <w:t xml:space="preserve">, </w:t>
            </w:r>
            <w:r w:rsidRPr="007510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5132</w:t>
            </w:r>
            <w:r w:rsidRPr="007510C5">
              <w:rPr>
                <w:sz w:val="22"/>
                <w:szCs w:val="22"/>
              </w:rPr>
              <w:t xml:space="preserve"> </w:t>
            </w:r>
            <w:r w:rsidR="00662DA6" w:rsidRPr="007510C5">
              <w:rPr>
                <w:sz w:val="22"/>
                <w:szCs w:val="22"/>
              </w:rPr>
              <w:t>Vilnius</w:t>
            </w:r>
          </w:p>
          <w:p w14:paraId="7D1B7731" w14:textId="471F53C5" w:rsidR="00662DA6" w:rsidRPr="00AD3929" w:rsidRDefault="00662DA6">
            <w:pPr>
              <w:jc w:val="both"/>
              <w:rPr>
                <w:sz w:val="22"/>
                <w:szCs w:val="22"/>
                <w:lang w:val="en-US"/>
              </w:rPr>
            </w:pPr>
            <w:r w:rsidRPr="007510C5">
              <w:rPr>
                <w:sz w:val="22"/>
                <w:szCs w:val="22"/>
              </w:rPr>
              <w:t xml:space="preserve">tel.: </w:t>
            </w:r>
            <w:r w:rsidR="00AD3929">
              <w:rPr>
                <w:sz w:val="22"/>
                <w:szCs w:val="22"/>
              </w:rPr>
              <w:t>0</w:t>
            </w:r>
            <w:r w:rsidRPr="007510C5">
              <w:rPr>
                <w:sz w:val="22"/>
                <w:szCs w:val="22"/>
              </w:rPr>
              <w:t xml:space="preserve"> (5) 268</w:t>
            </w:r>
            <w:r w:rsidR="00103A91">
              <w:rPr>
                <w:sz w:val="22"/>
                <w:szCs w:val="22"/>
              </w:rPr>
              <w:t xml:space="preserve"> </w:t>
            </w:r>
            <w:r w:rsidRPr="007510C5">
              <w:rPr>
                <w:sz w:val="22"/>
                <w:szCs w:val="22"/>
              </w:rPr>
              <w:t xml:space="preserve">8111, </w:t>
            </w:r>
            <w:r w:rsidR="00AD3929">
              <w:rPr>
                <w:sz w:val="22"/>
                <w:szCs w:val="22"/>
              </w:rPr>
              <w:t>el.</w:t>
            </w:r>
            <w:r w:rsidR="00103A91">
              <w:rPr>
                <w:sz w:val="22"/>
                <w:szCs w:val="22"/>
              </w:rPr>
              <w:t xml:space="preserve"> </w:t>
            </w:r>
            <w:r w:rsidR="00AD3929">
              <w:rPr>
                <w:sz w:val="22"/>
                <w:szCs w:val="22"/>
              </w:rPr>
              <w:t xml:space="preserve">p.: </w:t>
            </w:r>
            <w:hyperlink r:id="rId10" w:history="1">
              <w:r w:rsidR="00AD3929" w:rsidRPr="00D27244">
                <w:rPr>
                  <w:rStyle w:val="Hyperlink"/>
                  <w:sz w:val="22"/>
                  <w:szCs w:val="22"/>
                </w:rPr>
                <w:t>info</w:t>
              </w:r>
              <w:r w:rsidR="00AD3929" w:rsidRPr="00D27244">
                <w:rPr>
                  <w:rStyle w:val="Hyperlink"/>
                  <w:sz w:val="22"/>
                  <w:szCs w:val="22"/>
                  <w:lang w:val="en-US"/>
                </w:rPr>
                <w:t>@eit.lt</w:t>
              </w:r>
            </w:hyperlink>
            <w:r w:rsidR="00AD3929">
              <w:rPr>
                <w:sz w:val="22"/>
                <w:szCs w:val="22"/>
                <w:lang w:val="en-US"/>
              </w:rPr>
              <w:t xml:space="preserve"> </w:t>
            </w:r>
          </w:p>
          <w:p w14:paraId="21B89374" w14:textId="51BED690" w:rsidR="00662DA6" w:rsidRPr="007510C5" w:rsidRDefault="00103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Juridinio asmens</w:t>
            </w:r>
            <w:r w:rsidR="00662DA6" w:rsidRPr="007510C5">
              <w:rPr>
                <w:sz w:val="22"/>
                <w:szCs w:val="22"/>
              </w:rPr>
              <w:t xml:space="preserve"> kodas 226107940</w:t>
            </w:r>
          </w:p>
          <w:p w14:paraId="40FD9E56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PVM mokėtojo kodas LT261079416</w:t>
            </w:r>
          </w:p>
          <w:p w14:paraId="5CB010DF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A/s Nr. LT087044060001781165</w:t>
            </w:r>
          </w:p>
          <w:p w14:paraId="69842DBA" w14:textId="4C316AE8" w:rsidR="00662DA6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AB „SEB bankas“</w:t>
            </w:r>
          </w:p>
          <w:p w14:paraId="0EDB15EF" w14:textId="77777777" w:rsidR="00CC5BCE" w:rsidRDefault="00CC5BCE">
            <w:pPr>
              <w:jc w:val="both"/>
              <w:rPr>
                <w:sz w:val="22"/>
                <w:szCs w:val="22"/>
              </w:rPr>
            </w:pPr>
          </w:p>
          <w:p w14:paraId="44B1F72D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7A64592D" w14:textId="77777777" w:rsidR="00662DA6" w:rsidRPr="007510C5" w:rsidRDefault="00662DA6">
            <w:pPr>
              <w:jc w:val="both"/>
              <w:rPr>
                <w:b/>
                <w:sz w:val="22"/>
                <w:szCs w:val="22"/>
              </w:rPr>
            </w:pPr>
            <w:r w:rsidRPr="007510C5">
              <w:rPr>
                <w:b/>
                <w:sz w:val="22"/>
                <w:szCs w:val="22"/>
              </w:rPr>
              <w:t>PIRKĖJAS</w:t>
            </w:r>
          </w:p>
          <w:p w14:paraId="02D438EC" w14:textId="12B4C4FC" w:rsidR="00AD3929" w:rsidRPr="00AD3929" w:rsidRDefault="00AD3929" w:rsidP="00BC7F0F">
            <w:pPr>
              <w:rPr>
                <w:sz w:val="22"/>
                <w:szCs w:val="22"/>
              </w:rPr>
            </w:pPr>
            <w:r w:rsidRPr="00AD3929">
              <w:rPr>
                <w:sz w:val="22"/>
                <w:szCs w:val="22"/>
              </w:rPr>
              <w:br/>
              <w:t xml:space="preserve">Radiacinės </w:t>
            </w:r>
            <w:r w:rsidR="00103A91">
              <w:rPr>
                <w:sz w:val="22"/>
                <w:szCs w:val="22"/>
              </w:rPr>
              <w:t>s</w:t>
            </w:r>
            <w:r w:rsidRPr="00AD3929">
              <w:rPr>
                <w:sz w:val="22"/>
                <w:szCs w:val="22"/>
              </w:rPr>
              <w:t xml:space="preserve">augos </w:t>
            </w:r>
            <w:r w:rsidR="00103A91">
              <w:rPr>
                <w:sz w:val="22"/>
                <w:szCs w:val="22"/>
              </w:rPr>
              <w:t>c</w:t>
            </w:r>
            <w:r w:rsidRPr="00AD3929">
              <w:rPr>
                <w:sz w:val="22"/>
                <w:szCs w:val="22"/>
              </w:rPr>
              <w:t>entras</w:t>
            </w:r>
          </w:p>
          <w:p w14:paraId="3A27A27D" w14:textId="6C762DAE" w:rsidR="00AD3929" w:rsidRPr="00AD3929" w:rsidRDefault="00AD3929" w:rsidP="00AD3929">
            <w:pPr>
              <w:rPr>
                <w:color w:val="212529"/>
                <w:sz w:val="22"/>
                <w:szCs w:val="22"/>
              </w:rPr>
            </w:pPr>
            <w:r w:rsidRPr="00AD3929">
              <w:rPr>
                <w:color w:val="212529"/>
                <w:sz w:val="22"/>
                <w:szCs w:val="22"/>
              </w:rPr>
              <w:t>Kalvarijų g. 153, LT-08352 Vilnius</w:t>
            </w:r>
          </w:p>
          <w:p w14:paraId="738F2B93" w14:textId="69B36BA1" w:rsidR="007510C5" w:rsidRPr="00BC7F0F" w:rsidRDefault="00CC5BCE" w:rsidP="00BC7F0F">
            <w:pPr>
              <w:rPr>
                <w:sz w:val="22"/>
                <w:szCs w:val="22"/>
              </w:rPr>
            </w:pPr>
            <w:r w:rsidRPr="00BC7F0F">
              <w:rPr>
                <w:sz w:val="22"/>
                <w:szCs w:val="22"/>
              </w:rPr>
              <w:t xml:space="preserve">Tel. </w:t>
            </w:r>
            <w:r w:rsidR="00AD3929">
              <w:rPr>
                <w:sz w:val="22"/>
                <w:szCs w:val="22"/>
              </w:rPr>
              <w:t>0 (</w:t>
            </w:r>
            <w:r w:rsidRPr="00BC7F0F">
              <w:rPr>
                <w:sz w:val="22"/>
                <w:szCs w:val="22"/>
              </w:rPr>
              <w:t>5)</w:t>
            </w:r>
            <w:r w:rsidR="00AD3929">
              <w:rPr>
                <w:sz w:val="22"/>
                <w:szCs w:val="22"/>
              </w:rPr>
              <w:t xml:space="preserve"> 236</w:t>
            </w:r>
            <w:r w:rsidR="00103A91">
              <w:rPr>
                <w:sz w:val="22"/>
                <w:szCs w:val="22"/>
              </w:rPr>
              <w:t xml:space="preserve"> </w:t>
            </w:r>
            <w:r w:rsidR="00AD3929">
              <w:rPr>
                <w:sz w:val="22"/>
                <w:szCs w:val="22"/>
              </w:rPr>
              <w:t>1936</w:t>
            </w:r>
            <w:r w:rsidRPr="00BC7F0F">
              <w:rPr>
                <w:sz w:val="22"/>
                <w:szCs w:val="22"/>
              </w:rPr>
              <w:t xml:space="preserve">, </w:t>
            </w:r>
            <w:r w:rsidR="00AD3929">
              <w:rPr>
                <w:sz w:val="22"/>
                <w:szCs w:val="22"/>
              </w:rPr>
              <w:t>el.</w:t>
            </w:r>
            <w:r w:rsidR="00103A91">
              <w:rPr>
                <w:sz w:val="22"/>
                <w:szCs w:val="22"/>
              </w:rPr>
              <w:t xml:space="preserve"> </w:t>
            </w:r>
            <w:r w:rsidR="00AD3929">
              <w:rPr>
                <w:sz w:val="22"/>
                <w:szCs w:val="22"/>
              </w:rPr>
              <w:t xml:space="preserve">p.: </w:t>
            </w:r>
            <w:hyperlink r:id="rId11" w:history="1">
              <w:r w:rsidR="00AD3929" w:rsidRPr="00D27244">
                <w:rPr>
                  <w:rStyle w:val="Hyperlink"/>
                  <w:sz w:val="22"/>
                  <w:szCs w:val="22"/>
                </w:rPr>
                <w:t>rsc@rsc.lt</w:t>
              </w:r>
            </w:hyperlink>
            <w:r w:rsidR="00AD3929">
              <w:rPr>
                <w:sz w:val="22"/>
                <w:szCs w:val="22"/>
              </w:rPr>
              <w:t xml:space="preserve"> </w:t>
            </w:r>
            <w:r w:rsidRPr="00BC7F0F">
              <w:rPr>
                <w:sz w:val="22"/>
                <w:szCs w:val="22"/>
              </w:rPr>
              <w:br/>
            </w:r>
            <w:r w:rsidR="00103A91">
              <w:rPr>
                <w:sz w:val="22"/>
                <w:szCs w:val="22"/>
              </w:rPr>
              <w:t>Juridinio asmens</w:t>
            </w:r>
            <w:r w:rsidR="00BC7F0F" w:rsidRPr="00BC7F0F">
              <w:rPr>
                <w:sz w:val="22"/>
                <w:szCs w:val="22"/>
              </w:rPr>
              <w:t xml:space="preserve"> </w:t>
            </w:r>
            <w:r w:rsidRPr="00BC7F0F">
              <w:rPr>
                <w:sz w:val="22"/>
                <w:szCs w:val="22"/>
              </w:rPr>
              <w:t xml:space="preserve">kodas </w:t>
            </w:r>
            <w:r w:rsidR="00AD3929" w:rsidRPr="00AD3929">
              <w:rPr>
                <w:sz w:val="22"/>
                <w:szCs w:val="22"/>
              </w:rPr>
              <w:t>193288633</w:t>
            </w:r>
            <w:r w:rsidR="00BC7F0F" w:rsidRPr="00BC7F0F">
              <w:rPr>
                <w:sz w:val="22"/>
                <w:szCs w:val="22"/>
              </w:rPr>
              <w:t xml:space="preserve"> </w:t>
            </w:r>
          </w:p>
          <w:p w14:paraId="56878A21" w14:textId="5852BFAF" w:rsidR="009F4096" w:rsidRPr="00BC7F0F" w:rsidRDefault="009F4096" w:rsidP="00BC7F0F">
            <w:pPr>
              <w:rPr>
                <w:sz w:val="22"/>
                <w:szCs w:val="22"/>
              </w:rPr>
            </w:pPr>
            <w:r w:rsidRPr="00BC7F0F">
              <w:rPr>
                <w:sz w:val="22"/>
                <w:szCs w:val="22"/>
              </w:rPr>
              <w:t>PVM mokėtojo kodas</w:t>
            </w:r>
            <w:r w:rsidR="007510C5" w:rsidRPr="00BC7F0F">
              <w:rPr>
                <w:sz w:val="22"/>
                <w:szCs w:val="22"/>
              </w:rPr>
              <w:t xml:space="preserve"> </w:t>
            </w:r>
            <w:r w:rsidR="00AD3929" w:rsidRPr="00AD3929">
              <w:rPr>
                <w:sz w:val="22"/>
                <w:szCs w:val="22"/>
              </w:rPr>
              <w:t>LT100001069319</w:t>
            </w:r>
          </w:p>
          <w:p w14:paraId="1CC3D7B3" w14:textId="552D004A" w:rsidR="00662DA6" w:rsidRPr="00103A91" w:rsidRDefault="009F4096" w:rsidP="00BC7F0F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03A91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7E7A18" w:rsidRPr="00103A91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103A91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7E7A18" w:rsidRPr="00103A9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03A91" w:rsidRPr="00103A91">
              <w:rPr>
                <w:rFonts w:asciiTheme="majorBidi" w:hAnsiTheme="majorBidi" w:cstheme="majorBidi"/>
                <w:sz w:val="22"/>
                <w:szCs w:val="22"/>
              </w:rPr>
              <w:t xml:space="preserve">Nr. </w:t>
            </w:r>
            <w:r w:rsidR="00420CB4" w:rsidRPr="00103A91">
              <w:rPr>
                <w:rFonts w:asciiTheme="majorBidi" w:hAnsiTheme="majorBidi" w:cstheme="majorBidi"/>
                <w:bCs/>
                <w:sz w:val="22"/>
                <w:szCs w:val="22"/>
              </w:rPr>
              <w:t>LT824040063610000718</w:t>
            </w:r>
          </w:p>
          <w:p w14:paraId="2036AE65" w14:textId="77777777" w:rsidR="00420CB4" w:rsidRPr="00103A91" w:rsidRDefault="00420CB4" w:rsidP="00420CB4">
            <w:pPr>
              <w:tabs>
                <w:tab w:val="left" w:pos="4678"/>
              </w:tabs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03A91">
              <w:rPr>
                <w:rFonts w:asciiTheme="majorBidi" w:hAnsiTheme="majorBidi" w:cstheme="majorBidi"/>
                <w:bCs/>
                <w:sz w:val="22"/>
                <w:szCs w:val="22"/>
              </w:rPr>
              <w:t>bankas Lietuvos Respublikos finansų ministerija,</w:t>
            </w:r>
          </w:p>
          <w:p w14:paraId="6CCD0D4A" w14:textId="77777777" w:rsidR="00420CB4" w:rsidRPr="00103A91" w:rsidRDefault="00420CB4" w:rsidP="00420CB4">
            <w:pPr>
              <w:tabs>
                <w:tab w:val="left" w:pos="467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03A91">
              <w:rPr>
                <w:rFonts w:asciiTheme="majorBidi" w:hAnsiTheme="majorBidi" w:cstheme="majorBidi"/>
                <w:bCs/>
                <w:sz w:val="22"/>
                <w:szCs w:val="22"/>
              </w:rPr>
              <w:t>banko kodas 40400</w:t>
            </w:r>
          </w:p>
          <w:p w14:paraId="10797CFF" w14:textId="6B30C84F" w:rsidR="00420CB4" w:rsidRPr="007510C5" w:rsidRDefault="00420CB4" w:rsidP="00BC7F0F">
            <w:pPr>
              <w:rPr>
                <w:b/>
                <w:color w:val="FF6600"/>
                <w:sz w:val="22"/>
                <w:szCs w:val="22"/>
              </w:rPr>
            </w:pPr>
          </w:p>
        </w:tc>
      </w:tr>
      <w:tr w:rsidR="00662DA6" w:rsidRPr="007510C5" w14:paraId="405234CC" w14:textId="77777777">
        <w:tc>
          <w:tcPr>
            <w:tcW w:w="2500" w:type="pct"/>
          </w:tcPr>
          <w:p w14:paraId="2E88503A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  <w:p w14:paraId="3E7A8D6C" w14:textId="77777777" w:rsidR="00662DA6" w:rsidRPr="007510C5" w:rsidRDefault="000442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Daiva Šmakovienė</w:t>
            </w:r>
          </w:p>
          <w:p w14:paraId="7E904597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UAB „E</w:t>
            </w:r>
            <w:r w:rsidR="007E7A18" w:rsidRPr="007510C5">
              <w:rPr>
                <w:sz w:val="22"/>
                <w:szCs w:val="22"/>
              </w:rPr>
              <w:t>IT</w:t>
            </w:r>
            <w:r w:rsidR="007510C5">
              <w:rPr>
                <w:sz w:val="22"/>
                <w:szCs w:val="22"/>
              </w:rPr>
              <w:t xml:space="preserve"> Sprendimai</w:t>
            </w:r>
            <w:r w:rsidRPr="007510C5">
              <w:rPr>
                <w:sz w:val="22"/>
                <w:szCs w:val="22"/>
              </w:rPr>
              <w:t>“</w:t>
            </w:r>
          </w:p>
          <w:p w14:paraId="7FCABE7E" w14:textId="3DF5038C" w:rsidR="00662DA6" w:rsidRPr="007510C5" w:rsidRDefault="000442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Generalinė </w:t>
            </w:r>
            <w:r w:rsidR="00103A9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irektorė</w:t>
            </w:r>
          </w:p>
          <w:p w14:paraId="1FFAE5BB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  <w:p w14:paraId="774BF772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  <w:p w14:paraId="3860B951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________________________</w:t>
            </w:r>
          </w:p>
          <w:p w14:paraId="71B2174A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58345AEE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  <w:p w14:paraId="6B914FC6" w14:textId="0460601C" w:rsidR="00BC7F0F" w:rsidRPr="00103A91" w:rsidRDefault="00AD3929" w:rsidP="00BC7F0F">
            <w:pPr>
              <w:rPr>
                <w:sz w:val="22"/>
                <w:szCs w:val="22"/>
              </w:rPr>
            </w:pPr>
            <w:r w:rsidRPr="00103A91">
              <w:rPr>
                <w:sz w:val="22"/>
                <w:szCs w:val="22"/>
              </w:rPr>
              <w:t>Ernestas Jasaitis</w:t>
            </w:r>
          </w:p>
          <w:p w14:paraId="40AE4DAD" w14:textId="3BE6EE7F" w:rsidR="00BC7F0F" w:rsidRPr="00103A91" w:rsidRDefault="00AD3929" w:rsidP="00BC7F0F">
            <w:pPr>
              <w:rPr>
                <w:rFonts w:ascii="Arial" w:hAnsi="Arial" w:cs="Arial"/>
                <w:i/>
                <w:iCs/>
                <w:color w:val="121415"/>
                <w:sz w:val="22"/>
                <w:szCs w:val="22"/>
                <w:shd w:val="clear" w:color="auto" w:fill="F5F5F5"/>
              </w:rPr>
            </w:pPr>
            <w:r w:rsidRPr="00103A91">
              <w:rPr>
                <w:sz w:val="22"/>
                <w:szCs w:val="22"/>
              </w:rPr>
              <w:t>Radiacinės saugos centras</w:t>
            </w:r>
          </w:p>
          <w:p w14:paraId="79E6AB4E" w14:textId="77777777" w:rsidR="00662DA6" w:rsidRPr="00103A91" w:rsidRDefault="00834DD9" w:rsidP="007510C5">
            <w:pPr>
              <w:rPr>
                <w:sz w:val="22"/>
                <w:szCs w:val="22"/>
              </w:rPr>
            </w:pPr>
            <w:r w:rsidRPr="00103A91">
              <w:rPr>
                <w:sz w:val="22"/>
                <w:szCs w:val="22"/>
              </w:rPr>
              <w:t>Direktorius</w:t>
            </w:r>
          </w:p>
          <w:p w14:paraId="2146B7CA" w14:textId="77777777" w:rsidR="00662DA6" w:rsidRPr="007510C5" w:rsidRDefault="00662DA6" w:rsidP="007510C5">
            <w:pPr>
              <w:rPr>
                <w:sz w:val="22"/>
                <w:szCs w:val="22"/>
              </w:rPr>
            </w:pPr>
          </w:p>
          <w:p w14:paraId="31057BF4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  <w:p w14:paraId="3A7102A1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________________________</w:t>
            </w:r>
          </w:p>
          <w:p w14:paraId="1C7E9CCD" w14:textId="77777777" w:rsidR="00662DA6" w:rsidRPr="007510C5" w:rsidRDefault="00662DA6">
            <w:pPr>
              <w:jc w:val="both"/>
              <w:rPr>
                <w:sz w:val="22"/>
                <w:szCs w:val="22"/>
              </w:rPr>
            </w:pPr>
          </w:p>
        </w:tc>
      </w:tr>
      <w:tr w:rsidR="00662DA6" w:rsidRPr="007510C5" w14:paraId="518B2969" w14:textId="77777777">
        <w:tc>
          <w:tcPr>
            <w:tcW w:w="2500" w:type="pct"/>
          </w:tcPr>
          <w:p w14:paraId="2CC04529" w14:textId="284F89A5" w:rsidR="00662DA6" w:rsidRPr="007510C5" w:rsidRDefault="00662D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672A0192" w14:textId="0E603CB0" w:rsidR="00662DA6" w:rsidRPr="007510C5" w:rsidRDefault="00662DA6">
            <w:pPr>
              <w:jc w:val="right"/>
              <w:rPr>
                <w:sz w:val="22"/>
                <w:szCs w:val="22"/>
              </w:rPr>
            </w:pPr>
          </w:p>
        </w:tc>
      </w:tr>
    </w:tbl>
    <w:p w14:paraId="62C08625" w14:textId="29047BC3" w:rsidR="00662DA6" w:rsidRPr="002354F4" w:rsidRDefault="00662DA6">
      <w:pPr>
        <w:rPr>
          <w:b/>
          <w:sz w:val="22"/>
          <w:szCs w:val="22"/>
        </w:rPr>
      </w:pPr>
      <w:r w:rsidRPr="00BC7F0F">
        <w:rPr>
          <w:sz w:val="22"/>
          <w:szCs w:val="22"/>
        </w:rPr>
        <w:br w:type="page"/>
      </w:r>
      <w:r w:rsidR="00212F08">
        <w:rPr>
          <w:b/>
          <w:sz w:val="22"/>
          <w:szCs w:val="22"/>
          <w:lang w:val="it-IT"/>
        </w:rPr>
        <w:lastRenderedPageBreak/>
        <w:t xml:space="preserve"> </w:t>
      </w:r>
      <w:r w:rsidRPr="002354F4">
        <w:rPr>
          <w:b/>
          <w:sz w:val="22"/>
          <w:szCs w:val="22"/>
        </w:rPr>
        <w:t>Priedas Nr.1</w:t>
      </w:r>
    </w:p>
    <w:p w14:paraId="0EE733F4" w14:textId="77777777" w:rsidR="00D7105F" w:rsidRDefault="00D7105F">
      <w:pPr>
        <w:pStyle w:val="Heading1"/>
        <w:spacing w:before="100" w:after="100"/>
        <w:jc w:val="center"/>
        <w:rPr>
          <w:rFonts w:ascii="Times New Roman" w:hAnsi="Times New Roman"/>
          <w:bCs/>
          <w:sz w:val="22"/>
          <w:szCs w:val="22"/>
          <w:u w:val="none"/>
        </w:rPr>
      </w:pPr>
    </w:p>
    <w:p w14:paraId="56C0CA71" w14:textId="77777777" w:rsidR="00662DA6" w:rsidRDefault="00662DA6">
      <w:pPr>
        <w:pStyle w:val="Heading1"/>
        <w:spacing w:before="100" w:after="100"/>
        <w:jc w:val="center"/>
        <w:rPr>
          <w:rFonts w:ascii="Times New Roman" w:hAnsi="Times New Roman"/>
          <w:bCs/>
          <w:sz w:val="22"/>
          <w:szCs w:val="22"/>
          <w:u w:val="none"/>
        </w:rPr>
      </w:pPr>
      <w:r w:rsidRPr="007510C5">
        <w:rPr>
          <w:rFonts w:ascii="Times New Roman" w:hAnsi="Times New Roman"/>
          <w:bCs/>
          <w:sz w:val="22"/>
          <w:szCs w:val="22"/>
          <w:u w:val="none"/>
        </w:rPr>
        <w:t>Įrangos eksploatavimo sąlygos</w:t>
      </w:r>
    </w:p>
    <w:p w14:paraId="3D2330BC" w14:textId="77777777" w:rsidR="00D7105F" w:rsidRPr="00D7105F" w:rsidRDefault="00D7105F" w:rsidP="00D7105F"/>
    <w:p w14:paraId="0A11746B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Bendros Įrangos eksploatavimo taisyklės</w:t>
      </w:r>
    </w:p>
    <w:p w14:paraId="5AABD15C" w14:textId="77777777" w:rsidR="00662DA6" w:rsidRPr="007510C5" w:rsidRDefault="00662DA6">
      <w:pPr>
        <w:pStyle w:val="List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Įranga neturi būti mėtoma, braižoma ar daužoma. </w:t>
      </w:r>
    </w:p>
    <w:p w14:paraId="0C8BA1DF" w14:textId="77777777" w:rsidR="00662DA6" w:rsidRPr="007510C5" w:rsidRDefault="00662DA6">
      <w:pPr>
        <w:pStyle w:val="List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Negali būti užkemšamos Įrangos ventiliacijos angos ar į jas kišami pašaliniai daiktai.</w:t>
      </w:r>
    </w:p>
    <w:p w14:paraId="63CDAD9E" w14:textId="77777777" w:rsidR="00662DA6" w:rsidRPr="007510C5" w:rsidRDefault="00662DA6">
      <w:pPr>
        <w:pStyle w:val="List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Negalima leisti, kad Įrangos elektros maitinimas dingtų dažniau nei 2 kartus per minutę.</w:t>
      </w:r>
    </w:p>
    <w:p w14:paraId="648A7CC9" w14:textId="77777777" w:rsidR="00662DA6" w:rsidRPr="007510C5" w:rsidRDefault="00662DA6">
      <w:pPr>
        <w:pStyle w:val="List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Negalima prie Įrangos, dažniau nei kartą per minutę prijungti ar atjungti tinklo sąsajas.</w:t>
      </w:r>
    </w:p>
    <w:p w14:paraId="2FE2048F" w14:textId="77777777" w:rsidR="00662DA6" w:rsidRPr="007510C5" w:rsidRDefault="00662DA6">
      <w:pPr>
        <w:pStyle w:val="List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Įranga neturi būti perkeliama ar atidarinėjama, be Pardavėjo leidimo. </w:t>
      </w:r>
    </w:p>
    <w:p w14:paraId="0CD5BE1D" w14:textId="3CEE8319" w:rsidR="00662DA6" w:rsidRPr="007510C5" w:rsidRDefault="00662DA6">
      <w:pPr>
        <w:pStyle w:val="List"/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Prie įrangos negali būti prijungiama jokia kita įranga ar laidai, negavus Pardavėjo leidimo.</w:t>
      </w:r>
    </w:p>
    <w:p w14:paraId="7EEB220B" w14:textId="77777777" w:rsidR="00662DA6" w:rsidRPr="007510C5" w:rsidRDefault="00662DA6">
      <w:pPr>
        <w:rPr>
          <w:b/>
          <w:sz w:val="22"/>
          <w:szCs w:val="22"/>
        </w:rPr>
      </w:pPr>
    </w:p>
    <w:p w14:paraId="1D85F317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Aplinka</w:t>
      </w:r>
    </w:p>
    <w:p w14:paraId="36CB6CD5" w14:textId="77777777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Įranga turi būti eksploatuojama gerai vėdinamoje, bei švarioje nuo šiukšlių ir dulkių patalpoje.</w:t>
      </w:r>
    </w:p>
    <w:p w14:paraId="351AF90D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66D1411C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Temperatūra</w:t>
      </w:r>
    </w:p>
    <w:p w14:paraId="04BBC3C4" w14:textId="4F811AD1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Įrangos veikimo metu oro temperatūra negali viršyti 35°C. Temperatūros pokytis neturi viršyti 20° C/val.</w:t>
      </w:r>
    </w:p>
    <w:p w14:paraId="3251DB98" w14:textId="77777777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Vėdinimo sistema turi būti įrengta šiais atvejais:</w:t>
      </w:r>
    </w:p>
    <w:p w14:paraId="09622233" w14:textId="77777777" w:rsidR="00662DA6" w:rsidRPr="007510C5" w:rsidRDefault="00662DA6">
      <w:pPr>
        <w:pStyle w:val="ListBullet2"/>
        <w:numPr>
          <w:ilvl w:val="0"/>
          <w:numId w:val="12"/>
        </w:numPr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jei oro temperatūra patalpoje, kur sumontuota Įranga viršija 35°C,</w:t>
      </w:r>
    </w:p>
    <w:p w14:paraId="14C6B90D" w14:textId="77777777" w:rsidR="00662DA6" w:rsidRPr="007510C5" w:rsidRDefault="00662DA6">
      <w:pPr>
        <w:pStyle w:val="ListBullet2"/>
        <w:numPr>
          <w:ilvl w:val="0"/>
          <w:numId w:val="12"/>
        </w:numPr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 xml:space="preserve">jei patalpos, kur sumontuota Įranga, tūris mažesnis nei 6m³ o aukštis mažesnis nei </w:t>
      </w:r>
      <w:r w:rsidR="00D7105F">
        <w:rPr>
          <w:sz w:val="22"/>
          <w:szCs w:val="22"/>
          <w:lang w:val="lt-LT"/>
        </w:rPr>
        <w:t>2</w:t>
      </w:r>
      <w:r w:rsidR="00D7105F" w:rsidRPr="007510C5">
        <w:rPr>
          <w:sz w:val="22"/>
          <w:szCs w:val="22"/>
          <w:lang w:val="lt-LT"/>
        </w:rPr>
        <w:t xml:space="preserve"> </w:t>
      </w:r>
      <w:r w:rsidRPr="007510C5">
        <w:rPr>
          <w:sz w:val="22"/>
          <w:szCs w:val="22"/>
          <w:lang w:val="lt-LT"/>
        </w:rPr>
        <w:t>m,</w:t>
      </w:r>
    </w:p>
    <w:p w14:paraId="26B5D5E1" w14:textId="77777777" w:rsidR="00662DA6" w:rsidRPr="007510C5" w:rsidRDefault="00662DA6">
      <w:pPr>
        <w:pStyle w:val="ListBullet2"/>
        <w:numPr>
          <w:ilvl w:val="0"/>
          <w:numId w:val="12"/>
        </w:numPr>
        <w:rPr>
          <w:sz w:val="22"/>
          <w:szCs w:val="22"/>
          <w:lang w:val="lt-LT"/>
        </w:rPr>
      </w:pPr>
      <w:r w:rsidRPr="007510C5">
        <w:rPr>
          <w:sz w:val="22"/>
          <w:szCs w:val="22"/>
          <w:lang w:val="lt-LT"/>
        </w:rPr>
        <w:t>jei patalpos šilumos sklaida mažesnė nei 130W.</w:t>
      </w:r>
    </w:p>
    <w:p w14:paraId="28DAEE62" w14:textId="77777777" w:rsidR="00662DA6" w:rsidRPr="007510C5" w:rsidRDefault="00662DA6">
      <w:pPr>
        <w:rPr>
          <w:b/>
          <w:sz w:val="22"/>
          <w:szCs w:val="22"/>
        </w:rPr>
      </w:pPr>
    </w:p>
    <w:p w14:paraId="71F7F0AD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Drėgmė</w:t>
      </w:r>
    </w:p>
    <w:p w14:paraId="4FD91D33" w14:textId="342003E2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Patalpos santykinė oro drėgmė turi būti 8-80% ribose. Įrangos eksploatavimo metu, drėgmės svyravimas neturi viršyti 10% per valandą . Absoliuti drėgmė turi būti 1-25g/m³ ribose.</w:t>
      </w:r>
    </w:p>
    <w:p w14:paraId="57420D36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1C01A8BC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Atmosferos slėgis</w:t>
      </w:r>
    </w:p>
    <w:p w14:paraId="06B2FF27" w14:textId="77777777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Atmosferos slėgis turi būti 70-106kPa ribose.</w:t>
      </w:r>
    </w:p>
    <w:p w14:paraId="1BF34041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5DF4C338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Vibracija</w:t>
      </w:r>
    </w:p>
    <w:p w14:paraId="11F231BC" w14:textId="77777777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Vibracija neturi viršyti 0.02G su dviguba amplitude ne didesne 25µm. Šokinė vibracija turi būti mažesnė nei 0.1G.</w:t>
      </w:r>
    </w:p>
    <w:p w14:paraId="136AAC7A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7E677A1E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Elektros tinklo įtampa</w:t>
      </w:r>
    </w:p>
    <w:p w14:paraId="62C4BAC5" w14:textId="4B41CB1E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Elektros tinklo įtampa, skirta Įrangos maitinimui, turi būti 180-240V ribose, o srovė ne mažiau kaip 1A.</w:t>
      </w:r>
    </w:p>
    <w:p w14:paraId="303E0ABC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572E88BD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2F40AE93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Radiacija</w:t>
      </w:r>
    </w:p>
    <w:p w14:paraId="5F76172A" w14:textId="77777777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 xml:space="preserve">Radiacijos kiekis neturi viršyti Europos sąjungos EMC standartuose nustatytų ribų. Bet kokiais atvejais, Įranga neturi būti eksploatuojama aplinkoje, kurios elektromagnetinis spinduliavimas </w:t>
      </w:r>
      <w:r w:rsidR="00A37579" w:rsidRPr="007510C5">
        <w:rPr>
          <w:szCs w:val="22"/>
          <w:lang w:val="lt-LT"/>
        </w:rPr>
        <w:t>viršija</w:t>
      </w:r>
      <w:r w:rsidRPr="007510C5">
        <w:rPr>
          <w:szCs w:val="22"/>
          <w:lang w:val="lt-LT"/>
        </w:rPr>
        <w:t xml:space="preserve"> 3V/m.</w:t>
      </w:r>
    </w:p>
    <w:p w14:paraId="50639753" w14:textId="77777777" w:rsidR="00662DA6" w:rsidRPr="007510C5" w:rsidRDefault="00662DA6">
      <w:pPr>
        <w:pStyle w:val="BodyText"/>
        <w:rPr>
          <w:szCs w:val="22"/>
          <w:lang w:val="lt-LT"/>
        </w:rPr>
      </w:pPr>
    </w:p>
    <w:p w14:paraId="17B128AA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Priešgaisrinė signalizacija ir apsauga nuo gaisro</w:t>
      </w:r>
    </w:p>
    <w:p w14:paraId="0271CF9D" w14:textId="26EE9753" w:rsidR="00662DA6" w:rsidRPr="007510C5" w:rsidRDefault="00662DA6" w:rsidP="000606CE">
      <w:pPr>
        <w:pStyle w:val="BodyText3"/>
        <w:jc w:val="both"/>
      </w:pPr>
      <w:r w:rsidRPr="007510C5">
        <w:t>Patalpoje, kur eksploatuojama Įranga, patartina įrengti priešgaisrinę signalizaciją (optinį-dūminį jutiklį), inertinių dujų purškiklį (vandens ir putų purkšimo mechaninė sistema yra draudžiama), bei įrenginį, kuris įspėja apie staigų temperatūros pokytį.</w:t>
      </w:r>
    </w:p>
    <w:p w14:paraId="633662F2" w14:textId="77777777" w:rsidR="00662DA6" w:rsidRPr="007510C5" w:rsidRDefault="00662DA6">
      <w:pPr>
        <w:pStyle w:val="BodyText3"/>
      </w:pPr>
    </w:p>
    <w:p w14:paraId="387EBE80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Kabelių tinklas</w:t>
      </w:r>
    </w:p>
    <w:p w14:paraId="715F0425" w14:textId="77777777" w:rsidR="00662DA6" w:rsidRPr="007510C5" w:rsidRDefault="00662DA6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Prie Įrangos sąsajų gali būti jungiami tik 5 ar aukštesnės kategorijos vytos poros kabeliai, atitinkantys ISO/IEC 18801 ir EN 50173 standartus.</w:t>
      </w:r>
    </w:p>
    <w:p w14:paraId="652F02DD" w14:textId="77777777" w:rsidR="00662DA6" w:rsidRPr="007510C5" w:rsidRDefault="00662DA6">
      <w:pPr>
        <w:pStyle w:val="Heading2"/>
        <w:rPr>
          <w:sz w:val="22"/>
          <w:szCs w:val="22"/>
        </w:rPr>
      </w:pPr>
    </w:p>
    <w:p w14:paraId="578DC933" w14:textId="77777777" w:rsidR="00662DA6" w:rsidRPr="007510C5" w:rsidRDefault="00662DA6">
      <w:pPr>
        <w:pStyle w:val="Heading2"/>
        <w:rPr>
          <w:sz w:val="22"/>
          <w:szCs w:val="22"/>
        </w:rPr>
      </w:pPr>
      <w:r w:rsidRPr="007510C5">
        <w:rPr>
          <w:sz w:val="22"/>
          <w:szCs w:val="22"/>
        </w:rPr>
        <w:t>Saugumas</w:t>
      </w:r>
    </w:p>
    <w:p w14:paraId="756C9F76" w14:textId="77777777" w:rsidR="00662DA6" w:rsidRPr="007510C5" w:rsidRDefault="00662DA6" w:rsidP="000606CE">
      <w:pPr>
        <w:pStyle w:val="BodyText"/>
        <w:rPr>
          <w:szCs w:val="22"/>
          <w:lang w:val="lt-LT"/>
        </w:rPr>
      </w:pPr>
      <w:r w:rsidRPr="007510C5">
        <w:rPr>
          <w:szCs w:val="22"/>
          <w:lang w:val="lt-LT"/>
        </w:rPr>
        <w:t>Tam, kad išvengti nelaimingų atsitikimų ar nuostolių, rekomenduojame griežtai laikytis Lietuvos respublikos „Darbuotojų saugos ir sveikatos įstatymo“ reikalavimų. Įrangos saugumo sumetimais patariame visada užrakinti patalpą, kurioje laikoma Įranga</w:t>
      </w:r>
    </w:p>
    <w:p w14:paraId="632E6E52" w14:textId="77777777" w:rsidR="00662DA6" w:rsidRPr="007510C5" w:rsidRDefault="00662DA6" w:rsidP="00D7105F">
      <w:pPr>
        <w:jc w:val="center"/>
      </w:pPr>
    </w:p>
    <w:sectPr w:rsidR="00662DA6" w:rsidRPr="007510C5" w:rsidSect="00D7105F">
      <w:footerReference w:type="even" r:id="rId12"/>
      <w:footerReference w:type="default" r:id="rId13"/>
      <w:footerReference w:type="first" r:id="rId14"/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972B" w14:textId="77777777" w:rsidR="00D95B1B" w:rsidRDefault="00D95B1B">
      <w:r>
        <w:separator/>
      </w:r>
    </w:p>
  </w:endnote>
  <w:endnote w:type="continuationSeparator" w:id="0">
    <w:p w14:paraId="0985EDFC" w14:textId="77777777" w:rsidR="00D95B1B" w:rsidRDefault="00D9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|_Futura Book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0ED3" w14:textId="2512BF74" w:rsidR="00DC2272" w:rsidRDefault="00DC22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4792D7" wp14:editId="51E9A5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106601503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DADA7" w14:textId="29DBCCD7" w:rsidR="00DC2272" w:rsidRPr="00DC2272" w:rsidRDefault="00DC2272" w:rsidP="00DC22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2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92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9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" filled="f" stroked="f">
              <v:textbox style="mso-fit-shape-to-text:t" inset="20pt,0,0,15pt">
                <w:txbxContent>
                  <w:p w14:paraId="495DADA7" w14:textId="29DBCCD7" w:rsidR="00DC2272" w:rsidRPr="00DC2272" w:rsidRDefault="00DC2272" w:rsidP="00DC22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2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37FA" w14:textId="46FE2E28" w:rsidR="00E56020" w:rsidRDefault="00E56020">
    <w:pPr>
      <w:pStyle w:val="Footer"/>
      <w:rPr>
        <w:sz w:val="16"/>
        <w:szCs w:val="16"/>
        <w:lang w:val="lt-LT"/>
      </w:rPr>
    </w:pPr>
  </w:p>
  <w:p w14:paraId="1C7045E4" w14:textId="3B46DFCC" w:rsidR="00E56020" w:rsidRDefault="00E56020">
    <w:pPr>
      <w:pStyle w:val="Footer"/>
      <w:rPr>
        <w:sz w:val="16"/>
        <w:szCs w:val="16"/>
        <w:lang w:val="lt-LT"/>
      </w:rPr>
    </w:pPr>
    <w:r w:rsidRPr="00CB238D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BC7F0F">
      <w:rPr>
        <w:sz w:val="16"/>
        <w:szCs w:val="16"/>
        <w:lang w:val="lt-LT"/>
      </w:rPr>
      <w:tab/>
    </w:r>
    <w:r w:rsidR="00BC7F0F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  <w:lang w:val="it-IT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F67F9D">
      <w:rPr>
        <w:rStyle w:val="PageNumber"/>
        <w:noProof/>
        <w:sz w:val="16"/>
        <w:szCs w:val="16"/>
        <w:lang w:val="it-IT"/>
      </w:rPr>
      <w:t>2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  <w:lang w:val="it-IT"/>
      </w:rPr>
      <w:t xml:space="preserve">/ </w:t>
    </w:r>
    <w:r w:rsidR="00F360BB">
      <w:rPr>
        <w:rStyle w:val="PageNumber"/>
        <w:sz w:val="16"/>
        <w:szCs w:val="16"/>
        <w:lang w:val="it-IT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F2C6" w14:textId="4712FFB0" w:rsidR="00DC2272" w:rsidRDefault="00DC22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E7E2B2" wp14:editId="36F1EC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160492289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1C382" w14:textId="7576144F" w:rsidR="00DC2272" w:rsidRPr="00DC2272" w:rsidRDefault="00DC2272" w:rsidP="00DC22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2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7E2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51.9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" filled="f" stroked="f">
              <v:textbox style="mso-fit-shape-to-text:t" inset="20pt,0,0,15pt">
                <w:txbxContent>
                  <w:p w14:paraId="05C1C382" w14:textId="7576144F" w:rsidR="00DC2272" w:rsidRPr="00DC2272" w:rsidRDefault="00DC2272" w:rsidP="00DC22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2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C1C6" w14:textId="77777777" w:rsidR="00D95B1B" w:rsidRDefault="00D95B1B">
      <w:r>
        <w:separator/>
      </w:r>
    </w:p>
  </w:footnote>
  <w:footnote w:type="continuationSeparator" w:id="0">
    <w:p w14:paraId="08DFD930" w14:textId="77777777" w:rsidR="00D95B1B" w:rsidRDefault="00D9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FD0E2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C47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91E9B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8E809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13C22637"/>
    <w:multiLevelType w:val="hybridMultilevel"/>
    <w:tmpl w:val="76A88E9C"/>
    <w:lvl w:ilvl="0" w:tplc="6784A05A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4B4F"/>
    <w:multiLevelType w:val="multilevel"/>
    <w:tmpl w:val="3440F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594D38"/>
    <w:multiLevelType w:val="hybridMultilevel"/>
    <w:tmpl w:val="38E64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E72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1730F4"/>
    <w:multiLevelType w:val="multilevel"/>
    <w:tmpl w:val="43428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1AF5BC8"/>
    <w:multiLevelType w:val="hybridMultilevel"/>
    <w:tmpl w:val="C226B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321FC"/>
    <w:multiLevelType w:val="multilevel"/>
    <w:tmpl w:val="D6C00A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</w:abstractNum>
  <w:abstractNum w:abstractNumId="12" w15:restartNumberingAfterBreak="0">
    <w:nsid w:val="26607A34"/>
    <w:multiLevelType w:val="singleLevel"/>
    <w:tmpl w:val="5368124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2C0B4C41"/>
    <w:multiLevelType w:val="multilevel"/>
    <w:tmpl w:val="B1E89C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FB7454B"/>
    <w:multiLevelType w:val="hybridMultilevel"/>
    <w:tmpl w:val="02B05E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54488"/>
    <w:multiLevelType w:val="multilevel"/>
    <w:tmpl w:val="E730C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BE4288"/>
    <w:multiLevelType w:val="hybridMultilevel"/>
    <w:tmpl w:val="3E36F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51596"/>
    <w:multiLevelType w:val="hybridMultilevel"/>
    <w:tmpl w:val="7E12DD60"/>
    <w:lvl w:ilvl="0" w:tplc="77CC3E22">
      <w:start w:val="1"/>
      <w:numFmt w:val="bullet"/>
      <w:lvlText w:val=""/>
      <w:lvlJc w:val="left"/>
      <w:pPr>
        <w:tabs>
          <w:tab w:val="num" w:pos="57"/>
        </w:tabs>
        <w:ind w:left="39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B0D32"/>
    <w:multiLevelType w:val="hybridMultilevel"/>
    <w:tmpl w:val="BCD0211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B7E72"/>
    <w:multiLevelType w:val="multilevel"/>
    <w:tmpl w:val="84F4007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D938D7"/>
    <w:multiLevelType w:val="hybridMultilevel"/>
    <w:tmpl w:val="971213AE"/>
    <w:lvl w:ilvl="0" w:tplc="77CC3E22">
      <w:start w:val="1"/>
      <w:numFmt w:val="bullet"/>
      <w:lvlText w:val=""/>
      <w:lvlJc w:val="left"/>
      <w:pPr>
        <w:tabs>
          <w:tab w:val="num" w:pos="57"/>
        </w:tabs>
        <w:ind w:left="39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021D3"/>
    <w:multiLevelType w:val="multilevel"/>
    <w:tmpl w:val="1BD4FC0C"/>
    <w:lvl w:ilvl="0">
      <w:start w:val="8"/>
      <w:numFmt w:val="decimal"/>
      <w:lvlText w:val="%1."/>
      <w:lvlJc w:val="left"/>
      <w:pPr>
        <w:tabs>
          <w:tab w:val="num" w:pos="459"/>
        </w:tabs>
        <w:ind w:left="459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9"/>
        </w:tabs>
        <w:ind w:left="459" w:hanging="4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515301"/>
    <w:multiLevelType w:val="multilevel"/>
    <w:tmpl w:val="57DAB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D8B354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C7003A"/>
    <w:multiLevelType w:val="multilevel"/>
    <w:tmpl w:val="F7C002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E83DB2"/>
    <w:multiLevelType w:val="multilevel"/>
    <w:tmpl w:val="666CA4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1816635">
    <w:abstractNumId w:val="3"/>
  </w:num>
  <w:num w:numId="2" w16cid:durableId="806821995">
    <w:abstractNumId w:val="2"/>
  </w:num>
  <w:num w:numId="3" w16cid:durableId="39281336">
    <w:abstractNumId w:val="1"/>
  </w:num>
  <w:num w:numId="4" w16cid:durableId="1377462744">
    <w:abstractNumId w:val="0"/>
  </w:num>
  <w:num w:numId="5" w16cid:durableId="879442003">
    <w:abstractNumId w:val="15"/>
  </w:num>
  <w:num w:numId="6" w16cid:durableId="119811016">
    <w:abstractNumId w:val="22"/>
  </w:num>
  <w:num w:numId="7" w16cid:durableId="1117023033">
    <w:abstractNumId w:val="21"/>
  </w:num>
  <w:num w:numId="8" w16cid:durableId="1155299779">
    <w:abstractNumId w:val="25"/>
  </w:num>
  <w:num w:numId="9" w16cid:durableId="195389578">
    <w:abstractNumId w:val="19"/>
  </w:num>
  <w:num w:numId="10" w16cid:durableId="876353638">
    <w:abstractNumId w:val="6"/>
  </w:num>
  <w:num w:numId="11" w16cid:durableId="1994480689">
    <w:abstractNumId w:val="24"/>
  </w:num>
  <w:num w:numId="12" w16cid:durableId="1797871590">
    <w:abstractNumId w:val="18"/>
  </w:num>
  <w:num w:numId="13" w16cid:durableId="1562328898">
    <w:abstractNumId w:val="5"/>
  </w:num>
  <w:num w:numId="14" w16cid:durableId="168108933">
    <w:abstractNumId w:val="14"/>
  </w:num>
  <w:num w:numId="15" w16cid:durableId="1949040878">
    <w:abstractNumId w:val="11"/>
  </w:num>
  <w:num w:numId="16" w16cid:durableId="1851990130">
    <w:abstractNumId w:val="8"/>
  </w:num>
  <w:num w:numId="17" w16cid:durableId="167372541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749810418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071079634">
    <w:abstractNumId w:val="12"/>
  </w:num>
  <w:num w:numId="20" w16cid:durableId="1693915567">
    <w:abstractNumId w:val="9"/>
  </w:num>
  <w:num w:numId="21" w16cid:durableId="1076829386">
    <w:abstractNumId w:val="23"/>
  </w:num>
  <w:num w:numId="22" w16cid:durableId="1313635631">
    <w:abstractNumId w:val="13"/>
  </w:num>
  <w:num w:numId="23" w16cid:durableId="841696785">
    <w:abstractNumId w:val="20"/>
  </w:num>
  <w:num w:numId="24" w16cid:durableId="2090031262">
    <w:abstractNumId w:val="17"/>
  </w:num>
  <w:num w:numId="25" w16cid:durableId="1162086997">
    <w:abstractNumId w:val="16"/>
  </w:num>
  <w:num w:numId="26" w16cid:durableId="2022581501">
    <w:abstractNumId w:val="7"/>
  </w:num>
  <w:num w:numId="27" w16cid:durableId="2020619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2"/>
    <w:rsid w:val="000032D1"/>
    <w:rsid w:val="00021B81"/>
    <w:rsid w:val="000314C0"/>
    <w:rsid w:val="0004423F"/>
    <w:rsid w:val="00050F8E"/>
    <w:rsid w:val="000606CE"/>
    <w:rsid w:val="000646A6"/>
    <w:rsid w:val="00072CF6"/>
    <w:rsid w:val="000C4D30"/>
    <w:rsid w:val="000C613B"/>
    <w:rsid w:val="000D5C4B"/>
    <w:rsid w:val="0010050E"/>
    <w:rsid w:val="00103A91"/>
    <w:rsid w:val="00141C86"/>
    <w:rsid w:val="001736C9"/>
    <w:rsid w:val="001809BB"/>
    <w:rsid w:val="001A49ED"/>
    <w:rsid w:val="001B094B"/>
    <w:rsid w:val="001C4010"/>
    <w:rsid w:val="001E51A8"/>
    <w:rsid w:val="002004AE"/>
    <w:rsid w:val="00212F08"/>
    <w:rsid w:val="00214175"/>
    <w:rsid w:val="002317EA"/>
    <w:rsid w:val="002354F4"/>
    <w:rsid w:val="002365AB"/>
    <w:rsid w:val="002A6273"/>
    <w:rsid w:val="002D13E5"/>
    <w:rsid w:val="002F4FED"/>
    <w:rsid w:val="00332811"/>
    <w:rsid w:val="00396BE4"/>
    <w:rsid w:val="003B41D0"/>
    <w:rsid w:val="003E5CDF"/>
    <w:rsid w:val="00412CEE"/>
    <w:rsid w:val="00420CB4"/>
    <w:rsid w:val="0045558C"/>
    <w:rsid w:val="004706F6"/>
    <w:rsid w:val="0049549F"/>
    <w:rsid w:val="004B5A62"/>
    <w:rsid w:val="00515D47"/>
    <w:rsid w:val="00534783"/>
    <w:rsid w:val="005537DF"/>
    <w:rsid w:val="00564BB1"/>
    <w:rsid w:val="00575D6C"/>
    <w:rsid w:val="005B4111"/>
    <w:rsid w:val="005C15E3"/>
    <w:rsid w:val="005F7DA9"/>
    <w:rsid w:val="006056C8"/>
    <w:rsid w:val="00662DA6"/>
    <w:rsid w:val="00664AE3"/>
    <w:rsid w:val="0067030A"/>
    <w:rsid w:val="00677920"/>
    <w:rsid w:val="00700836"/>
    <w:rsid w:val="00706FF6"/>
    <w:rsid w:val="007147D9"/>
    <w:rsid w:val="007164B6"/>
    <w:rsid w:val="007510C5"/>
    <w:rsid w:val="007A6486"/>
    <w:rsid w:val="007E7A18"/>
    <w:rsid w:val="00807B28"/>
    <w:rsid w:val="00813DD1"/>
    <w:rsid w:val="00816E1C"/>
    <w:rsid w:val="00834DD9"/>
    <w:rsid w:val="008B1A4F"/>
    <w:rsid w:val="008E5AA2"/>
    <w:rsid w:val="008E7589"/>
    <w:rsid w:val="009067F4"/>
    <w:rsid w:val="00913F7D"/>
    <w:rsid w:val="00944C1C"/>
    <w:rsid w:val="009D0826"/>
    <w:rsid w:val="009D41EA"/>
    <w:rsid w:val="009F4096"/>
    <w:rsid w:val="009F70FE"/>
    <w:rsid w:val="00A064AF"/>
    <w:rsid w:val="00A30FF7"/>
    <w:rsid w:val="00A37579"/>
    <w:rsid w:val="00A65CCF"/>
    <w:rsid w:val="00A95C0E"/>
    <w:rsid w:val="00AA1506"/>
    <w:rsid w:val="00AA2CBC"/>
    <w:rsid w:val="00AD3929"/>
    <w:rsid w:val="00B10794"/>
    <w:rsid w:val="00B13FA7"/>
    <w:rsid w:val="00B172C1"/>
    <w:rsid w:val="00B55DB0"/>
    <w:rsid w:val="00B761D7"/>
    <w:rsid w:val="00BC5122"/>
    <w:rsid w:val="00BC7F0F"/>
    <w:rsid w:val="00BE2B0F"/>
    <w:rsid w:val="00C465C3"/>
    <w:rsid w:val="00C715C8"/>
    <w:rsid w:val="00C95822"/>
    <w:rsid w:val="00CB238D"/>
    <w:rsid w:val="00CC5BCE"/>
    <w:rsid w:val="00CF7353"/>
    <w:rsid w:val="00D03CE4"/>
    <w:rsid w:val="00D054FF"/>
    <w:rsid w:val="00D7105F"/>
    <w:rsid w:val="00D95B1B"/>
    <w:rsid w:val="00DC2272"/>
    <w:rsid w:val="00E01CCD"/>
    <w:rsid w:val="00E2074D"/>
    <w:rsid w:val="00E41B31"/>
    <w:rsid w:val="00E43EAF"/>
    <w:rsid w:val="00E56020"/>
    <w:rsid w:val="00E84545"/>
    <w:rsid w:val="00EA1042"/>
    <w:rsid w:val="00EB2155"/>
    <w:rsid w:val="00EC45C8"/>
    <w:rsid w:val="00ED6248"/>
    <w:rsid w:val="00EF09D2"/>
    <w:rsid w:val="00EF1A68"/>
    <w:rsid w:val="00F065C8"/>
    <w:rsid w:val="00F360BB"/>
    <w:rsid w:val="00F67F9D"/>
    <w:rsid w:val="00F732B2"/>
    <w:rsid w:val="00F73842"/>
    <w:rsid w:val="00FB11F3"/>
    <w:rsid w:val="00FB6D6B"/>
    <w:rsid w:val="00FC4104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2EFDC"/>
  <w15:chartTrackingRefBased/>
  <w15:docId w15:val="{4CC1CE1D-AA08-414F-9F3F-2F3EC62F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jc w:val="both"/>
      <w:outlineLvl w:val="0"/>
    </w:pPr>
    <w:rPr>
      <w:rFonts w:ascii="Arial" w:hAnsi="Arial"/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qFormat/>
    <w:pPr>
      <w:keepNext/>
      <w:widowControl w:val="0"/>
      <w:spacing w:before="240" w:after="60"/>
      <w:outlineLvl w:val="3"/>
    </w:pPr>
    <w:rPr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widowControl w:val="0"/>
      <w:numPr>
        <w:numId w:val="1"/>
      </w:numPr>
    </w:pPr>
    <w:rPr>
      <w:sz w:val="20"/>
      <w:szCs w:val="20"/>
      <w:lang w:val="en-AU"/>
    </w:rPr>
  </w:style>
  <w:style w:type="paragraph" w:styleId="ListBullet2">
    <w:name w:val="List Bullet 2"/>
    <w:basedOn w:val="Normal"/>
    <w:autoRedefine/>
    <w:pPr>
      <w:widowControl w:val="0"/>
      <w:numPr>
        <w:numId w:val="2"/>
      </w:numPr>
    </w:pPr>
    <w:rPr>
      <w:sz w:val="20"/>
      <w:szCs w:val="20"/>
      <w:lang w:val="en-AU"/>
    </w:rPr>
  </w:style>
  <w:style w:type="paragraph" w:styleId="ListBullet4">
    <w:name w:val="List Bullet 4"/>
    <w:basedOn w:val="Normal"/>
    <w:autoRedefine/>
    <w:pPr>
      <w:widowControl w:val="0"/>
      <w:numPr>
        <w:numId w:val="3"/>
      </w:numPr>
      <w:tabs>
        <w:tab w:val="clear" w:pos="1209"/>
        <w:tab w:val="num" w:pos="540"/>
      </w:tabs>
      <w:ind w:left="0" w:firstLine="0"/>
    </w:pPr>
    <w:rPr>
      <w:sz w:val="20"/>
      <w:szCs w:val="20"/>
      <w:lang w:val="en-AU"/>
    </w:rPr>
  </w:style>
  <w:style w:type="paragraph" w:styleId="ListBullet5">
    <w:name w:val="List Bullet 5"/>
    <w:basedOn w:val="Normal"/>
    <w:autoRedefine/>
    <w:rsid w:val="00FC4104"/>
    <w:pPr>
      <w:widowControl w:val="0"/>
      <w:numPr>
        <w:numId w:val="13"/>
      </w:numPr>
      <w:jc w:val="both"/>
    </w:pPr>
    <w:rPr>
      <w:sz w:val="22"/>
      <w:szCs w:val="22"/>
    </w:rPr>
  </w:style>
  <w:style w:type="paragraph" w:styleId="BalloonText">
    <w:name w:val="Balloon Text"/>
    <w:basedOn w:val="Normal"/>
    <w:semiHidden/>
    <w:pPr>
      <w:widowControl w:val="0"/>
    </w:pPr>
    <w:rPr>
      <w:rFonts w:ascii="Tahoma" w:hAnsi="Tahoma" w:cs="Tahoma"/>
      <w:sz w:val="16"/>
      <w:szCs w:val="16"/>
      <w:lang w:val="en-AU"/>
    </w:rPr>
  </w:style>
  <w:style w:type="paragraph" w:customStyle="1" w:styleId="statymopavad">
    <w:name w:val="statymopavad"/>
    <w:basedOn w:val="Normal"/>
    <w:pPr>
      <w:spacing w:before="100" w:beforeAutospacing="1" w:after="100" w:afterAutospacing="1"/>
    </w:pPr>
    <w:rPr>
      <w:lang w:eastAsia="lt-LT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en-AU"/>
    </w:rPr>
  </w:style>
  <w:style w:type="paragraph" w:styleId="BodyText">
    <w:name w:val="Body Text"/>
    <w:basedOn w:val="Normal"/>
    <w:pPr>
      <w:jc w:val="both"/>
    </w:pPr>
    <w:rPr>
      <w:sz w:val="22"/>
      <w:szCs w:val="20"/>
      <w:lang w:val="en-AU"/>
    </w:rPr>
  </w:style>
  <w:style w:type="paragraph" w:styleId="List">
    <w:name w:val="List"/>
    <w:basedOn w:val="Normal"/>
    <w:pPr>
      <w:widowControl w:val="0"/>
      <w:ind w:left="283" w:hanging="283"/>
    </w:pPr>
    <w:rPr>
      <w:sz w:val="20"/>
      <w:szCs w:val="20"/>
      <w:lang w:val="en-AU"/>
    </w:rPr>
  </w:style>
  <w:style w:type="paragraph" w:styleId="List2">
    <w:name w:val="List 2"/>
    <w:basedOn w:val="Normal"/>
    <w:pPr>
      <w:widowControl w:val="0"/>
      <w:ind w:left="566" w:hanging="283"/>
    </w:pPr>
    <w:rPr>
      <w:sz w:val="20"/>
      <w:szCs w:val="20"/>
      <w:lang w:val="en-AU"/>
    </w:rPr>
  </w:style>
  <w:style w:type="paragraph" w:styleId="BodyText2">
    <w:name w:val="Body Text 2"/>
    <w:basedOn w:val="Normal"/>
    <w:pPr>
      <w:jc w:val="both"/>
    </w:pPr>
    <w:rPr>
      <w:szCs w:val="20"/>
      <w:lang w:val="en-AU"/>
    </w:rPr>
  </w:style>
  <w:style w:type="paragraph" w:styleId="List3">
    <w:name w:val="List 3"/>
    <w:basedOn w:val="Normal"/>
    <w:pPr>
      <w:widowControl w:val="0"/>
      <w:ind w:left="849" w:hanging="283"/>
    </w:pPr>
    <w:rPr>
      <w:sz w:val="20"/>
      <w:szCs w:val="20"/>
      <w:lang w:val="en-AU"/>
    </w:rPr>
  </w:style>
  <w:style w:type="paragraph" w:styleId="BodyTextIndent2">
    <w:name w:val="Body Text Indent 2"/>
    <w:basedOn w:val="Normal"/>
    <w:pPr>
      <w:ind w:left="851" w:hanging="426"/>
      <w:jc w:val="both"/>
    </w:pPr>
    <w:rPr>
      <w:sz w:val="22"/>
      <w:szCs w:val="20"/>
      <w:lang w:val="en-AU"/>
    </w:rPr>
  </w:style>
  <w:style w:type="paragraph" w:styleId="List4">
    <w:name w:val="List 4"/>
    <w:basedOn w:val="Normal"/>
    <w:pPr>
      <w:widowControl w:val="0"/>
      <w:ind w:left="1132" w:hanging="283"/>
    </w:pPr>
    <w:rPr>
      <w:sz w:val="20"/>
      <w:szCs w:val="20"/>
      <w:lang w:val="en-AU"/>
    </w:rPr>
  </w:style>
  <w:style w:type="paragraph" w:styleId="List5">
    <w:name w:val="List 5"/>
    <w:basedOn w:val="Normal"/>
    <w:pPr>
      <w:widowControl w:val="0"/>
      <w:ind w:left="1415" w:hanging="283"/>
    </w:pPr>
    <w:rPr>
      <w:sz w:val="20"/>
      <w:szCs w:val="20"/>
      <w:lang w:val="en-AU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widowControl w:val="0"/>
    </w:pPr>
    <w:rPr>
      <w:sz w:val="22"/>
      <w:szCs w:val="22"/>
    </w:rPr>
  </w:style>
  <w:style w:type="paragraph" w:styleId="Caption">
    <w:name w:val="caption"/>
    <w:basedOn w:val="Normal"/>
    <w:next w:val="Normal"/>
    <w:qFormat/>
    <w:pPr>
      <w:widowControl w:val="0"/>
      <w:spacing w:before="120" w:after="120"/>
    </w:pPr>
    <w:rPr>
      <w:b/>
      <w:bCs/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4">
    <w:name w:val="Head 4"/>
    <w:basedOn w:val="Heading3"/>
    <w:pPr>
      <w:widowControl/>
      <w:outlineLvl w:val="9"/>
    </w:pPr>
    <w:rPr>
      <w:rFonts w:ascii="|_Futura Book BT" w:hAnsi="|_Futura Book BT" w:cs="Times New Roman"/>
      <w:bCs w:val="0"/>
      <w:sz w:val="20"/>
      <w:szCs w:val="20"/>
      <w:lang w:val="en-GB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ighlight4">
    <w:name w:val="highlight4"/>
    <w:basedOn w:val="DefaultParagraphFont"/>
    <w:rPr>
      <w:color w:val="66666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tab-entete">
    <w:name w:val="tab-entete"/>
    <w:basedOn w:val="Normal"/>
    <w:next w:val="Normal"/>
    <w:pPr>
      <w:jc w:val="center"/>
    </w:pPr>
    <w:rPr>
      <w:rFonts w:ascii="Lucida Sans Unicode" w:eastAsia="Arial Unicode MS" w:hAnsi="Lucida Sans Unicode" w:cs="Lucida Sans Unicode"/>
      <w:b/>
      <w:color w:val="FFFFFF"/>
      <w:sz w:val="20"/>
      <w:szCs w:val="20"/>
      <w:lang w:val="fr-FR" w:eastAsia="fr-FR"/>
    </w:rPr>
  </w:style>
  <w:style w:type="paragraph" w:customStyle="1" w:styleId="tab-line">
    <w:name w:val="tab-line"/>
    <w:basedOn w:val="Normal"/>
    <w:next w:val="Normal"/>
    <w:pPr>
      <w:spacing w:line="200" w:lineRule="exact"/>
    </w:pPr>
    <w:rPr>
      <w:rFonts w:ascii="Lucida Sans Unicode" w:eastAsia="Arial Unicode MS" w:hAnsi="Lucida Sans Unicode" w:cs="Lucida Sans Unicode"/>
      <w:color w:val="000080"/>
      <w:sz w:val="20"/>
      <w:szCs w:val="20"/>
      <w:lang w:val="fr-FR" w:eastAsia="fr-FR"/>
    </w:rPr>
  </w:style>
  <w:style w:type="paragraph" w:customStyle="1" w:styleId="tab-line-centre">
    <w:name w:val="tab-line-centre"/>
    <w:basedOn w:val="tab-line"/>
    <w:pPr>
      <w:jc w:val="center"/>
    </w:pPr>
  </w:style>
  <w:style w:type="paragraph" w:customStyle="1" w:styleId="Diagrama">
    <w:name w:val="Diagrama"/>
    <w:basedOn w:val="Normal"/>
    <w:semiHidden/>
    <w:rsid w:val="003E5CD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">
    <w:name w:val="st"/>
    <w:basedOn w:val="DefaultParagraphFont"/>
    <w:rsid w:val="007E7A18"/>
  </w:style>
  <w:style w:type="character" w:customStyle="1" w:styleId="apple-converted-space">
    <w:name w:val="apple-converted-space"/>
    <w:basedOn w:val="DefaultParagraphFont"/>
    <w:rsid w:val="007510C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entele,Sąrašo pastraipa.Bullet,punktai"/>
    <w:basedOn w:val="Normal"/>
    <w:link w:val="ListParagraphChar"/>
    <w:uiPriority w:val="34"/>
    <w:qFormat/>
    <w:rsid w:val="00CC5BCE"/>
    <w:pPr>
      <w:ind w:left="720"/>
      <w:contextualSpacing/>
    </w:pPr>
  </w:style>
  <w:style w:type="paragraph" w:styleId="Revision">
    <w:name w:val="Revision"/>
    <w:hidden/>
    <w:uiPriority w:val="99"/>
    <w:semiHidden/>
    <w:rsid w:val="00DC2272"/>
    <w:rPr>
      <w:sz w:val="24"/>
      <w:szCs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212F08"/>
    <w:rPr>
      <w:sz w:val="24"/>
      <w:szCs w:val="24"/>
      <w:lang w:eastAsia="en-US"/>
    </w:rPr>
  </w:style>
  <w:style w:type="character" w:customStyle="1" w:styleId="m-1540886515878932994translation">
    <w:name w:val="m_-1540886515878932994translation"/>
    <w:rsid w:val="00212F08"/>
  </w:style>
  <w:style w:type="table" w:customStyle="1" w:styleId="prastojilentel1">
    <w:name w:val="Įprastoji lentelė1"/>
    <w:uiPriority w:val="99"/>
    <w:semiHidden/>
    <w:rsid w:val="00212F08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D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eit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c@rsc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i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eit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FF46-F2E7-45B4-9319-194AE277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PIRKIMO-PARDAVIMO SUTARTIS Nr</vt:lpstr>
    </vt:vector>
  </TitlesOfParts>
  <Company>UAB Elsis biuro sistemos</Company>
  <LinksUpToDate>false</LinksUpToDate>
  <CharactersWithSpaces>9283</CharactersWithSpaces>
  <SharedDoc>false</SharedDoc>
  <HLinks>
    <vt:vector size="12" baseType="variant"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mailto:service@eit.lt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https://service.eit.lt/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PIRKIMO-PARDAVIMO SUTARTIS Nr</dc:title>
  <dc:subject/>
  <dc:creator>VBS_MindaugasT</dc:creator>
  <cp:keywords/>
  <dc:description/>
  <cp:lastModifiedBy>Ričardas Stundžia</cp:lastModifiedBy>
  <cp:revision>15</cp:revision>
  <cp:lastPrinted>2012-06-04T13:29:00Z</cp:lastPrinted>
  <dcterms:created xsi:type="dcterms:W3CDTF">2025-04-07T05:33:00Z</dcterms:created>
  <dcterms:modified xsi:type="dcterms:W3CDTF">2025-04-07T08:20:00Z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5fa92e13,3f8a193b,545f3cee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001c2d96-363f-43cf-9cda-bec2410639c7_Enabled">
    <vt:lpwstr>true</vt:lpwstr>
  </property>
  <property fmtid="{D5CDD505-2E9C-101B-9397-08002B2CF9AE}" pid="6" name="MSIP_Label_001c2d96-363f-43cf-9cda-bec2410639c7_SetDate">
    <vt:lpwstr>2025-04-04T14:50:55Z</vt:lpwstr>
  </property>
  <property fmtid="{D5CDD505-2E9C-101B-9397-08002B2CF9AE}" pid="7" name="MSIP_Label_001c2d96-363f-43cf-9cda-bec2410639c7_Method">
    <vt:lpwstr>Standard</vt:lpwstr>
  </property>
  <property fmtid="{D5CDD505-2E9C-101B-9397-08002B2CF9AE}" pid="8" name="MSIP_Label_001c2d96-363f-43cf-9cda-bec2410639c7_Name">
    <vt:lpwstr>Internal</vt:lpwstr>
  </property>
  <property fmtid="{D5CDD505-2E9C-101B-9397-08002B2CF9AE}" pid="9" name="MSIP_Label_001c2d96-363f-43cf-9cda-bec2410639c7_SiteId">
    <vt:lpwstr>69f33b89-7ef2-4798-adcb-2955362d285a</vt:lpwstr>
  </property>
  <property fmtid="{D5CDD505-2E9C-101B-9397-08002B2CF9AE}" pid="10" name="MSIP_Label_001c2d96-363f-43cf-9cda-bec2410639c7_ActionId">
    <vt:lpwstr>3e88f83f-8975-482a-9722-4f55305fa0ef</vt:lpwstr>
  </property>
  <property fmtid="{D5CDD505-2E9C-101B-9397-08002B2CF9AE}" pid="11" name="MSIP_Label_001c2d96-363f-43cf-9cda-bec2410639c7_ContentBits">
    <vt:lpwstr>2</vt:lpwstr>
  </property>
  <property fmtid="{D5CDD505-2E9C-101B-9397-08002B2CF9AE}" pid="12" name="MSIP_Label_001c2d96-363f-43cf-9cda-bec2410639c7_Tag">
    <vt:lpwstr>10, 3, 0, 1</vt:lpwstr>
  </property>
</Properties>
</file>