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_rels/fontTable.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Times New Roman" w:hAnsi="Times New Roman" w:eastAsia="Times New Roman" w:cs="Times New Roman"/>
          <w:b/>
          <w:sz w:val="24"/>
          <w:szCs w:val="24"/>
        </w:rPr>
      </w:pPr>
      <w:r>
        <w:rPr>
          <w:rFonts w:eastAsia="Times New Roman" w:cs="Times New Roman" w:ascii="Times New Roman" w:hAnsi="Times New Roman"/>
          <w:b/>
          <w:sz w:val="24"/>
          <w:szCs w:val="24"/>
        </w:rPr>
        <w:t>Paslaugų sutartis Nr. S-</w:t>
      </w:r>
    </w:p>
    <w:p>
      <w:pPr>
        <w:pStyle w:val="Normal"/>
        <w:keepNext w:val="true"/>
        <w:spacing w:before="24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2025 m.  d.</w:t>
      </w:r>
    </w:p>
    <w:p>
      <w:pPr>
        <w:pStyle w:val="Normal"/>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Kaunas</w:t>
      </w:r>
    </w:p>
    <w:p>
      <w:pPr>
        <w:pStyle w:val="Normal"/>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hd w:val="clear" w:color="auto" w:fill="FFFFFF"/>
        <w:jc w:val="both"/>
        <w:rPr>
          <w:b/>
          <w:bCs/>
        </w:rPr>
      </w:pPr>
      <w:r>
        <w:rPr>
          <w:rFonts w:eastAsia="Times New Roman" w:cs="Times New Roman" w:ascii="Times New Roman" w:hAnsi="Times New Roman"/>
          <w:b/>
          <w:sz w:val="24"/>
          <w:szCs w:val="24"/>
        </w:rPr>
        <w:t>Kauno miesto savivaldybės visuomenės sveikatos biuras</w:t>
      </w:r>
      <w:r>
        <w:rPr>
          <w:rFonts w:eastAsia="Times New Roman" w:cs="Times New Roman" w:ascii="Times New Roman" w:hAnsi="Times New Roman"/>
          <w:sz w:val="24"/>
          <w:szCs w:val="24"/>
        </w:rPr>
        <w:t xml:space="preserve">, įmonės kodas 301676575 Vaidoto g. 115, Kaunas, atstovaujamas direktorės Gerdos Kuzmarskienės, veikiančios pagal Kauno miesto savivaldybės visuomenės sveikatos biuro nuostatus (toliau – Perkančioji organizacija) ir </w:t>
      </w:r>
      <w:r>
        <w:rPr>
          <w:rFonts w:eastAsia="Times New Roman" w:cs="Times New Roman" w:ascii="Times New Roman" w:hAnsi="Times New Roman"/>
          <w:b/>
          <w:bCs/>
          <w:sz w:val="24"/>
          <w:szCs w:val="24"/>
        </w:rPr>
        <w:t xml:space="preserve">VšĮ Vanila </w:t>
      </w:r>
      <w:r>
        <w:rPr>
          <w:rFonts w:eastAsia="Times New Roman" w:cs="Times New Roman" w:ascii="Times New Roman" w:hAnsi="Times New Roman"/>
          <w:sz w:val="24"/>
          <w:szCs w:val="24"/>
        </w:rPr>
        <w:t xml:space="preserve">įmonės kodas </w:t>
      </w:r>
      <w:r>
        <w:rPr>
          <w:rFonts w:eastAsia="Times New Roman" w:cs="Times New Roman" w:ascii="Times New Roman" w:hAnsi="Times New Roman"/>
          <w:sz w:val="24"/>
          <w:szCs w:val="24"/>
        </w:rPr>
        <w:t>48902091160</w:t>
      </w:r>
      <w:r>
        <w:rPr>
          <w:rFonts w:eastAsia="Times New Roman" w:cs="Times New Roman" w:ascii="Times New Roman" w:hAnsi="Times New Roman"/>
          <w:sz w:val="24"/>
          <w:szCs w:val="24"/>
        </w:rPr>
        <w:t xml:space="preserve">, atstovaujama </w:t>
      </w:r>
      <w:r>
        <w:rPr>
          <w:rFonts w:eastAsia="Times New Roman" w:cs="Times New Roman" w:ascii="Times New Roman" w:hAnsi="Times New Roman"/>
          <w:sz w:val="24"/>
          <w:szCs w:val="24"/>
        </w:rPr>
        <w:t>Vilmos Vencienės</w:t>
      </w:r>
      <w:r>
        <w:rPr>
          <w:rFonts w:eastAsia="Times New Roman" w:cs="Times New Roman" w:ascii="Times New Roman" w:hAnsi="Times New Roman"/>
          <w:sz w:val="24"/>
          <w:szCs w:val="24"/>
        </w:rPr>
        <w:t xml:space="preserve">, veikianti pagal </w:t>
      </w:r>
      <w:r>
        <w:rPr>
          <w:rFonts w:eastAsia="Times New Roman" w:cs="Times New Roman" w:ascii="Times New Roman" w:hAnsi="Times New Roman"/>
          <w:sz w:val="24"/>
          <w:szCs w:val="24"/>
        </w:rPr>
        <w:t>įstatus</w:t>
      </w:r>
      <w:r>
        <w:rPr>
          <w:rFonts w:eastAsia="Times New Roman" w:cs="Times New Roman" w:ascii="Times New Roman" w:hAnsi="Times New Roman"/>
          <w:sz w:val="24"/>
          <w:szCs w:val="24"/>
        </w:rPr>
        <w:t xml:space="preserve"> (toliau – Paslaugos teikėjas), kartu vadinamos Šalimis, o atskirai – Šalimi, sudarė šią paslaugų sutartį (toliau - Sutartis): </w:t>
      </w:r>
    </w:p>
    <w:p>
      <w:pPr>
        <w:pStyle w:val="Normal"/>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b/>
          <w:color w:val="000000"/>
          <w:sz w:val="24"/>
          <w:szCs w:val="24"/>
        </w:rPr>
        <w:t>SUTARTIES OBJEKTAS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Paslaugos teikėjas įsipareigoja Perkančiajai organizacijai suteikti</w:t>
      </w:r>
      <w:r>
        <w:rPr>
          <w:rFonts w:eastAsia="Times New Roman" w:cs="Times New Roman" w:ascii="Times New Roman" w:hAnsi="Times New Roman"/>
          <w:b/>
          <w:bCs/>
          <w:color w:val="000000"/>
          <w:sz w:val="24"/>
          <w:szCs w:val="24"/>
        </w:rPr>
        <w:t xml:space="preserve"> Porinių šokių vedimo paslaugas</w:t>
      </w:r>
      <w:r>
        <w:rPr>
          <w:rFonts w:eastAsia="Times New Roman" w:cs="Times New Roman" w:ascii="Times New Roman" w:hAnsi="Times New Roman"/>
          <w:color w:val="000000"/>
          <w:sz w:val="24"/>
          <w:szCs w:val="24"/>
        </w:rPr>
        <w:t xml:space="preserve"> (toliau – Paslaugos), o Perkančioji organizacija įsipareigoja priimti Paslaugas ir už jas sumokėti. </w:t>
      </w:r>
    </w:p>
    <w:p>
      <w:pPr>
        <w:pStyle w:val="Normal"/>
        <w:numPr>
          <w:ilvl w:val="1"/>
          <w:numId w:val="2"/>
        </w:numPr>
        <w:pBdr/>
        <w:ind w:hanging="0" w:left="0"/>
        <w:jc w:val="both"/>
        <w:rPr>
          <w:rFonts w:ascii="Times New Roman" w:hAnsi="Times New Roman" w:eastAsia="Times New Roman" w:cs="Times New Roman"/>
          <w:color w:val="000000"/>
          <w:sz w:val="24"/>
          <w:szCs w:val="24"/>
        </w:rPr>
      </w:pPr>
      <w:bookmarkStart w:id="0" w:name="_heading=h.gjdgxs"/>
      <w:bookmarkEnd w:id="0"/>
      <w:r>
        <w:rPr>
          <w:rFonts w:eastAsia="Times New Roman" w:cs="Times New Roman" w:ascii="Times New Roman" w:hAnsi="Times New Roman"/>
          <w:color w:val="000000"/>
          <w:sz w:val="24"/>
          <w:szCs w:val="24"/>
        </w:rPr>
        <w:t>Paslaugos teikėjas suteikia galimybę naudotis Paslaugomis iš anksto sutarta diena ir laiku (Sutarties 1 priedas).</w:t>
      </w:r>
    </w:p>
    <w:p>
      <w:pPr>
        <w:pStyle w:val="Normal"/>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numPr>
          <w:ilvl w:val="0"/>
          <w:numId w:val="2"/>
        </w:numPr>
        <w:pBdr/>
        <w:ind w:hanging="0" w:left="0"/>
        <w:jc w:val="both"/>
        <w:rPr>
          <w:rFonts w:ascii="Times New Roman" w:hAnsi="Times New Roman" w:eastAsia="Times New Roman" w:cs="Times New Roman"/>
          <w:b/>
          <w:color w:val="000000"/>
          <w:sz w:val="24"/>
          <w:szCs w:val="24"/>
        </w:rPr>
      </w:pPr>
      <w:r>
        <w:rPr>
          <w:rFonts w:eastAsia="Times New Roman" w:cs="Times New Roman" w:ascii="Times New Roman" w:hAnsi="Times New Roman"/>
          <w:b/>
          <w:color w:val="000000"/>
          <w:sz w:val="24"/>
          <w:szCs w:val="24"/>
        </w:rPr>
        <w:t>SUTARTIES KAINA IR MOKĖJIMO SĄLYGOS</w:t>
      </w:r>
    </w:p>
    <w:p>
      <w:pPr>
        <w:pStyle w:val="Normal"/>
        <w:pBdr/>
        <w:jc w:val="both"/>
        <w:rPr>
          <w:rFonts w:ascii="Times New Roman" w:hAnsi="Times New Roman" w:eastAsia="Times New Roman" w:cs="Times New Roman"/>
          <w:color w:val="000000"/>
          <w:sz w:val="23"/>
          <w:szCs w:val="23"/>
        </w:rPr>
      </w:pPr>
      <w:r>
        <w:rPr>
          <w:rFonts w:eastAsia="Times New Roman" w:cs="Times New Roman" w:ascii="Times New Roman" w:hAnsi="Times New Roman"/>
          <w:color w:val="000000"/>
          <w:sz w:val="24"/>
          <w:szCs w:val="24"/>
        </w:rPr>
        <w:t xml:space="preserve">Pagal šią Sutartį Paslaugų bendra kaina </w:t>
      </w:r>
      <w:r>
        <w:rPr>
          <w:rFonts w:eastAsia="Times New Roman" w:cs="Times New Roman" w:ascii="Times New Roman" w:hAnsi="Times New Roman"/>
          <w:b/>
          <w:bCs/>
          <w:i/>
          <w:iCs/>
          <w:color w:val="000000"/>
          <w:sz w:val="24"/>
          <w:szCs w:val="24"/>
        </w:rPr>
        <w:t>6720</w:t>
      </w:r>
      <w:r>
        <w:rPr>
          <w:rFonts w:eastAsia="Times New Roman" w:cs="Times New Roman" w:ascii="Times New Roman" w:hAnsi="Times New Roman"/>
          <w:b/>
          <w:i/>
          <w:color w:val="000000"/>
          <w:sz w:val="24"/>
          <w:szCs w:val="24"/>
          <w:lang w:val="en-US"/>
        </w:rPr>
        <w:t xml:space="preserve">,00 </w:t>
      </w:r>
      <w:r>
        <w:rPr>
          <w:rFonts w:eastAsia="Times New Roman" w:cs="Times New Roman" w:ascii="Times New Roman" w:hAnsi="Times New Roman"/>
          <w:b/>
          <w:i/>
          <w:color w:val="000000"/>
          <w:sz w:val="24"/>
          <w:szCs w:val="24"/>
        </w:rPr>
        <w:t xml:space="preserve">Eur </w:t>
      </w:r>
      <w:r>
        <w:rPr>
          <w:rFonts w:eastAsia="Times New Roman" w:cs="Times New Roman" w:ascii="Times New Roman" w:hAnsi="Times New Roman"/>
          <w:color w:val="000000"/>
          <w:sz w:val="24"/>
          <w:szCs w:val="24"/>
        </w:rPr>
        <w:t>(su visais mokesčiais).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Perkančioji organizacija už Paslaugas sumoka sąskaitoje faktūroje nurodytą sumą per 30 dienų nuo sąskaitos faktūros gavimo dienos.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Paslaugos teikėjas, už praėjusį mėnesį suteiktas Paslaugas, pateikia sąskaitą faktūrą sistemoje SABIS per sekančio mėnesio pirmas 5 d. d. Visas išlaidas už sąskaitos pateikimą apmoka Paslaugų teikėjas.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Apmokėjimas vykdomas į Paslaugų teikėjo sąskaitą banke, nurodytą prie jo rekvizitų Sutarties gale arba pateiktoje sąskaitoje faktūroje.</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Paslaugų kaina su PVM Sutarties galiojimo laikotarpiu gali būti peržiūrimi (perskaičiuojami) tokiomis sąlygomis ir tvarka:</w:t>
      </w:r>
    </w:p>
    <w:p>
      <w:pPr>
        <w:pStyle w:val="ListParagraph"/>
        <w:numPr>
          <w:ilvl w:val="2"/>
          <w:numId w:val="2"/>
        </w:numPr>
        <w:spacing w:lineRule="auto" w:line="240"/>
        <w:rPr>
          <w:szCs w:val="24"/>
        </w:rPr>
      </w:pPr>
      <w:r>
        <w:rPr>
          <w:szCs w:val="24"/>
        </w:rPr>
        <w:t>Paslaugų kainų su PVM perskaičiavimas inicijuojamas rašytiniu Šalies prašymu. Sutartyje numatyta kaina gali būti perskaičiuojami, jeigu Valstybės duomenų agentūros (</w:t>
      </w:r>
      <w:hyperlink r:id="rId2">
        <w:r>
          <w:rPr>
            <w:rStyle w:val="Hyperlink"/>
            <w:szCs w:val="24"/>
          </w:rPr>
          <w:t>www.stat.gov.lt</w:t>
        </w:r>
      </w:hyperlink>
      <w:r>
        <w:rPr>
          <w:szCs w:val="24"/>
        </w:rPr>
        <w:t>) kas mėnesį skelbiamo vartotojų kainų indekso (VKI) „12 Įvairios prekės ir paslaugos“ pokytis (k), apskaičiuotas, kaip nustatyta Sutarties 5.2 papunktyje, yra didesnis kaip 7 proc. Atlikdamos perskaičiavimą, Šalys vadovaujasi Valstybės duomenų agentūros viešai Oficialiosios statistikos portale paskelbtais Rodiklių duomenų bazės duomenimis, iš kitos Šalies nereikalaudamos pateikti oficialaus Valstybės duomenų agentūros ar kitos institucijos išduoto dokumento ar patvirtinimo;</w:t>
      </w:r>
    </w:p>
    <w:p>
      <w:pPr>
        <w:pStyle w:val="Normal"/>
        <w:numPr>
          <w:ilvl w:val="1"/>
          <w:numId w:val="2"/>
        </w:numPr>
        <w:pBdr/>
        <w:ind w:hanging="0" w:left="0"/>
        <w:jc w:val="both"/>
        <w:rPr>
          <w:szCs w:val="24"/>
        </w:rPr>
      </w:pPr>
      <w:r>
        <w:rPr>
          <w:rFonts w:eastAsia="Times New Roman" w:cs="Times New Roman" w:ascii="Times New Roman" w:hAnsi="Times New Roman"/>
          <w:color w:val="000000"/>
          <w:sz w:val="24"/>
          <w:szCs w:val="24"/>
        </w:rPr>
        <w:t xml:space="preserve"> </w:t>
      </w:r>
      <w:r>
        <w:rPr>
          <w:rFonts w:eastAsia="Times New Roman" w:cs="Times New Roman" w:ascii="Times New Roman" w:hAnsi="Times New Roman"/>
          <w:color w:val="000000"/>
          <w:sz w:val="24"/>
          <w:szCs w:val="24"/>
        </w:rPr>
        <w:t>Nauji įkainiai apskaičiuojami pagal formulę:</w:t>
      </w:r>
    </w:p>
    <w:p>
      <w:pPr>
        <w:pStyle w:val="Normal"/>
        <w:ind w:left="360"/>
        <w:rPr>
          <w:rFonts w:ascii="Times New Roman" w:hAnsi="Times New Roman"/>
          <w:i/>
          <w:i/>
          <w:iCs/>
          <w:sz w:val="24"/>
          <w:szCs w:val="24"/>
        </w:rPr>
      </w:pPr>
      <w:r>
        <w:rPr/>
      </w:r>
      <m:oMath xmlns:m="http://schemas.openxmlformats.org/officeDocument/2006/math">
        <m:sSub>
          <m:e>
            <m:r>
              <w:rPr>
                <w:rFonts w:ascii="Cambria Math" w:hAnsi="Cambria Math"/>
              </w:rPr>
              <m:t xml:space="preserve">a</m:t>
            </m:r>
          </m:e>
          <m:sub>
            <m:r>
              <w:rPr>
                <w:rFonts w:ascii="Cambria Math" w:hAnsi="Cambria Math"/>
              </w:rPr>
              <m:t xml:space="preserve">1</m:t>
            </m:r>
          </m:sub>
        </m:sSub>
        <m:r>
          <w:rPr>
            <w:rFonts w:ascii="Cambria Math" w:hAnsi="Cambria Math"/>
          </w:rPr>
          <m:t xml:space="preserve">=</m:t>
        </m:r>
        <m:r>
          <w:rPr>
            <w:rFonts w:ascii="Cambria Math" w:hAnsi="Cambria Math"/>
          </w:rPr>
          <m:t xml:space="preserve">a</m:t>
        </m:r>
        <m:r>
          <w:rPr>
            <w:rFonts w:ascii="Cambria Math" w:hAnsi="Cambria Math"/>
          </w:rPr>
          <m:t xml:space="preserve">+</m:t>
        </m:r>
        <m:d>
          <m:dPr>
            <m:begChr m:val="("/>
            <m:endChr m:val=")"/>
          </m:dPr>
          <m:e>
            <m:f>
              <m:num>
                <m:r>
                  <w:rPr>
                    <w:rFonts w:ascii="Cambria Math" w:hAnsi="Cambria Math"/>
                  </w:rPr>
                  <m:t xml:space="preserve">k</m:t>
                </m:r>
              </m:num>
              <m:den>
                <m:r>
                  <w:rPr>
                    <w:rFonts w:ascii="Cambria Math" w:hAnsi="Cambria Math"/>
                  </w:rPr>
                  <m:t xml:space="preserve">100</m:t>
                </m:r>
              </m:den>
            </m:f>
            <m:r>
              <w:rPr>
                <w:rFonts w:ascii="Cambria Math" w:hAnsi="Cambria Math"/>
              </w:rPr>
              <m:t xml:space="preserve">×</m:t>
            </m:r>
            <m:r>
              <w:rPr>
                <w:rFonts w:ascii="Cambria Math" w:hAnsi="Cambria Math"/>
              </w:rPr>
              <m:t xml:space="preserve">a</m:t>
            </m:r>
          </m:e>
        </m:d>
      </m:oMath>
      <w:r>
        <w:rPr>
          <w:rFonts w:ascii="Times New Roman" w:hAnsi="Times New Roman"/>
          <w:sz w:val="24"/>
          <w:szCs w:val="24"/>
        </w:rPr>
        <w:t>, kur</w:t>
      </w:r>
    </w:p>
    <w:p>
      <w:pPr>
        <w:pStyle w:val="Normal"/>
        <w:rPr>
          <w:rFonts w:ascii="Times New Roman" w:hAnsi="Times New Roman"/>
          <w:sz w:val="24"/>
          <w:szCs w:val="24"/>
        </w:rPr>
      </w:pPr>
      <w:r>
        <w:rPr>
          <w:rFonts w:ascii="Times New Roman" w:hAnsi="Times New Roman"/>
          <w:sz w:val="24"/>
          <w:szCs w:val="24"/>
        </w:rPr>
        <w:t>a – kaina (Eur be PVM) (jei jis jau buvo perskaičiuotas, tai po paskutinio perskaičiavimo);</w:t>
      </w:r>
    </w:p>
    <w:p>
      <w:pPr>
        <w:pStyle w:val="Normal"/>
        <w:rPr>
          <w:rFonts w:ascii="Times New Roman" w:hAnsi="Times New Roman"/>
          <w:sz w:val="24"/>
          <w:szCs w:val="24"/>
        </w:rPr>
      </w:pPr>
      <w:r>
        <w:rPr>
          <w:rFonts w:ascii="Times New Roman" w:hAnsi="Times New Roman"/>
          <w:sz w:val="24"/>
          <w:szCs w:val="24"/>
        </w:rPr>
        <w:t>a</w:t>
      </w:r>
      <w:r>
        <w:rPr>
          <w:rFonts w:ascii="Times New Roman" w:hAnsi="Times New Roman"/>
          <w:sz w:val="24"/>
          <w:szCs w:val="24"/>
          <w:vertAlign w:val="subscript"/>
        </w:rPr>
        <w:t>1</w:t>
      </w:r>
      <w:r>
        <w:rPr>
          <w:rFonts w:ascii="Times New Roman" w:hAnsi="Times New Roman"/>
          <w:sz w:val="24"/>
          <w:szCs w:val="24"/>
        </w:rPr>
        <w:t xml:space="preserve"> – perskaičiuotas (pakeistas) kaina (Eur be PVM);</w:t>
      </w:r>
    </w:p>
    <w:p>
      <w:pPr>
        <w:pStyle w:val="Normal"/>
        <w:rPr>
          <w:rFonts w:ascii="Times New Roman" w:hAnsi="Times New Roman"/>
          <w:sz w:val="24"/>
          <w:szCs w:val="24"/>
        </w:rPr>
      </w:pPr>
      <w:r>
        <w:rPr>
          <w:rFonts w:ascii="Times New Roman" w:hAnsi="Times New Roman"/>
          <w:sz w:val="24"/>
          <w:szCs w:val="24"/>
        </w:rPr>
        <w:t xml:space="preserve">k – pagal vartotojų kainų indeksą „12 Įvairios prekės ir paslaugos“ apskaičiuotas kainų pokytis (padidėjimas arba sumažėjimas) (proc.). „k“ reikšmė apskaičiuojama pagal formulę: </w:t>
      </w:r>
    </w:p>
    <w:p>
      <w:pPr>
        <w:pStyle w:val="Normal"/>
        <w:rPr>
          <w:rFonts w:ascii="Times New Roman" w:hAnsi="Times New Roman"/>
          <w:sz w:val="24"/>
          <w:szCs w:val="24"/>
        </w:rPr>
      </w:pPr>
      <w:r>
        <w:rPr/>
      </w:r>
      <m:oMath xmlns:m="http://schemas.openxmlformats.org/officeDocument/2006/math">
        <m:r>
          <w:rPr>
            <w:rFonts w:ascii="Cambria Math" w:hAnsi="Cambria Math"/>
          </w:rPr>
          <m:t xml:space="preserve">k</m:t>
        </m:r>
        <m:r>
          <w:rPr>
            <w:rFonts w:ascii="Cambria Math" w:hAnsi="Cambria Math"/>
          </w:rPr>
          <m:t xml:space="preserve">=</m:t>
        </m:r>
        <m:f>
          <m:num>
            <m:sSub>
              <m:e>
                <m:r>
                  <w:rPr>
                    <w:rFonts w:ascii="Cambria Math" w:hAnsi="Cambria Math"/>
                  </w:rPr>
                  <m:t xml:space="preserve">Ind</m:t>
                </m:r>
              </m:e>
              <m:sub>
                <m:r>
                  <w:rPr>
                    <w:rFonts w:ascii="Cambria Math" w:hAnsi="Cambria Math"/>
                  </w:rPr>
                  <m:t xml:space="preserve">naujausias</m:t>
                </m:r>
              </m:sub>
            </m:sSub>
          </m:num>
          <m:den>
            <m:sSub>
              <m:e>
                <m:r>
                  <w:rPr>
                    <w:rFonts w:ascii="Cambria Math" w:hAnsi="Cambria Math"/>
                  </w:rPr>
                  <m:t xml:space="preserve">Ind</m:t>
                </m:r>
              </m:e>
              <m:sub>
                <m:r>
                  <w:rPr>
                    <w:rFonts w:ascii="Cambria Math" w:hAnsi="Cambria Math"/>
                  </w:rPr>
                  <m:t xml:space="preserve">pradžia</m:t>
                </m:r>
              </m:sub>
            </m:sSub>
          </m:den>
        </m:f>
        <m:r>
          <w:rPr>
            <w:rFonts w:ascii="Cambria Math" w:hAnsi="Cambria Math"/>
          </w:rPr>
          <m:t xml:space="preserve">×</m:t>
        </m:r>
        <m:r>
          <w:rPr>
            <w:rFonts w:ascii="Cambria Math" w:hAnsi="Cambria Math"/>
          </w:rPr>
          <m:t xml:space="preserve">100</m:t>
        </m:r>
        <m:r>
          <w:rPr>
            <w:rFonts w:ascii="Cambria Math" w:hAnsi="Cambria Math"/>
          </w:rPr>
          <m:t xml:space="preserve">−</m:t>
        </m:r>
        <m:r>
          <w:rPr>
            <w:rFonts w:ascii="Cambria Math" w:hAnsi="Cambria Math"/>
          </w:rPr>
          <m:t xml:space="preserve">100</m:t>
        </m:r>
      </m:oMath>
      <w:r>
        <w:rPr>
          <w:rFonts w:ascii="Times New Roman" w:hAnsi="Times New Roman"/>
          <w:sz w:val="24"/>
          <w:szCs w:val="24"/>
        </w:rPr>
        <w:t>, (proc.), kur</w:t>
      </w:r>
    </w:p>
    <w:p>
      <w:pPr>
        <w:pStyle w:val="Normal"/>
        <w:rPr>
          <w:rFonts w:ascii="Times New Roman" w:hAnsi="Times New Roman"/>
          <w:sz w:val="24"/>
          <w:szCs w:val="24"/>
        </w:rPr>
      </w:pPr>
      <w:r>
        <w:rPr>
          <w:rFonts w:ascii="Times New Roman" w:hAnsi="Times New Roman"/>
          <w:sz w:val="24"/>
          <w:szCs w:val="24"/>
        </w:rPr>
        <w:t>Ind</w:t>
      </w:r>
      <w:r>
        <w:rPr>
          <w:rFonts w:ascii="Times New Roman" w:hAnsi="Times New Roman"/>
          <w:sz w:val="24"/>
          <w:szCs w:val="24"/>
          <w:vertAlign w:val="subscript"/>
        </w:rPr>
        <w:t>naujausias</w:t>
      </w:r>
      <w:r>
        <w:rPr>
          <w:rFonts w:ascii="Times New Roman" w:hAnsi="Times New Roman"/>
          <w:sz w:val="24"/>
          <w:szCs w:val="24"/>
        </w:rPr>
        <w:t xml:space="preserve"> – kreipimosi dėl kainų perskaičiavimo išsiuntimo kitai šaliai datą naujausias paskelbtas vartotojų kainų indeksas „12 Įvairios prekės ir paslaugos“;</w:t>
      </w:r>
    </w:p>
    <w:p>
      <w:pPr>
        <w:pStyle w:val="Normal"/>
        <w:jc w:val="both"/>
        <w:rPr>
          <w:rFonts w:ascii="Times New Roman" w:hAnsi="Times New Roman"/>
          <w:sz w:val="24"/>
          <w:szCs w:val="24"/>
        </w:rPr>
      </w:pPr>
      <w:r>
        <w:rPr>
          <w:rFonts w:ascii="Times New Roman" w:hAnsi="Times New Roman"/>
          <w:sz w:val="24"/>
          <w:szCs w:val="24"/>
        </w:rPr>
        <w:t>Ind</w:t>
      </w:r>
      <w:r>
        <w:rPr>
          <w:rFonts w:ascii="Times New Roman" w:hAnsi="Times New Roman"/>
          <w:sz w:val="24"/>
          <w:szCs w:val="24"/>
          <w:vertAlign w:val="subscript"/>
        </w:rPr>
        <w:t>pradžia</w:t>
      </w:r>
      <w:r>
        <w:rPr>
          <w:rFonts w:ascii="Times New Roman" w:hAnsi="Times New Roman"/>
          <w:sz w:val="24"/>
          <w:szCs w:val="24"/>
        </w:rPr>
        <w:t xml:space="preserve"> – laikotarpio pradžios datos (mėnesio) vartotojų kainų indeksas „12 Įvairios prekės ir paslaugos“. Pirmojo perskaičiavimo atveju laikotarpio pradžia (mėnuo) yra paskutinės pirkimo, kurio pagrindu sudaryta ši Sutartis, pasiūlymų pateikimo termino dienos mėnuo. Antrojo ir vėlesnių perskaičiavimų atveju laikotarpio pradžia (mėnuo) yra paskutinio perskaičiavimo metu naudotos paskelbto atitinkamo indekso reikšmės mėnuo.</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 xml:space="preserve">Esamos ir bazinės kainos indeksų šaltinis – Valstybės duomenų agentūros duomenų bazės. Šiuos indeksus galima rasti (žingsniai): </w:t>
      </w:r>
      <w:r>
        <w:fldChar w:fldCharType="begin"/>
      </w:r>
      <w:r>
        <w:rPr>
          <w:rStyle w:val="Style3"/>
          <w:sz w:val="24"/>
          <w:szCs w:val="24"/>
          <w:rFonts w:eastAsia="Times New Roman" w:cs="Times New Roman" w:ascii="Times New Roman" w:hAnsi="Times New Roman"/>
          <w:color w:val="000000"/>
        </w:rPr>
        <w:instrText xml:space="preserve"> HYPERLINK "https://osp.stat.gov.lt/statistiniu-rodikliu-analize" \l "/"</w:instrText>
      </w:r>
      <w:r>
        <w:rPr>
          <w:rStyle w:val="Style3"/>
          <w:sz w:val="24"/>
          <w:szCs w:val="24"/>
          <w:rFonts w:eastAsia="Times New Roman" w:cs="Times New Roman" w:ascii="Times New Roman" w:hAnsi="Times New Roman"/>
          <w:color w:val="000000"/>
        </w:rPr>
        <w:fldChar w:fldCharType="separate"/>
      </w:r>
      <w:r>
        <w:rPr>
          <w:rStyle w:val="Style3"/>
          <w:rFonts w:eastAsia="Times New Roman" w:cs="Times New Roman" w:ascii="Times New Roman" w:hAnsi="Times New Roman"/>
          <w:color w:val="000000"/>
          <w:sz w:val="24"/>
          <w:szCs w:val="24"/>
        </w:rPr>
        <w:t>https://osp.stat.gov.lt/statistiniu-rodikliu-analize#/</w:t>
      </w:r>
      <w:r>
        <w:rPr>
          <w:rStyle w:val="Style3"/>
          <w:sz w:val="24"/>
          <w:szCs w:val="24"/>
          <w:rFonts w:eastAsia="Times New Roman" w:cs="Times New Roman" w:ascii="Times New Roman" w:hAnsi="Times New Roman"/>
          <w:color w:val="000000"/>
        </w:rPr>
        <w:fldChar w:fldCharType="end"/>
      </w:r>
      <w:r>
        <w:rPr>
          <w:rFonts w:eastAsia="Times New Roman" w:cs="Times New Roman" w:ascii="Times New Roman" w:hAnsi="Times New Roman"/>
          <w:color w:val="000000"/>
          <w:sz w:val="24"/>
          <w:szCs w:val="24"/>
        </w:rPr>
        <w:t xml:space="preserve"> pasirenkant: Ūkis ir finansai (makroekonomika)\Kainų indeksai, pokyčiai ir kainos\Vartotojų kainų indeksai (VKI), kainų pokyčiai, svoriai, vidutinės kainos\Vartotojų kainų indeksai\Vartotojų kainų indeksai (2015 m. – 100)\Lentelės parinktys\Individualaus vartojimo išlaidų pagal paskirtį klasifikatorius\12 Įvairios prekės ir paslaugos\Nurodomas laikotarpis.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Skaičiavimams indeksų reikšmės imamos keturių skaitmenų po kablelio tikslumu. Apskaičiuotas pokytis (k) tolesniems skaičiavimams naudojamas suapvalinus iki vieno skaitmens po kablelio, o apskaičiuotas įkainis „a“ suapvalinamas iki dviejų skaitmenų po kablelio.</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Vėlesnis kainų arba įkainių perskaičiavimas negali apimti laikotarpio, už kurį perskaičiavimas jau buvo atliktas.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Pirmosios peržiūros terminas netaikomas ir peržiūros dažnumas nėra ribojamas.</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Perskaičiuotos paslaugų kainos su PVM įforminamos rašytiniu Šalių susitarimu. Šalys privalo sudaryti susitarimą dėl kainų perskaičiavimo per 10 darbo dienų nuo Šalies prašymo kitai Šaliai perskaičiuoti kainų pateikimo dienos. Šalys privalo susitarime dėl kainų perskaičiavimo nurodyti indekso reikšmę laikotarpio pradžioje ir jos nustatymo datą, indekso reikšmę laikotarpio pabaigoje ir jos nustatymo datą, kainų pokytį (k), perskaičiuotus kainas ir, esant poreikiui, perskaičiuotą pradinės Sutarties vertę. Susitarimas padidinti / sumažinti paslaugų įkainius ir, esant poreikiui, atitinkamai pakeisti pradinės Sutarties vertę įsigalioja Sutarties Šalims pasirašius susitarimą, kuris bus laikomas sudėtine Sutarties dalimi;</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Perskaičiuotas paslaugų kaina su PVM taikomas tik toms paslaugoms, kurios bus teikiamos po susitarimo dėl paslaugų kaina su PVM perskaičiavimo įsigaliojimo;</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 xml:space="preserve"> </w:t>
      </w:r>
      <w:r>
        <w:rPr>
          <w:rFonts w:eastAsia="Times New Roman" w:cs="Times New Roman" w:ascii="Times New Roman" w:hAnsi="Times New Roman"/>
          <w:color w:val="000000"/>
          <w:sz w:val="24"/>
          <w:szCs w:val="24"/>
        </w:rPr>
        <w:t>Paslaugų, suteiktų iki susitarimo dėl paslaugų kainos su PVM perskaičiavimo įsigaliojimo, ir paslaugų, suteiktų pažeidus paslaugų suteikimo terminus ir Paslaugų teikėjui nepateikus šių terminų praleidimą patvirtinančių objektyvių įrodymų, įkainis su PVM nebus perskaičiuojamas, jei jis didėja.</w:t>
      </w:r>
    </w:p>
    <w:p>
      <w:pPr>
        <w:pStyle w:val="Normal"/>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b/>
          <w:color w:val="000000"/>
          <w:sz w:val="24"/>
          <w:szCs w:val="24"/>
        </w:rPr>
        <w:t>PAGRINDINIAI ŠALIŲ ĮSIPAREIGOJIMAI</w:t>
      </w:r>
    </w:p>
    <w:p>
      <w:pPr>
        <w:pStyle w:val="Normal"/>
        <w:numPr>
          <w:ilvl w:val="1"/>
          <w:numId w:val="1"/>
        </w:numPr>
        <w:pBdr/>
        <w:spacing w:lineRule="auto" w:line="360"/>
        <w:jc w:val="both"/>
        <w:rPr>
          <w:rFonts w:ascii="Times New Roman" w:hAnsi="Times New Roman" w:eastAsia="Times New Roman" w:cs="Times New Roman"/>
          <w:color w:val="000000"/>
          <w:sz w:val="24"/>
          <w:szCs w:val="24"/>
          <w:u w:val="single"/>
        </w:rPr>
      </w:pPr>
      <w:r>
        <w:rPr>
          <w:rFonts w:eastAsia="Times New Roman" w:cs="Times New Roman" w:ascii="Times New Roman" w:hAnsi="Times New Roman"/>
          <w:color w:val="000000"/>
          <w:sz w:val="24"/>
          <w:szCs w:val="24"/>
          <w:u w:val="single"/>
        </w:rPr>
        <w:t>Paslaugų teikėjo teisės ir pareigos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Teikdamas paslaugas, Paslaugos teikėjas privalo veikti sąžiningai ir protingai, kad tai labiausiai atitiktų Perkančiosios organizacijos interesus.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Paslaugų teikėjas suteikia galimybę naudotis Paslaugomis iš anksto sutartomis dienomis ir laiku (1 priedas).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Teikti Paslaugas Perkančiajai organizacijai už Sutartyje nustatytą Paslaugų kainą, savo rizika bei sąskaita, kaip įmanoma rūpestingai bei efektyviai, įskaitant, bet neapsiribojant, Paslaugų teikimu pagal geriausius visuotinai pripažįstamus profesinius, techninius standartus ir praktiką, panaudodamas visus reikiamus įgūdžius, žinias.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Paslaugų teikėjas privalo teikti Paslaugas pagal Sutarties sąlygas ir Perkančiosios organizacijos nurodymus. Jei Perkančiosios organizacijos nurodymai prieštarauja įstatymams, nusistovėjusioms profesinės veiklos taisyklėms, standartams, profesinės veiklos etikai ar Sutarties sąlygoms, Paslaugos teikėjas turi teisę atsisakyti vykdyti tokius nurodymus.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Raštu informuoti, sutarties 4.6. punkto lentelėje nurodytais kontaktais, per 2 darbo dienas Perkančiąją organizaciją apie bet kurias aplinkybes, kurios trukdo, ar gali sutrukdyti, Paslaugos teikėjui vykdyti ar užbaigti Paslaugos teikimą nustatytais terminais.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Susidarius aplinkybėms, kai fizinio aktyvumo specialistas (toliau - Specialistas) negali suteikti Paslaugos, jį vaduoja pavaduojantis Specialistas.</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 xml:space="preserve">Paslaugos teikėjas, negalėdamas suteikti Paslaugos, turi kuo skubiau informuoti Perkančiąją organizaciją ir, ne vėliau nei 2 darbo dienos iki pavadavimo dienos, Paslaugos teikėjas privalo Perkančiajai organizacijai pateikti pavaduojančio Specialisto kvalifikaciją įrodančius dokumentus. Dokumentai turi būti pateikiami sutarties 4.6. punkto lentelėje nurodytais kontaktais. Pavaduojančio Specialisto kvalifikacija turi atitikti Sutarties 1 priede iškeltus kvalifikacijos reikalavimus. </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 xml:space="preserve">Paslaugos teikėjas užtikrina, kad iškilus trukdžiams, Paslauga bus suteikta. </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Prieš sudarant Sutartį, Paslaugos teikėjas privalo suteikti Perkančiajai organizacijai išsamią informaciją, susijusią su teikiamų Paslaugų prigimtimi, jų teikimo sąlygomis, Paslaugų kaina, Paslaugų teikimo terminais, galimomis pasekmėmis, bei kitokią informaciją, turinčią įtakos Perkančiosios organizacijos apsisprendimui sudaryti Sutartį.</w:t>
      </w:r>
    </w:p>
    <w:p>
      <w:pPr>
        <w:pStyle w:val="Normal"/>
        <w:numPr>
          <w:ilvl w:val="2"/>
          <w:numId w:val="1"/>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Tinkamai vykdyti kitus įsipareigojimus, numatytus Sutartyje ir galiojančiuose Lietuvos Respublikos teisės aktuose</w:t>
      </w:r>
    </w:p>
    <w:p>
      <w:pPr>
        <w:pStyle w:val="Normal"/>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1"/>
          <w:numId w:val="3"/>
        </w:numPr>
        <w:pBdr/>
        <w:jc w:val="both"/>
        <w:rPr>
          <w:rFonts w:ascii="Times New Roman" w:hAnsi="Times New Roman" w:eastAsia="Times New Roman" w:cs="Times New Roman"/>
          <w:color w:val="000000"/>
          <w:sz w:val="24"/>
          <w:szCs w:val="24"/>
          <w:u w:val="single"/>
        </w:rPr>
      </w:pPr>
      <w:r>
        <w:rPr>
          <w:rFonts w:eastAsia="Times New Roman" w:cs="Times New Roman" w:ascii="Times New Roman" w:hAnsi="Times New Roman"/>
          <w:color w:val="000000"/>
          <w:sz w:val="24"/>
          <w:szCs w:val="24"/>
          <w:u w:val="single"/>
        </w:rPr>
        <w:t>Perkančiosios organizacijos teisės ir pareigos:</w:t>
      </w:r>
    </w:p>
    <w:p>
      <w:pPr>
        <w:pStyle w:val="Normal"/>
        <w:numPr>
          <w:ilvl w:val="2"/>
          <w:numId w:val="3"/>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Priimti Paslaugas ir apmokėti Paslaugos teikėjui už Paslaugas.</w:t>
      </w:r>
    </w:p>
    <w:p>
      <w:pPr>
        <w:pStyle w:val="Normal"/>
        <w:numPr>
          <w:ilvl w:val="2"/>
          <w:numId w:val="3"/>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Perkančioji organizacija turi teisę nukelti Paslaugų teikimo datą ar keisti Paslaugos laiką, derinant su Paslaugos teikėju.</w:t>
      </w:r>
    </w:p>
    <w:p>
      <w:pPr>
        <w:pStyle w:val="Normal"/>
        <w:numPr>
          <w:ilvl w:val="2"/>
          <w:numId w:val="3"/>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Perkančioji organizacija įsipareigoja prieš 2 darbo dienas raštu pranešti Paslaugos teikėjui apie Paslaugos laikų ar datų pakeitimus.</w:t>
      </w:r>
    </w:p>
    <w:p>
      <w:pPr>
        <w:pStyle w:val="Normal"/>
        <w:numPr>
          <w:ilvl w:val="2"/>
          <w:numId w:val="3"/>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Perkančioji organizacija turi visas sutartyje bei Lietuvos Respublikoje galiojančiuose teisės aktuose numatytas teises.</w:t>
      </w:r>
    </w:p>
    <w:p>
      <w:pPr>
        <w:pStyle w:val="Normal"/>
        <w:numPr>
          <w:ilvl w:val="1"/>
          <w:numId w:val="3"/>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Perkančioji organizacija neįsipareigoja išpirkti viso Paslaugų kiekio. Apie stabdomas Paslaugas turi raštu pranešti Paslaugos teikėjui prieš 5 darbo dienas.</w:t>
      </w:r>
    </w:p>
    <w:p>
      <w:pPr>
        <w:pStyle w:val="Normal"/>
        <w:numPr>
          <w:ilvl w:val="1"/>
          <w:numId w:val="3"/>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Šalys įsipareigoja laiku informuoti viena kitą apie svarbias aplinkybes, kurios gali turėti įtakos šios Sutarties vykdymui, tame tarpe ir adresų bei banko rekvizitų pasikeitimą.</w:t>
      </w:r>
    </w:p>
    <w:p>
      <w:pPr>
        <w:pStyle w:val="Normal"/>
        <w:pBdr/>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numPr>
          <w:ilvl w:val="0"/>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b/>
          <w:color w:val="000000"/>
          <w:sz w:val="24"/>
          <w:szCs w:val="24"/>
        </w:rPr>
        <w:t>BENDROSIOS NUOSTATOS</w:t>
      </w:r>
    </w:p>
    <w:p>
      <w:pPr>
        <w:pStyle w:val="Default"/>
        <w:jc w:val="both"/>
        <w:rPr>
          <w:rFonts w:cs="Times New Roman"/>
          <w:sz w:val="23"/>
          <w:szCs w:val="23"/>
          <w:lang w:val="lt-LT"/>
        </w:rPr>
      </w:pPr>
      <w:r>
        <w:rPr>
          <w:rFonts w:eastAsia="Times New Roman" w:cs="Times New Roman"/>
          <w:color w:themeColor="text1" w:val="000000"/>
        </w:rPr>
        <w:t>Pirkimo sutarties sąlygos, Sutarties galiojimo laikotarpiu, negali būti keičiamos, išskyrus tokias pirkimo sutarties sąlygas, kurias pakeitus nebūtų pažeistos pirminės „</w:t>
      </w:r>
      <w:r>
        <w:rPr>
          <w:shd w:fill="FFFFFF" w:val="clear"/>
        </w:rPr>
        <w:t>Porinių šokių vedimo paslauga</w:t>
      </w:r>
      <w:r>
        <w:rPr>
          <w:rFonts w:eastAsia="Times New Roman" w:cs="Times New Roman"/>
          <w:color w:themeColor="text1" w:val="000000"/>
        </w:rPr>
        <w:t xml:space="preserve">“ pirkimo sąlygos. </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Sutartis įsigalioja nuo sutarties pasirašymo dienos ir galioja 13 mėnesių.</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Sutartis gali būti nutraukta Perkančiosios organizacijos ar Paslaugos teikėjo iniciatyva, jei viena iš Šalių nevykdo šia Sutartimi prisiimtų įsipareigojimų, įspėjus raštu apie tai kitą Šalį prieš 5 darbo dienas iki Sutarties nutraukimo.</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Perkančioji organizacija turi teisę bet kada, kol Paslaugos yra nebaigtos teikti, prieš 5 darbo dienas, raštiškai įspėjęs Paslaugos teikėją, atsisakyti Sutarties, kartu sumokėdamas Paslaugos teikėjui atlyginimą už iki pranešimo dėl Sutarties nutraukimo gavimo dienos suteiktų Paslaugų dalį.</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Šalys įsipareigoja tarpusavio santykiuose laikytis konfidencialumo: neatskleisti raštu, žodžiu, ar kitokiu pavidalu, tretiesiems asmenims jokios komercinės, dalykinės, finansinės, asmens duomenų informacijos, su kuria buvo supažindintos bendradarbiaudamos šios Sutarties pagrindu.</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Sutarties Šalys susirašinėja lietuvių kalba. Visi pranešimai, sutikimai ir kitas susižinojimas, kuriuos Šalys gali pateikti pagal šią Sutartį, bus laikomi galiojančiais ir įteiktais tinkamai, jeigu yra asmeniškai pateikti kitai Šaliai ir gautas patvirtinimas apie gavimą arba išsiųsti registruotu paštu, elektroniniu paštu (patvirtinant gavimą), toliau nurodytais adresais, kitais adresais, kuriuos nurodė viena Šalis, pateikdama pranešimą:</w:t>
      </w:r>
    </w:p>
    <w:p>
      <w:pPr>
        <w:pStyle w:val="Normal"/>
        <w:pBdr/>
        <w:tabs>
          <w:tab w:val="clear" w:pos="720"/>
          <w:tab w:val="left" w:pos="709" w:leader="none"/>
        </w:tabs>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tbl>
      <w:tblPr>
        <w:tblStyle w:val="a"/>
        <w:tblW w:w="9735" w:type="dxa"/>
        <w:jc w:val="left"/>
        <w:tblInd w:w="-5" w:type="dxa"/>
        <w:tblLayout w:type="fixed"/>
        <w:tblCellMar>
          <w:top w:w="0" w:type="dxa"/>
          <w:left w:w="108" w:type="dxa"/>
          <w:bottom w:w="0" w:type="dxa"/>
          <w:right w:w="108" w:type="dxa"/>
        </w:tblCellMar>
        <w:tblLook w:firstRow="0" w:noVBand="1" w:lastRow="0" w:firstColumn="0" w:lastColumn="0" w:noHBand="0" w:val="0400"/>
      </w:tblPr>
      <w:tblGrid>
        <w:gridCol w:w="1109"/>
        <w:gridCol w:w="2715"/>
        <w:gridCol w:w="2971"/>
        <w:gridCol w:w="2939"/>
      </w:tblGrid>
      <w:tr>
        <w:trPr/>
        <w:tc>
          <w:tcPr>
            <w:tcW w:w="110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r>
          </w:p>
        </w:tc>
        <w:tc>
          <w:tcPr>
            <w:tcW w:w="271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Perkančiosios organizacijos atstovas, atsakingas už sutarties objektą</w:t>
            </w:r>
          </w:p>
        </w:tc>
        <w:tc>
          <w:tcPr>
            <w:tcW w:w="297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Perkančiosios organizacijos atstovas, atsakingas už sutarties bendruosius punktus ir sutarties paskelbimą</w:t>
            </w:r>
          </w:p>
        </w:tc>
        <w:tc>
          <w:tcPr>
            <w:tcW w:w="29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Paslaugos teikėjo atstovas</w:t>
            </w:r>
          </w:p>
        </w:tc>
      </w:tr>
      <w:tr>
        <w:trPr/>
        <w:tc>
          <w:tcPr>
            <w:tcW w:w="110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Vardas Pavardė</w:t>
            </w:r>
          </w:p>
        </w:tc>
        <w:tc>
          <w:tcPr>
            <w:tcW w:w="271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Laura Motužytė</w:t>
            </w:r>
          </w:p>
        </w:tc>
        <w:tc>
          <w:tcPr>
            <w:tcW w:w="297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Jūratė Juškevičienė</w:t>
            </w:r>
          </w:p>
        </w:tc>
        <w:tc>
          <w:tcPr>
            <w:tcW w:w="29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Vilma Venckienė</w:t>
            </w:r>
          </w:p>
        </w:tc>
      </w:tr>
      <w:tr>
        <w:trPr/>
        <w:tc>
          <w:tcPr>
            <w:tcW w:w="110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Tel. nr.</w:t>
            </w:r>
          </w:p>
        </w:tc>
        <w:tc>
          <w:tcPr>
            <w:tcW w:w="271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+370 619 56 774</w:t>
            </w:r>
          </w:p>
        </w:tc>
        <w:tc>
          <w:tcPr>
            <w:tcW w:w="297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+370 683 59 393</w:t>
            </w:r>
          </w:p>
        </w:tc>
        <w:tc>
          <w:tcPr>
            <w:tcW w:w="29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+37060370875</w:t>
            </w:r>
          </w:p>
        </w:tc>
      </w:tr>
      <w:tr>
        <w:trPr/>
        <w:tc>
          <w:tcPr>
            <w:tcW w:w="110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El. p.</w:t>
            </w:r>
          </w:p>
        </w:tc>
        <w:tc>
          <w:tcPr>
            <w:tcW w:w="271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hyperlink r:id="rId3" w:tgtFrame="_blank">
              <w:r>
                <w:rPr>
                  <w:rStyle w:val="Style3"/>
                  <w:sz w:val="24"/>
                  <w:szCs w:val="24"/>
                </w:rPr>
                <w:t>laura.motuzyte@kaunovsb.lt</w:t>
              </w:r>
            </w:hyperlink>
          </w:p>
        </w:tc>
        <w:tc>
          <w:tcPr>
            <w:tcW w:w="297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viesiejipirkimai@kaunovsb.lt</w:t>
            </w:r>
          </w:p>
        </w:tc>
        <w:tc>
          <w:tcPr>
            <w:tcW w:w="29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vanilasokiai</w:t>
            </w:r>
            <w:r>
              <w:rPr>
                <w:sz w:val="24"/>
                <w:szCs w:val="24"/>
                <w:lang w:val="en-GB"/>
              </w:rPr>
              <w:t>@gmail.com</w:t>
            </w:r>
          </w:p>
        </w:tc>
      </w:tr>
    </w:tbl>
    <w:p>
      <w:pPr>
        <w:pStyle w:val="Normal"/>
        <w:pBdr/>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Bet kokie susitarimai, kurie keičia šios Sutarties šalių įsipareigojimus, nėra galiojantys, jeigu nėra sudaryti raštu ir nepasirašyti abiejų Šalių tam įgaliotų atstovų.</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 xml:space="preserve">Iškilus nenugalimos jėgos aplinkybėms, Šalys vadovaujasi LR Civilinio kodekso 6.212 straipsniu. </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Dėl pirkimo sutarties kylantys ginčai tarp Šalių sprendžiami derybų būdu, o nepavykus taip išspręsti ginčo, jis bus nagrinėjamas LR Civilinio kodekso nustatyta tvarka teisme.</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Sutartis sudaryta lietuvių kalba elektroniniu būdu. Visais su Sutarties įgyvendinimu susijusiais klausimais Šalys privalo susirašinėti ir bendrauti lietuvių kalba.</w:t>
      </w:r>
    </w:p>
    <w:p>
      <w:pPr>
        <w:pStyle w:val="Normal"/>
        <w:numPr>
          <w:ilvl w:val="1"/>
          <w:numId w:val="2"/>
        </w:numPr>
        <w:pBdr/>
        <w:ind w:hanging="0" w:left="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Sutarties priedai, pasirašyti abiejų Šalių įgaliotų atstovų, yra neatskiriama šios Sutarties dalis.</w:t>
      </w:r>
    </w:p>
    <w:p>
      <w:pPr>
        <w:pStyle w:val="Normal"/>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numPr>
          <w:ilvl w:val="0"/>
          <w:numId w:val="2"/>
        </w:numPr>
        <w:pBdr/>
        <w:tabs>
          <w:tab w:val="clear" w:pos="720"/>
          <w:tab w:val="left" w:pos="284" w:leader="none"/>
        </w:tabs>
        <w:ind w:hanging="0" w:left="0"/>
        <w:jc w:val="both"/>
        <w:rPr>
          <w:rFonts w:ascii="Times New Roman" w:hAnsi="Times New Roman" w:eastAsia="Times New Roman" w:cs="Times New Roman"/>
          <w:b/>
          <w:color w:val="000000"/>
          <w:sz w:val="24"/>
          <w:szCs w:val="24"/>
        </w:rPr>
      </w:pPr>
      <w:r>
        <w:rPr>
          <w:rFonts w:eastAsia="Times New Roman" w:cs="Times New Roman" w:ascii="Times New Roman" w:hAnsi="Times New Roman"/>
          <w:b/>
          <w:color w:val="000000"/>
          <w:sz w:val="24"/>
          <w:szCs w:val="24"/>
        </w:rPr>
        <w:t>ŠALIŲ REKVIZITAI</w:t>
        <w:tab/>
      </w:r>
    </w:p>
    <w:tbl>
      <w:tblPr>
        <w:tblStyle w:val="a0"/>
        <w:tblW w:w="9770" w:type="dxa"/>
        <w:jc w:val="left"/>
        <w:tblInd w:w="-142" w:type="dxa"/>
        <w:tblLayout w:type="fixed"/>
        <w:tblCellMar>
          <w:top w:w="0" w:type="dxa"/>
          <w:left w:w="108" w:type="dxa"/>
          <w:bottom w:w="0" w:type="dxa"/>
          <w:right w:w="108" w:type="dxa"/>
        </w:tblCellMar>
        <w:tblLook w:firstRow="0" w:noVBand="1" w:lastRow="0" w:firstColumn="0" w:lastColumn="0" w:noHBand="0" w:val="0400"/>
      </w:tblPr>
      <w:tblGrid>
        <w:gridCol w:w="4819"/>
        <w:gridCol w:w="4950"/>
      </w:tblGrid>
      <w:tr>
        <w:trPr/>
        <w:tc>
          <w:tcPr>
            <w:tcW w:w="4819" w:type="dxa"/>
            <w:tcBorders/>
          </w:tcPr>
          <w:p>
            <w:pPr>
              <w:pStyle w:val="Normal"/>
              <w:ind w:right="43"/>
              <w:jc w:val="both"/>
              <w:rPr>
                <w:b/>
                <w:sz w:val="24"/>
                <w:szCs w:val="24"/>
              </w:rPr>
            </w:pPr>
            <w:r>
              <w:rPr>
                <w:b/>
                <w:sz w:val="24"/>
                <w:szCs w:val="24"/>
              </w:rPr>
              <w:t xml:space="preserve">Paslaugos teikėjas: </w:t>
            </w:r>
          </w:p>
          <w:p>
            <w:pPr>
              <w:pStyle w:val="Normal"/>
              <w:ind w:right="43"/>
              <w:jc w:val="both"/>
              <w:rPr>
                <w:b/>
                <w:bCs/>
                <w:sz w:val="24"/>
                <w:szCs w:val="24"/>
              </w:rPr>
            </w:pPr>
            <w:r>
              <w:rPr>
                <w:b/>
                <w:bCs/>
                <w:sz w:val="24"/>
                <w:szCs w:val="24"/>
              </w:rPr>
              <w:t>VšĮ Vanila</w:t>
            </w:r>
          </w:p>
          <w:p>
            <w:pPr>
              <w:pStyle w:val="Normal"/>
              <w:ind w:right="43"/>
              <w:jc w:val="both"/>
              <w:rPr>
                <w:sz w:val="24"/>
                <w:szCs w:val="24"/>
              </w:rPr>
            </w:pPr>
            <w:r>
              <w:rPr>
                <w:sz w:val="24"/>
                <w:szCs w:val="24"/>
              </w:rPr>
              <w:t xml:space="preserve">Adresas </w:t>
            </w:r>
            <w:r>
              <w:rPr>
                <w:sz w:val="24"/>
                <w:szCs w:val="24"/>
                <w:lang w:val="en-GB"/>
              </w:rPr>
              <w:t>Kry</w:t>
            </w:r>
            <w:r>
              <w:rPr>
                <w:sz w:val="24"/>
                <w:szCs w:val="24"/>
                <w:lang w:val="lt-LT"/>
              </w:rPr>
              <w:t>žiasnapių takas 4</w:t>
            </w:r>
          </w:p>
          <w:p>
            <w:pPr>
              <w:pStyle w:val="Normal"/>
              <w:ind w:right="43"/>
              <w:jc w:val="both"/>
              <w:rPr>
                <w:b/>
                <w:sz w:val="24"/>
                <w:szCs w:val="24"/>
              </w:rPr>
            </w:pPr>
            <w:r>
              <w:rPr>
                <w:sz w:val="24"/>
                <w:szCs w:val="24"/>
              </w:rPr>
              <w:t>Įmonės kodas</w:t>
            </w:r>
            <w:r>
              <w:rPr>
                <w:b/>
                <w:sz w:val="24"/>
                <w:szCs w:val="24"/>
              </w:rPr>
              <w:t xml:space="preserve"> </w:t>
            </w:r>
            <w:r>
              <w:rPr>
                <w:b/>
                <w:sz w:val="24"/>
                <w:szCs w:val="24"/>
              </w:rPr>
              <w:t>304090635</w:t>
            </w:r>
          </w:p>
          <w:p>
            <w:pPr>
              <w:pStyle w:val="Normal"/>
              <w:rPr>
                <w:sz w:val="24"/>
                <w:szCs w:val="24"/>
              </w:rPr>
            </w:pPr>
            <w:r>
              <w:rPr>
                <w:sz w:val="24"/>
                <w:szCs w:val="24"/>
              </w:rPr>
              <w:t>A/</w:t>
            </w:r>
            <w:r>
              <w:rPr>
                <w:color w:val="1C1C1C"/>
                <w:sz w:val="24"/>
                <w:szCs w:val="24"/>
                <w:u w:val="single"/>
              </w:rPr>
              <w:t xml:space="preserve">s </w:t>
            </w:r>
            <w:hyperlink r:id="rId4">
              <w:r>
                <w:rPr>
                  <w:rStyle w:val="Hyperlink"/>
                  <w:color w:val="1C1C1C"/>
                  <w:sz w:val="24"/>
                  <w:szCs w:val="24"/>
                  <w:u w:val="single"/>
                </w:rPr>
                <w:t>LT577044060008047453</w:t>
              </w:r>
            </w:hyperlink>
            <w:r>
              <w:rPr>
                <w:color w:val="1C1C1C"/>
                <w:sz w:val="24"/>
                <w:szCs w:val="24"/>
                <w:u w:val="single"/>
              </w:rPr>
              <w:t xml:space="preserve"> </w:t>
            </w:r>
          </w:p>
          <w:p>
            <w:pPr>
              <w:pStyle w:val="Normal"/>
              <w:rPr>
                <w:sz w:val="24"/>
                <w:szCs w:val="24"/>
              </w:rPr>
            </w:pPr>
            <w:r>
              <w:rPr>
                <w:sz w:val="24"/>
                <w:szCs w:val="24"/>
              </w:rPr>
              <w:t>SEB</w:t>
            </w:r>
            <w:r>
              <w:rPr>
                <w:sz w:val="24"/>
                <w:szCs w:val="24"/>
              </w:rPr>
              <w:t xml:space="preserve">         </w:t>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ind w:right="43"/>
              <w:jc w:val="both"/>
              <w:rPr>
                <w:sz w:val="24"/>
                <w:szCs w:val="24"/>
              </w:rPr>
            </w:pPr>
            <w:r>
              <w:rPr>
                <w:sz w:val="24"/>
                <w:szCs w:val="24"/>
              </w:rPr>
              <w:t>Direktor</w:t>
            </w:r>
            <w:r>
              <w:rPr>
                <w:sz w:val="24"/>
                <w:szCs w:val="24"/>
              </w:rPr>
              <w:t>ė</w:t>
            </w:r>
          </w:p>
          <w:p>
            <w:pPr>
              <w:pStyle w:val="Normal"/>
              <w:ind w:right="43"/>
              <w:jc w:val="both"/>
              <w:rPr>
                <w:sz w:val="24"/>
                <w:szCs w:val="24"/>
              </w:rPr>
            </w:pPr>
            <w:r>
              <w:rPr>
                <w:sz w:val="24"/>
                <w:szCs w:val="24"/>
              </w:rPr>
              <w:t>Vilma Venckienė</w:t>
            </w:r>
          </w:p>
          <w:p>
            <w:pPr>
              <w:pStyle w:val="Normal"/>
              <w:ind w:right="43"/>
              <w:jc w:val="both"/>
              <w:rPr>
                <w:sz w:val="24"/>
                <w:szCs w:val="24"/>
              </w:rPr>
            </w:pPr>
            <w:r>
              <w:rPr>
                <w:sz w:val="24"/>
                <w:szCs w:val="24"/>
              </w:rPr>
              <w:t>________</w:t>
              <w:tab/>
            </w:r>
          </w:p>
          <w:p>
            <w:pPr>
              <w:pStyle w:val="Normal"/>
              <w:pBdr/>
              <w:tabs>
                <w:tab w:val="clear" w:pos="720"/>
                <w:tab w:val="left" w:pos="284" w:leader="none"/>
              </w:tabs>
              <w:jc w:val="both"/>
              <w:rPr>
                <w:bCs/>
                <w:color w:val="000000"/>
                <w:sz w:val="24"/>
                <w:szCs w:val="24"/>
              </w:rPr>
            </w:pPr>
            <w:r>
              <w:rPr>
                <w:bCs/>
                <w:color w:val="000000"/>
                <w:sz w:val="24"/>
                <w:szCs w:val="24"/>
              </w:rPr>
              <w:t>A.V</w:t>
            </w:r>
          </w:p>
        </w:tc>
        <w:tc>
          <w:tcPr>
            <w:tcW w:w="4950" w:type="dxa"/>
            <w:tcBorders/>
          </w:tcPr>
          <w:p>
            <w:pPr>
              <w:pStyle w:val="Normal"/>
              <w:ind w:right="43"/>
              <w:jc w:val="both"/>
              <w:rPr>
                <w:b/>
                <w:sz w:val="24"/>
                <w:szCs w:val="24"/>
              </w:rPr>
            </w:pPr>
            <w:r>
              <w:rPr>
                <w:b/>
                <w:sz w:val="24"/>
                <w:szCs w:val="24"/>
              </w:rPr>
              <w:t xml:space="preserve">Perkančioji organizacija: </w:t>
            </w:r>
          </w:p>
          <w:p>
            <w:pPr>
              <w:pStyle w:val="Normal"/>
              <w:ind w:right="43"/>
              <w:jc w:val="both"/>
              <w:rPr>
                <w:b/>
                <w:sz w:val="24"/>
                <w:szCs w:val="24"/>
              </w:rPr>
            </w:pPr>
            <w:r>
              <w:rPr>
                <w:b/>
                <w:sz w:val="24"/>
                <w:szCs w:val="24"/>
              </w:rPr>
              <w:t>Kauno miesto savivaldybės visuomenės sveikatos biuras</w:t>
            </w:r>
          </w:p>
          <w:p>
            <w:pPr>
              <w:pStyle w:val="Normal"/>
              <w:rPr>
                <w:sz w:val="24"/>
                <w:szCs w:val="24"/>
              </w:rPr>
            </w:pPr>
            <w:r>
              <w:rPr>
                <w:sz w:val="24"/>
                <w:szCs w:val="24"/>
              </w:rPr>
              <w:t>Vaidoto g. 115 Kaunas</w:t>
            </w:r>
          </w:p>
          <w:p>
            <w:pPr>
              <w:pStyle w:val="Normal"/>
              <w:rPr>
                <w:sz w:val="24"/>
                <w:szCs w:val="24"/>
              </w:rPr>
            </w:pPr>
            <w:r>
              <w:rPr>
                <w:sz w:val="24"/>
                <w:szCs w:val="24"/>
              </w:rPr>
              <w:t>Įmonės kodas 301676575</w:t>
            </w:r>
          </w:p>
          <w:p>
            <w:pPr>
              <w:pStyle w:val="Normal"/>
              <w:rPr>
                <w:sz w:val="24"/>
                <w:szCs w:val="24"/>
              </w:rPr>
            </w:pPr>
            <w:r>
              <w:rPr>
                <w:sz w:val="24"/>
                <w:szCs w:val="24"/>
              </w:rPr>
              <w:t>A/s LT284010042501605822</w:t>
            </w:r>
          </w:p>
          <w:p>
            <w:pPr>
              <w:pStyle w:val="Normal"/>
              <w:rPr>
                <w:sz w:val="24"/>
                <w:szCs w:val="24"/>
              </w:rPr>
            </w:pPr>
            <w:r>
              <w:rPr>
                <w:sz w:val="24"/>
                <w:szCs w:val="24"/>
              </w:rPr>
              <w:t>AB Luminor</w:t>
            </w:r>
          </w:p>
          <w:p>
            <w:pPr>
              <w:pStyle w:val="Normal"/>
              <w:rPr>
                <w:sz w:val="24"/>
                <w:szCs w:val="24"/>
              </w:rPr>
            </w:pPr>
            <w:r>
              <w:rPr>
                <w:sz w:val="24"/>
                <w:szCs w:val="24"/>
              </w:rPr>
            </w:r>
          </w:p>
          <w:p>
            <w:pPr>
              <w:pStyle w:val="Normal"/>
              <w:rPr>
                <w:sz w:val="24"/>
                <w:szCs w:val="24"/>
              </w:rPr>
            </w:pPr>
            <w:r>
              <w:rPr>
                <w:sz w:val="24"/>
                <w:szCs w:val="24"/>
              </w:rPr>
            </w:r>
          </w:p>
          <w:p>
            <w:pPr>
              <w:pStyle w:val="Normal"/>
              <w:ind w:right="43"/>
              <w:jc w:val="both"/>
              <w:rPr>
                <w:sz w:val="24"/>
                <w:szCs w:val="24"/>
              </w:rPr>
            </w:pPr>
            <w:r>
              <w:rPr>
                <w:sz w:val="24"/>
                <w:szCs w:val="24"/>
              </w:rPr>
              <w:t>Direktorė</w:t>
            </w:r>
          </w:p>
          <w:p>
            <w:pPr>
              <w:pStyle w:val="Normal"/>
              <w:ind w:right="43"/>
              <w:jc w:val="both"/>
              <w:rPr>
                <w:b/>
                <w:sz w:val="24"/>
                <w:szCs w:val="24"/>
              </w:rPr>
            </w:pPr>
            <w:r>
              <w:rPr>
                <w:b/>
                <w:sz w:val="24"/>
                <w:szCs w:val="24"/>
              </w:rPr>
              <w:t>Gerda Kuzmarskienė</w:t>
            </w:r>
          </w:p>
          <w:p>
            <w:pPr>
              <w:pStyle w:val="Normal"/>
              <w:rPr>
                <w:sz w:val="24"/>
                <w:szCs w:val="24"/>
              </w:rPr>
            </w:pPr>
            <w:r>
              <w:rPr>
                <w:sz w:val="24"/>
                <w:szCs w:val="24"/>
              </w:rPr>
              <w:t>_____________________________</w:t>
            </w:r>
          </w:p>
          <w:p>
            <w:pPr>
              <w:pStyle w:val="Normal"/>
              <w:rPr>
                <w:b/>
                <w:sz w:val="24"/>
                <w:szCs w:val="24"/>
              </w:rPr>
            </w:pPr>
            <w:r>
              <w:rPr>
                <w:sz w:val="24"/>
                <w:szCs w:val="24"/>
              </w:rPr>
              <w:t>A.V.</w:t>
            </w:r>
          </w:p>
        </w:tc>
      </w:tr>
    </w:tbl>
    <w:p>
      <w:pPr>
        <w:pStyle w:val="Normal"/>
        <w:pBdr/>
        <w:tabs>
          <w:tab w:val="clear" w:pos="720"/>
          <w:tab w:val="left" w:pos="284" w:leader="none"/>
        </w:tabs>
        <w:jc w:val="both"/>
        <w:rPr>
          <w:rFonts w:ascii="Times New Roman" w:hAnsi="Times New Roman" w:eastAsia="Times New Roman" w:cs="Times New Roman"/>
          <w:b/>
          <w:color w:val="000000"/>
          <w:sz w:val="24"/>
          <w:szCs w:val="24"/>
        </w:rPr>
      </w:pPr>
      <w:r>
        <w:rPr>
          <w:rFonts w:eastAsia="Times New Roman" w:cs="Times New Roman" w:ascii="Times New Roman" w:hAnsi="Times New Roman"/>
          <w:b/>
          <w:color w:val="000000"/>
          <w:sz w:val="24"/>
          <w:szCs w:val="24"/>
        </w:rPr>
      </w:r>
    </w:p>
    <w:p>
      <w:pPr>
        <w:pStyle w:val="Normal"/>
        <w:rPr>
          <w:rFonts w:ascii="Times New Roman" w:hAnsi="Times New Roman" w:eastAsia="Times New Roman" w:cs="Times New Roman"/>
          <w:b/>
          <w:sz w:val="24"/>
          <w:szCs w:val="24"/>
        </w:rPr>
      </w:pPr>
      <w:r>
        <w:rPr>
          <w:rFonts w:eastAsia="Times New Roman" w:cs="Times New Roman" w:ascii="Times New Roman" w:hAnsi="Times New Roman"/>
          <w:b/>
          <w:sz w:val="24"/>
          <w:szCs w:val="24"/>
        </w:rPr>
        <w:tab/>
        <w:tab/>
        <w:tab/>
        <w:t xml:space="preserve">     </w:t>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ind w:right="43"/>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sectPr>
          <w:type w:val="nextPage"/>
          <w:pgSz w:w="11906" w:h="16838"/>
          <w:pgMar w:left="1701" w:right="567" w:gutter="0" w:header="0" w:top="993" w:footer="0" w:bottom="709"/>
          <w:pgNumType w:start="1" w:fmt="decimal"/>
          <w:formProt w:val="false"/>
          <w:textDirection w:val="lrTb"/>
          <w:docGrid w:type="default" w:linePitch="100" w:charSpace="4096"/>
        </w:sectPr>
      </w:pPr>
    </w:p>
    <w:p>
      <w:pPr>
        <w:pStyle w:val="Normal"/>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     </w:t>
      </w:r>
    </w:p>
    <w:p>
      <w:pPr>
        <w:pStyle w:val="Normal"/>
        <w:jc w:val="right"/>
        <w:rPr>
          <w:rFonts w:ascii="Times New Roman" w:hAnsi="Times New Roman" w:eastAsia="Times New Roman" w:cs="Times New Roman"/>
          <w:sz w:val="24"/>
          <w:szCs w:val="24"/>
        </w:rPr>
      </w:pPr>
      <w:r>
        <w:rPr>
          <w:rFonts w:eastAsia="Times New Roman" w:cs="Times New Roman" w:ascii="Times New Roman" w:hAnsi="Times New Roman"/>
          <w:sz w:val="24"/>
          <w:szCs w:val="24"/>
        </w:rPr>
        <w:t>2025 m.    d. Sutarties Nr. S-</w:t>
      </w:r>
    </w:p>
    <w:p>
      <w:pPr>
        <w:pStyle w:val="Normal"/>
        <w:jc w:val="right"/>
        <w:rPr>
          <w:rFonts w:ascii="Times New Roman" w:hAnsi="Times New Roman" w:eastAsia="Times New Roman" w:cs="Times New Roman"/>
          <w:sz w:val="24"/>
          <w:szCs w:val="24"/>
        </w:rPr>
      </w:pPr>
      <w:r>
        <w:rPr>
          <w:rFonts w:eastAsia="Times New Roman" w:cs="Times New Roman" w:ascii="Times New Roman" w:hAnsi="Times New Roman"/>
          <w:sz w:val="24"/>
          <w:szCs w:val="24"/>
        </w:rPr>
        <w:t>1 priedas</w:t>
      </w:r>
    </w:p>
    <w:p>
      <w:pPr>
        <w:pStyle w:val="Normal"/>
        <w:widowControl w:val="false"/>
        <w:pBdr/>
        <w:jc w:val="center"/>
        <w:rPr>
          <w:rFonts w:ascii="Times New Roman" w:hAnsi="Times New Roman" w:eastAsia="Times New Roman" w:cs="Times New Roman"/>
          <w:b/>
          <w:color w:val="000000"/>
          <w:sz w:val="24"/>
          <w:szCs w:val="24"/>
        </w:rPr>
      </w:pPr>
      <w:r>
        <w:rPr>
          <w:rFonts w:eastAsia="Times New Roman" w:cs="Times New Roman" w:ascii="Times New Roman" w:hAnsi="Times New Roman"/>
          <w:b/>
          <w:color w:val="000000"/>
          <w:sz w:val="24"/>
          <w:szCs w:val="24"/>
        </w:rPr>
      </w:r>
    </w:p>
    <w:p>
      <w:pPr>
        <w:pStyle w:val="Normal"/>
        <w:widowControl w:val="false"/>
        <w:pBdr/>
        <w:jc w:val="center"/>
        <w:rPr>
          <w:rFonts w:ascii="Times New Roman" w:hAnsi="Times New Roman" w:eastAsia="Times New Roman" w:cs="Times New Roman"/>
          <w:b/>
          <w:color w:val="000000"/>
          <w:sz w:val="24"/>
          <w:szCs w:val="24"/>
        </w:rPr>
      </w:pPr>
      <w:r>
        <w:rPr>
          <w:rFonts w:eastAsia="Times New Roman" w:cs="Times New Roman" w:ascii="Times New Roman" w:hAnsi="Times New Roman"/>
          <w:b/>
          <w:color w:val="000000"/>
          <w:sz w:val="24"/>
          <w:szCs w:val="24"/>
        </w:rPr>
        <w:t>TECHNINIAI REIKALAVIMAI IR ĮKAINIAI</w:t>
      </w:r>
    </w:p>
    <w:p>
      <w:pPr>
        <w:pStyle w:val="Normal"/>
        <w:widowControl w:val="false"/>
        <w:pBdr/>
        <w:jc w:val="center"/>
        <w:rPr>
          <w:rFonts w:ascii="Times New Roman" w:hAnsi="Times New Roman" w:cs="Times New Roman"/>
          <w:b/>
          <w:bCs/>
          <w:sz w:val="24"/>
          <w:szCs w:val="24"/>
          <w:shd w:fill="FFFFFF" w:val="clear"/>
        </w:rPr>
      </w:pPr>
      <w:r>
        <w:rPr>
          <w:rFonts w:cs="Times New Roman" w:ascii="Times New Roman" w:hAnsi="Times New Roman"/>
          <w:b/>
          <w:bCs/>
          <w:sz w:val="24"/>
          <w:szCs w:val="24"/>
          <w:shd w:fill="FFFFFF" w:val="clear"/>
        </w:rPr>
        <w:t>Porinių šokių vedimo paslauga</w:t>
      </w:r>
    </w:p>
    <w:p>
      <w:pPr>
        <w:pStyle w:val="Normal"/>
        <w:widowControl w:val="false"/>
        <w:pBdr/>
        <w:jc w:val="center"/>
        <w:rPr>
          <w:rFonts w:ascii="Times New Roman" w:hAnsi="Times New Roman" w:eastAsia="Times New Roman" w:cs="Times New Roman"/>
          <w:b/>
          <w:bCs/>
          <w:color w:val="000000"/>
          <w:sz w:val="24"/>
          <w:szCs w:val="24"/>
        </w:rPr>
      </w:pPr>
      <w:r>
        <w:rPr>
          <w:rFonts w:eastAsia="Times New Roman" w:cs="Times New Roman" w:ascii="Times New Roman" w:hAnsi="Times New Roman"/>
          <w:b/>
          <w:bCs/>
          <w:color w:val="000000"/>
          <w:sz w:val="24"/>
          <w:szCs w:val="24"/>
        </w:rPr>
      </w:r>
    </w:p>
    <w:tbl>
      <w:tblPr>
        <w:tblStyle w:val="a1"/>
        <w:tblW w:w="9830" w:type="dxa"/>
        <w:jc w:val="left"/>
        <w:tblInd w:w="-147" w:type="dxa"/>
        <w:tblLayout w:type="fixed"/>
        <w:tblCellMar>
          <w:top w:w="0" w:type="dxa"/>
          <w:left w:w="108" w:type="dxa"/>
          <w:bottom w:w="0" w:type="dxa"/>
          <w:right w:w="108" w:type="dxa"/>
        </w:tblCellMar>
        <w:tblLook w:firstRow="0" w:noVBand="1" w:lastRow="0" w:firstColumn="0" w:lastColumn="0" w:noHBand="0" w:val="0400"/>
      </w:tblPr>
      <w:tblGrid>
        <w:gridCol w:w="714"/>
        <w:gridCol w:w="3166"/>
        <w:gridCol w:w="1151"/>
        <w:gridCol w:w="1007"/>
        <w:gridCol w:w="1584"/>
        <w:gridCol w:w="1054"/>
        <w:gridCol w:w="1153"/>
      </w:tblGrid>
      <w:tr>
        <w:trPr/>
        <w:tc>
          <w:tcPr>
            <w:tcW w:w="714" w:type="dxa"/>
            <w:tcBorders>
              <w:top w:val="single" w:sz="4" w:space="0" w:color="000000"/>
              <w:left w:val="single" w:sz="4" w:space="0" w:color="000000"/>
              <w:bottom w:val="single" w:sz="4" w:space="0" w:color="000000"/>
              <w:right w:val="single" w:sz="4" w:space="0" w:color="000000"/>
            </w:tcBorders>
          </w:tcPr>
          <w:p>
            <w:pPr>
              <w:pStyle w:val="Normal"/>
              <w:rPr>
                <w:b/>
                <w:sz w:val="24"/>
                <w:szCs w:val="24"/>
              </w:rPr>
            </w:pPr>
            <w:r>
              <w:rPr>
                <w:b/>
                <w:sz w:val="24"/>
                <w:szCs w:val="24"/>
              </w:rPr>
              <w:t>Nr.</w:t>
            </w:r>
          </w:p>
        </w:tc>
        <w:tc>
          <w:tcPr>
            <w:tcW w:w="3166"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Pirkimo objektas</w:t>
            </w:r>
          </w:p>
        </w:tc>
        <w:tc>
          <w:tcPr>
            <w:tcW w:w="1151"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Mato vienetas</w:t>
            </w:r>
          </w:p>
        </w:tc>
        <w:tc>
          <w:tcPr>
            <w:tcW w:w="1007"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Kiekis</w:t>
            </w:r>
          </w:p>
        </w:tc>
        <w:tc>
          <w:tcPr>
            <w:tcW w:w="1584"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Mato vieneto įkainis, Eur be PVM</w:t>
            </w:r>
          </w:p>
        </w:tc>
        <w:tc>
          <w:tcPr>
            <w:tcW w:w="1054"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Suma, Eur be PVM</w:t>
            </w:r>
          </w:p>
        </w:tc>
        <w:tc>
          <w:tcPr>
            <w:tcW w:w="1153"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PVM tarifas, %*</w:t>
            </w:r>
          </w:p>
        </w:tc>
      </w:tr>
      <w:tr>
        <w:trPr/>
        <w:tc>
          <w:tcPr>
            <w:tcW w:w="714"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1</w:t>
            </w:r>
          </w:p>
        </w:tc>
        <w:tc>
          <w:tcPr>
            <w:tcW w:w="3166"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2</w:t>
            </w:r>
          </w:p>
        </w:tc>
        <w:tc>
          <w:tcPr>
            <w:tcW w:w="1151"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3</w:t>
            </w:r>
          </w:p>
        </w:tc>
        <w:tc>
          <w:tcPr>
            <w:tcW w:w="1007"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4</w:t>
            </w:r>
          </w:p>
        </w:tc>
        <w:tc>
          <w:tcPr>
            <w:tcW w:w="1584"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5</w:t>
            </w:r>
          </w:p>
        </w:tc>
        <w:tc>
          <w:tcPr>
            <w:tcW w:w="1054"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6=4x5</w:t>
            </w:r>
          </w:p>
        </w:tc>
        <w:tc>
          <w:tcPr>
            <w:tcW w:w="1153" w:type="dxa"/>
            <w:tcBorders>
              <w:top w:val="single" w:sz="4" w:space="0" w:color="000000"/>
              <w:left w:val="single" w:sz="4" w:space="0" w:color="000000"/>
              <w:bottom w:val="single" w:sz="4" w:space="0" w:color="000000"/>
              <w:right w:val="single" w:sz="4" w:space="0" w:color="000000"/>
            </w:tcBorders>
          </w:tcPr>
          <w:p>
            <w:pPr>
              <w:pStyle w:val="Normal"/>
              <w:jc w:val="center"/>
              <w:rPr>
                <w:b/>
                <w:sz w:val="24"/>
                <w:szCs w:val="24"/>
              </w:rPr>
            </w:pPr>
            <w:r>
              <w:rPr>
                <w:b/>
                <w:sz w:val="24"/>
                <w:szCs w:val="24"/>
              </w:rPr>
              <w:t>7</w:t>
            </w:r>
          </w:p>
        </w:tc>
      </w:tr>
      <w:tr>
        <w:trPr>
          <w:trHeight w:val="330" w:hRule="atLeast"/>
        </w:trPr>
        <w:tc>
          <w:tcPr>
            <w:tcW w:w="71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w:t>
            </w:r>
          </w:p>
        </w:tc>
        <w:tc>
          <w:tcPr>
            <w:tcW w:w="3166" w:type="dxa"/>
            <w:tcBorders>
              <w:top w:val="single" w:sz="4" w:space="0" w:color="000000"/>
              <w:left w:val="single" w:sz="4" w:space="0" w:color="000000"/>
              <w:bottom w:val="single" w:sz="4" w:space="0" w:color="000000"/>
              <w:right w:val="single" w:sz="4" w:space="0" w:color="000000"/>
            </w:tcBorders>
            <w:vAlign w:val="center"/>
          </w:tcPr>
          <w:p>
            <w:pPr>
              <w:pStyle w:val="Default"/>
              <w:rPr>
                <w:sz w:val="23"/>
                <w:szCs w:val="23"/>
              </w:rPr>
            </w:pPr>
            <w:r>
              <w:rPr>
                <w:shd w:fill="FFFFFF" w:val="clear"/>
              </w:rPr>
              <w:t>Porinių šokių vedimo paslauga</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Vnt.</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lang w:val="en-US"/>
              </w:rPr>
            </w:pPr>
            <w:r>
              <w:rPr>
                <w:sz w:val="24"/>
                <w:szCs w:val="24"/>
                <w:lang w:val="en-US"/>
              </w:rPr>
              <w:t>96</w:t>
            </w:r>
          </w:p>
        </w:tc>
        <w:tc>
          <w:tcPr>
            <w:tcW w:w="158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70,00</w:t>
            </w:r>
          </w:p>
        </w:tc>
        <w:tc>
          <w:tcPr>
            <w:tcW w:w="105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6720,00</w:t>
            </w:r>
          </w:p>
        </w:tc>
        <w:tc>
          <w:tcPr>
            <w:tcW w:w="11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w:t>
            </w:r>
          </w:p>
        </w:tc>
      </w:tr>
      <w:tr>
        <w:trPr/>
        <w:tc>
          <w:tcPr>
            <w:tcW w:w="8676" w:type="dxa"/>
            <w:gridSpan w:val="6"/>
            <w:tcBorders>
              <w:top w:val="single" w:sz="4" w:space="0" w:color="000000"/>
              <w:left w:val="single" w:sz="4" w:space="0" w:color="000000"/>
              <w:bottom w:val="single" w:sz="4" w:space="0" w:color="000000"/>
              <w:right w:val="single" w:sz="4" w:space="0" w:color="000000"/>
            </w:tcBorders>
          </w:tcPr>
          <w:p>
            <w:pPr>
              <w:pStyle w:val="Normal"/>
              <w:jc w:val="right"/>
              <w:rPr>
                <w:b/>
                <w:sz w:val="24"/>
                <w:szCs w:val="24"/>
              </w:rPr>
            </w:pPr>
            <w:r>
              <w:rPr>
                <w:b/>
                <w:sz w:val="24"/>
                <w:szCs w:val="24"/>
              </w:rPr>
              <w:t>Kaina iš viso, Eur be PVM</w:t>
            </w:r>
          </w:p>
        </w:tc>
        <w:tc>
          <w:tcPr>
            <w:tcW w:w="1153" w:type="dxa"/>
            <w:tcBorders>
              <w:top w:val="single" w:sz="4" w:space="0" w:color="000000"/>
              <w:left w:val="single" w:sz="4" w:space="0" w:color="000000"/>
              <w:bottom w:val="single" w:sz="4" w:space="0" w:color="000000"/>
              <w:right w:val="single" w:sz="4" w:space="0" w:color="000000"/>
            </w:tcBorders>
          </w:tcPr>
          <w:p>
            <w:pPr>
              <w:pStyle w:val="Normal"/>
              <w:pBdr/>
              <w:jc w:val="center"/>
              <w:rPr>
                <w:b/>
                <w:bCs/>
                <w:color w:val="000000"/>
                <w:sz w:val="23"/>
                <w:szCs w:val="23"/>
              </w:rPr>
            </w:pPr>
            <w:r>
              <w:rPr>
                <w:b/>
                <w:bCs/>
                <w:sz w:val="24"/>
                <w:szCs w:val="24"/>
              </w:rPr>
              <w:t>6720,00</w:t>
            </w:r>
          </w:p>
        </w:tc>
      </w:tr>
      <w:tr>
        <w:trPr/>
        <w:tc>
          <w:tcPr>
            <w:tcW w:w="8676" w:type="dxa"/>
            <w:gridSpan w:val="6"/>
            <w:tcBorders>
              <w:top w:val="single" w:sz="4" w:space="0" w:color="000000"/>
              <w:left w:val="single" w:sz="4" w:space="0" w:color="000000"/>
              <w:bottom w:val="single" w:sz="4" w:space="0" w:color="000000"/>
              <w:right w:val="single" w:sz="4" w:space="0" w:color="000000"/>
            </w:tcBorders>
          </w:tcPr>
          <w:p>
            <w:pPr>
              <w:pStyle w:val="Normal"/>
              <w:jc w:val="right"/>
              <w:rPr>
                <w:b/>
                <w:sz w:val="24"/>
                <w:szCs w:val="24"/>
              </w:rPr>
            </w:pPr>
            <w:r>
              <w:rPr>
                <w:b/>
                <w:sz w:val="24"/>
                <w:szCs w:val="24"/>
              </w:rPr>
              <w:t>PVM, Eur</w:t>
            </w:r>
          </w:p>
        </w:tc>
        <w:tc>
          <w:tcPr>
            <w:tcW w:w="1153" w:type="dxa"/>
            <w:tcBorders>
              <w:top w:val="single" w:sz="4" w:space="0" w:color="000000"/>
              <w:left w:val="single" w:sz="4" w:space="0" w:color="000000"/>
              <w:bottom w:val="single" w:sz="4" w:space="0" w:color="000000"/>
              <w:right w:val="single" w:sz="4" w:space="0" w:color="000000"/>
            </w:tcBorders>
          </w:tcPr>
          <w:p>
            <w:pPr>
              <w:pStyle w:val="Normal"/>
              <w:pBdr/>
              <w:jc w:val="center"/>
              <w:rPr>
                <w:b/>
                <w:bCs/>
                <w:color w:val="000000"/>
                <w:sz w:val="23"/>
                <w:szCs w:val="23"/>
              </w:rPr>
            </w:pPr>
            <w:r>
              <w:rPr>
                <w:b/>
                <w:bCs/>
                <w:color w:val="000000"/>
                <w:sz w:val="23"/>
                <w:szCs w:val="23"/>
              </w:rPr>
              <w:t>-</w:t>
            </w:r>
          </w:p>
        </w:tc>
      </w:tr>
      <w:tr>
        <w:trPr/>
        <w:tc>
          <w:tcPr>
            <w:tcW w:w="8676" w:type="dxa"/>
            <w:gridSpan w:val="6"/>
            <w:tcBorders>
              <w:top w:val="single" w:sz="4" w:space="0" w:color="000000"/>
              <w:left w:val="single" w:sz="4" w:space="0" w:color="000000"/>
              <w:bottom w:val="single" w:sz="4" w:space="0" w:color="000000"/>
              <w:right w:val="single" w:sz="4" w:space="0" w:color="000000"/>
            </w:tcBorders>
          </w:tcPr>
          <w:p>
            <w:pPr>
              <w:pStyle w:val="Normal"/>
              <w:jc w:val="right"/>
              <w:rPr>
                <w:b/>
                <w:sz w:val="24"/>
                <w:szCs w:val="24"/>
              </w:rPr>
            </w:pPr>
            <w:r>
              <w:rPr>
                <w:b/>
                <w:sz w:val="24"/>
                <w:szCs w:val="24"/>
              </w:rPr>
              <w:t>Kaina iš viso, Eur su PVM</w:t>
            </w:r>
          </w:p>
        </w:tc>
        <w:tc>
          <w:tcPr>
            <w:tcW w:w="1153" w:type="dxa"/>
            <w:tcBorders>
              <w:top w:val="single" w:sz="4" w:space="0" w:color="000000"/>
              <w:left w:val="single" w:sz="4" w:space="0" w:color="000000"/>
              <w:bottom w:val="single" w:sz="4" w:space="0" w:color="000000"/>
              <w:right w:val="single" w:sz="4" w:space="0" w:color="000000"/>
            </w:tcBorders>
          </w:tcPr>
          <w:p>
            <w:pPr>
              <w:pStyle w:val="Normal"/>
              <w:pBdr/>
              <w:jc w:val="center"/>
              <w:rPr>
                <w:b/>
                <w:bCs/>
                <w:color w:val="000000"/>
                <w:sz w:val="23"/>
                <w:szCs w:val="23"/>
              </w:rPr>
            </w:pPr>
            <w:r>
              <w:rPr>
                <w:b/>
                <w:bCs/>
                <w:sz w:val="24"/>
                <w:szCs w:val="24"/>
              </w:rPr>
              <w:t>6720,00</w:t>
            </w:r>
          </w:p>
        </w:tc>
      </w:tr>
    </w:tbl>
    <w:p>
      <w:pPr>
        <w:pStyle w:val="Normal"/>
        <w:widowControl w:val="false"/>
        <w:pBdr/>
        <w:rPr>
          <w:rFonts w:ascii="Times New Roman" w:hAnsi="Times New Roman" w:eastAsia="Times New Roman" w:cs="Times New Roman"/>
          <w:bCs/>
          <w:i/>
          <w:i/>
          <w:iCs/>
          <w:color w:val="000000"/>
          <w:sz w:val="20"/>
          <w:szCs w:val="20"/>
        </w:rPr>
      </w:pPr>
      <w:r>
        <w:rPr>
          <w:rFonts w:eastAsia="Times New Roman" w:cs="Times New Roman" w:ascii="Times New Roman" w:hAnsi="Times New Roman"/>
          <w:bCs/>
          <w:i/>
          <w:iCs/>
          <w:color w:val="000000"/>
          <w:sz w:val="20"/>
          <w:szCs w:val="20"/>
          <w:lang w:val="en-US"/>
        </w:rPr>
        <w:t>*Tiek</w:t>
      </w:r>
      <w:r>
        <w:rPr>
          <w:rFonts w:eastAsia="Times New Roman" w:cs="Times New Roman" w:ascii="Times New Roman" w:hAnsi="Times New Roman"/>
          <w:bCs/>
          <w:i/>
          <w:iCs/>
          <w:color w:val="000000"/>
          <w:sz w:val="20"/>
          <w:szCs w:val="20"/>
        </w:rPr>
        <w:t>ėjas nėra PVM mokėtojas</w:t>
      </w:r>
    </w:p>
    <w:p>
      <w:pPr>
        <w:pStyle w:val="Normal"/>
        <w:widowControl w:val="false"/>
        <w:pBdr/>
        <w:rPr>
          <w:rFonts w:ascii="Times New Roman" w:hAnsi="Times New Roman" w:eastAsia="Times New Roman" w:cs="Times New Roman"/>
          <w:b/>
          <w:color w:val="000000"/>
          <w:sz w:val="24"/>
          <w:szCs w:val="24"/>
        </w:rPr>
      </w:pPr>
      <w:r>
        <w:rPr>
          <w:rFonts w:eastAsia="Times New Roman" w:cs="Times New Roman" w:ascii="Times New Roman" w:hAnsi="Times New Roman"/>
          <w:b/>
          <w:color w:val="000000"/>
          <w:sz w:val="24"/>
          <w:szCs w:val="24"/>
        </w:rPr>
      </w:r>
    </w:p>
    <w:p>
      <w:pPr>
        <w:pStyle w:val="Normal"/>
        <w:pBdr/>
        <w:tabs>
          <w:tab w:val="clear" w:pos="720"/>
          <w:tab w:val="center" w:pos="4819" w:leader="none"/>
          <w:tab w:val="right" w:pos="9638" w:leader="none"/>
        </w:tabs>
        <w:jc w:val="both"/>
        <w:rPr>
          <w:rFonts w:ascii="Times New Roman" w:hAnsi="Times New Roman" w:eastAsia="Times New Roman" w:cs="Times New Roman"/>
          <w:b/>
          <w:i/>
          <w:i/>
          <w:color w:val="000000"/>
          <w:sz w:val="24"/>
          <w:szCs w:val="24"/>
          <w:u w:val="single"/>
        </w:rPr>
      </w:pPr>
      <w:r>
        <w:rPr>
          <w:rFonts w:eastAsia="Times New Roman" w:cs="Times New Roman" w:ascii="Times New Roman" w:hAnsi="Times New Roman"/>
          <w:b/>
          <w:i/>
          <w:color w:val="000000"/>
          <w:sz w:val="24"/>
          <w:szCs w:val="24"/>
          <w:u w:val="single"/>
        </w:rPr>
        <w:t>Pageidaujami paslaugų suteikimo, kitos reikalingos sutarties sąlygos:</w:t>
      </w:r>
    </w:p>
    <w:p>
      <w:pPr>
        <w:pStyle w:val="ListParagraph"/>
        <w:numPr>
          <w:ilvl w:val="0"/>
          <w:numId w:val="6"/>
        </w:numPr>
        <w:spacing w:lineRule="auto" w:line="240"/>
        <w:rPr>
          <w:szCs w:val="24"/>
        </w:rPr>
      </w:pPr>
      <w:r>
        <w:rPr>
          <w:szCs w:val="24"/>
        </w:rPr>
        <w:t>Paslaugos teikiamos 2 kartus per savaitę* (viso 96 užsiėmimai):</w:t>
      </w:r>
    </w:p>
    <w:p>
      <w:pPr>
        <w:pStyle w:val="ListParagraph"/>
        <w:tabs>
          <w:tab w:val="clear" w:pos="720"/>
          <w:tab w:val="left" w:pos="6521" w:leader="none"/>
        </w:tabs>
        <w:rPr/>
      </w:pPr>
      <w:r>
        <w:rPr/>
        <w:t>Pirmadieniais 20:00 val.,</w:t>
      </w:r>
    </w:p>
    <w:p>
      <w:pPr>
        <w:pStyle w:val="ListParagraph"/>
        <w:tabs>
          <w:tab w:val="clear" w:pos="720"/>
          <w:tab w:val="left" w:pos="6521" w:leader="none"/>
        </w:tabs>
        <w:rPr/>
      </w:pPr>
      <w:r>
        <w:rPr/>
        <w:t xml:space="preserve">Trečiadieniais 20:00 val. </w:t>
      </w:r>
    </w:p>
    <w:p>
      <w:pPr>
        <w:pStyle w:val="Normal"/>
        <w:rPr>
          <w:rFonts w:ascii="Times New Roman" w:hAnsi="Times New Roman" w:cs="Times New Roman"/>
          <w:i/>
          <w:i/>
          <w:iCs/>
        </w:rPr>
      </w:pPr>
      <w:r>
        <w:rPr>
          <w:rFonts w:cs="Times New Roman" w:ascii="Times New Roman" w:hAnsi="Times New Roman"/>
          <w:i/>
          <w:iCs/>
        </w:rPr>
        <w:t>*Tikslus užsiėmimų laikas derinamas su perkančiąja organizacija. Abiejų šalių sutarimu laikai gali būti keičiami.</w:t>
      </w:r>
    </w:p>
    <w:p>
      <w:pPr>
        <w:pStyle w:val="ListParagraph"/>
        <w:numPr>
          <w:ilvl w:val="0"/>
          <w:numId w:val="6"/>
        </w:numPr>
        <w:spacing w:lineRule="auto" w:line="240"/>
        <w:rPr>
          <w:szCs w:val="24"/>
        </w:rPr>
      </w:pPr>
      <w:r>
        <w:rPr/>
        <w:t xml:space="preserve">Paslaugos </w:t>
      </w:r>
      <w:r>
        <w:rPr>
          <w:szCs w:val="24"/>
        </w:rPr>
        <w:t>teikiamos Kauno miesto gyventojams.</w:t>
      </w:r>
    </w:p>
    <w:p>
      <w:pPr>
        <w:pStyle w:val="ListParagraph"/>
        <w:numPr>
          <w:ilvl w:val="0"/>
          <w:numId w:val="6"/>
        </w:numPr>
        <w:spacing w:lineRule="auto" w:line="240"/>
        <w:rPr/>
      </w:pPr>
      <w:r>
        <w:rPr/>
        <w:t xml:space="preserve">Vieno užsiėmimo trukmė – 60 min. </w:t>
      </w:r>
    </w:p>
    <w:p>
      <w:pPr>
        <w:pStyle w:val="ListParagraph"/>
        <w:numPr>
          <w:ilvl w:val="0"/>
          <w:numId w:val="6"/>
        </w:numPr>
        <w:spacing w:lineRule="auto" w:line="240"/>
        <w:rPr/>
      </w:pPr>
      <w:r>
        <w:rPr/>
        <w:t>Paslaugų teikėjas šiame pirkime suprantamas kaip juridinis ar fizinis asmuo, teikiantis nurodytas paslaugas  bei užtikrinantis paslaugas teikiantį (-čius) specialistą (-us).</w:t>
      </w:r>
    </w:p>
    <w:p>
      <w:pPr>
        <w:pStyle w:val="ListParagraph"/>
        <w:numPr>
          <w:ilvl w:val="0"/>
          <w:numId w:val="6"/>
        </w:numPr>
        <w:spacing w:lineRule="auto" w:line="240"/>
        <w:rPr/>
      </w:pPr>
      <w:r>
        <w:rPr/>
        <w:t>Specialistas – tai kvalifikacinius reikalavimus atitinkantis fizinio aktyvumo specialistas, už kurio suradimą, dalyvavimą treniruotėse ir kokybišką jų vedimą, ar pakeitimą kitu specialistu, atsakingas paslaugos teikėjas.</w:t>
      </w:r>
    </w:p>
    <w:p>
      <w:pPr>
        <w:pStyle w:val="ListParagraph"/>
        <w:numPr>
          <w:ilvl w:val="0"/>
          <w:numId w:val="6"/>
        </w:numPr>
        <w:spacing w:lineRule="auto" w:line="240"/>
        <w:rPr/>
      </w:pPr>
      <w:r>
        <w:rPr>
          <w:rStyle w:val="ui-provider"/>
        </w:rPr>
        <w:t>Paslaugos teikėju gali būti ir specialistas, kuris ves perkamus užsiėmimus.</w:t>
      </w:r>
    </w:p>
    <w:p>
      <w:pPr>
        <w:pStyle w:val="ListParagraph"/>
        <w:numPr>
          <w:ilvl w:val="0"/>
          <w:numId w:val="6"/>
        </w:numPr>
        <w:spacing w:lineRule="auto" w:line="240"/>
        <w:rPr>
          <w:rStyle w:val="normaltextrun"/>
          <w:szCs w:val="24"/>
        </w:rPr>
      </w:pPr>
      <w:r>
        <w:rPr>
          <w:rStyle w:val="normaltextrun"/>
        </w:rPr>
        <w:t>Specialistas turi turėti galimybę vesti treniruotes arba nuotoliniu, arba kontaktiniu būdu. Treniruočių vykdymo būdą nurodo perkančioji organizacija.</w:t>
      </w:r>
    </w:p>
    <w:p>
      <w:pPr>
        <w:pStyle w:val="ListParagraph"/>
        <w:numPr>
          <w:ilvl w:val="0"/>
          <w:numId w:val="6"/>
        </w:numPr>
        <w:spacing w:lineRule="auto" w:line="240"/>
        <w:rPr/>
      </w:pPr>
      <w:r>
        <w:rPr/>
        <w:t>Užsiėmimų metu paslaugos teikėjas turi pasirūpinti reikiama garso įranga (mikrofonu, garso kolonėle), užtikrinti kokybišką garsą, girdimą visiems užsiėmimo dalyviams ir kontaktinių, ir nuotolinių treniruočių metu. Nuotolinių treniruočių metu taip pat turi būti užtikrinamas kokybiškas vaizdas.</w:t>
      </w:r>
    </w:p>
    <w:p>
      <w:pPr>
        <w:pStyle w:val="ListParagraph"/>
        <w:numPr>
          <w:ilvl w:val="0"/>
          <w:numId w:val="6"/>
        </w:numPr>
        <w:spacing w:lineRule="auto" w:line="240"/>
        <w:rPr>
          <w:szCs w:val="24"/>
        </w:rPr>
      </w:pPr>
      <w:r>
        <w:rPr/>
        <w:t>Pratimų</w:t>
      </w:r>
      <w:r>
        <w:rPr>
          <w:color w:val="000000"/>
        </w:rPr>
        <w:t xml:space="preserve"> tempas turi atitikti užsiėmimuose dalyvaujančių poreikius ir fizines galimybes. Paslaugos teikėjas turi išmanyti ir gebėti pritaikyti pratimus toms pačioms raumenų grupėms skirtingo fizinio pasirengimo ar būklės asmenims.</w:t>
      </w:r>
    </w:p>
    <w:p>
      <w:pPr>
        <w:pStyle w:val="ListParagraph"/>
        <w:numPr>
          <w:ilvl w:val="0"/>
          <w:numId w:val="6"/>
        </w:numPr>
        <w:spacing w:lineRule="auto" w:line="240"/>
        <w:rPr>
          <w:sz w:val="20"/>
        </w:rPr>
      </w:pPr>
      <w:r>
        <w:rPr>
          <w:szCs w:val="24"/>
          <w:shd w:fill="FFFFFF" w:val="clear"/>
        </w:rPr>
        <w:t>Užsiėmimų metu turi būti gerinama laikysena, pusiausvyra, lankstumas.</w:t>
      </w:r>
    </w:p>
    <w:p>
      <w:pPr>
        <w:pStyle w:val="ListParagraph"/>
        <w:numPr>
          <w:ilvl w:val="0"/>
          <w:numId w:val="6"/>
        </w:numPr>
        <w:spacing w:lineRule="auto" w:line="240"/>
        <w:rPr>
          <w:sz w:val="20"/>
        </w:rPr>
      </w:pPr>
      <w:r>
        <w:rPr>
          <w:shd w:fill="FFFFFF" w:val="clear"/>
        </w:rPr>
        <w:t>Porinių šokių užsiėmimuose turi būti šokami klasikiniai (lėtas valsas, tango, Vienos valsas, fokstrotas, kvikstepas), Lotynų Amerikos (samba, čia čia čia, rumba, džaivas) bei Pasaulio tautų (salsa, Argentinos tango, svingas) šokiai.</w:t>
      </w:r>
    </w:p>
    <w:p>
      <w:pPr>
        <w:pStyle w:val="ListParagraph"/>
        <w:numPr>
          <w:ilvl w:val="0"/>
          <w:numId w:val="6"/>
        </w:numPr>
        <w:spacing w:lineRule="auto" w:line="240"/>
        <w:rPr>
          <w:szCs w:val="24"/>
        </w:rPr>
      </w:pPr>
      <w:r>
        <w:rPr>
          <w:szCs w:val="24"/>
        </w:rPr>
        <w:t>Paslaugos teikėjas treniruočių metu turi užtikrinti, kad būtų naudojami tik legalūs muzikos takeliai.</w:t>
      </w:r>
    </w:p>
    <w:p>
      <w:pPr>
        <w:pStyle w:val="ListParagraph"/>
        <w:numPr>
          <w:ilvl w:val="0"/>
          <w:numId w:val="6"/>
        </w:numPr>
        <w:spacing w:lineRule="auto" w:line="240"/>
        <w:rPr>
          <w:szCs w:val="24"/>
        </w:rPr>
      </w:pPr>
      <w:r>
        <w:rPr/>
        <w:t xml:space="preserve">Užsiėmimo metu taip pat turi būti gerinamos fizinio aktyvumo žinios, informuojant apie atliekamų judesių naudą, įvardijant dirbančius raumenis, jų grupes ir kt. </w:t>
      </w:r>
    </w:p>
    <w:p>
      <w:pPr>
        <w:pStyle w:val="ListParagraph"/>
        <w:numPr>
          <w:ilvl w:val="0"/>
          <w:numId w:val="6"/>
        </w:numPr>
        <w:spacing w:lineRule="auto" w:line="240"/>
        <w:rPr/>
      </w:pPr>
      <w:r>
        <w:rPr/>
        <w:t xml:space="preserve">Paslaugos teikėjas, atsižvelgdamas į vedamo užsiėmimo specifiką, gali pasirūpinti reikalingu inventoriumi, kurio kiekis turi būti pakankamas visiems treniruočių dalyviams. </w:t>
      </w:r>
    </w:p>
    <w:p>
      <w:pPr>
        <w:pStyle w:val="ListParagraph"/>
        <w:numPr>
          <w:ilvl w:val="0"/>
          <w:numId w:val="6"/>
        </w:numPr>
        <w:spacing w:lineRule="auto" w:line="240"/>
        <w:rPr>
          <w:rStyle w:val="normaltextrun"/>
        </w:rPr>
      </w:pPr>
      <w:r>
        <w:rPr>
          <w:rStyle w:val="normaltextrun"/>
        </w:rPr>
        <w:t xml:space="preserve">Vasaros sezonu, esant tinkamam orui (apytiksliai birželio - rugpjūčio mėn.) veiklos vykdomos gryname ore, perkančiosios organizacijos nurodytoje viešoje Kauno miesto vietoje. Vasaros sezonu, dalyvių skaičius treniruotėse neribojamas. </w:t>
      </w:r>
    </w:p>
    <w:p>
      <w:pPr>
        <w:pStyle w:val="ListParagraph"/>
        <w:numPr>
          <w:ilvl w:val="0"/>
          <w:numId w:val="6"/>
        </w:numPr>
        <w:spacing w:lineRule="auto" w:line="240"/>
        <w:rPr>
          <w:rStyle w:val="eop"/>
        </w:rPr>
      </w:pPr>
      <w:r>
        <w:rPr>
          <w:rStyle w:val="normaltextrun"/>
        </w:rPr>
        <w:t>Šaltuoju sezonu treniruotės vyksta perkančiosios organizacijos nurodytose patalpose, esančiose Kauno mieste.</w:t>
      </w:r>
      <w:r>
        <w:rPr>
          <w:rStyle w:val="eop"/>
        </w:rPr>
        <w:t xml:space="preserve"> Šaltojo sezono treniruotėse dalyvauja ne daugiau nei, apytiksliai, 50-60 asmenų, atsižvelgiant į patalpų plotą. </w:t>
      </w:r>
    </w:p>
    <w:p>
      <w:pPr>
        <w:pStyle w:val="ListParagraph"/>
        <w:numPr>
          <w:ilvl w:val="0"/>
          <w:numId w:val="6"/>
        </w:numPr>
        <w:spacing w:lineRule="auto" w:line="240"/>
        <w:rPr>
          <w:rStyle w:val="eop"/>
          <w:sz w:val="20"/>
        </w:rPr>
      </w:pPr>
      <w:r>
        <w:rPr>
          <w:shd w:fill="FFFFFF" w:val="clear"/>
        </w:rPr>
        <w:t>Vasaros sezono metu, esant blogoms oro sąlygoms (lietus, perkūnija, didelis vėjas, itin</w:t>
      </w:r>
      <w:r>
        <w:rPr/>
        <w:t xml:space="preserve"> </w:t>
      </w:r>
      <w:r>
        <w:rPr>
          <w:shd w:fill="FFFFFF" w:val="clear"/>
        </w:rPr>
        <w:t>didelis karštis ir kt.), treniruotės nevyksta. Dėl treniruočių atšaukimo, atsižvelgiant į oro sąlygas, sprendžia perkančioji organizacija.</w:t>
      </w:r>
    </w:p>
    <w:p>
      <w:pPr>
        <w:pStyle w:val="ListParagraph"/>
        <w:numPr>
          <w:ilvl w:val="0"/>
          <w:numId w:val="6"/>
        </w:numPr>
        <w:spacing w:lineRule="auto" w:line="240"/>
        <w:rPr>
          <w:rStyle w:val="eop"/>
          <w:szCs w:val="24"/>
        </w:rPr>
      </w:pPr>
      <w:r>
        <w:rPr>
          <w:rStyle w:val="normaltextrun"/>
        </w:rPr>
        <w:t>Nuotoliniu būdu užsiėmimai vyksta per Google Meet platformą.</w:t>
      </w:r>
    </w:p>
    <w:p>
      <w:pPr>
        <w:pStyle w:val="ListParagraph"/>
        <w:numPr>
          <w:ilvl w:val="0"/>
          <w:numId w:val="6"/>
        </w:numPr>
        <w:spacing w:lineRule="auto" w:line="240"/>
        <w:rPr>
          <w:rStyle w:val="normaltextrun"/>
          <w:color w:val="000000"/>
        </w:rPr>
      </w:pPr>
      <w:r>
        <w:rPr>
          <w:rStyle w:val="normaltextrun"/>
          <w:color w:val="000000"/>
          <w:shd w:fill="FFFFFF" w:val="clear"/>
        </w:rPr>
        <w:t xml:space="preserve">Nuotoliniai užsiėmimai turi būti vedami estetiškoje, tvarkingoje, nebuitinėje aplinkoje. </w:t>
      </w:r>
    </w:p>
    <w:p>
      <w:pPr>
        <w:pStyle w:val="ListParagraph"/>
        <w:numPr>
          <w:ilvl w:val="0"/>
          <w:numId w:val="6"/>
        </w:numPr>
        <w:spacing w:lineRule="auto" w:line="240"/>
        <w:rPr/>
      </w:pPr>
      <w:r>
        <w:rPr/>
        <w:t xml:space="preserve">Paslaugos teikėjas turi užtikrinti nepertraukiamą tiesioginį užsiėmimų vedimą. </w:t>
      </w:r>
    </w:p>
    <w:p>
      <w:pPr>
        <w:pStyle w:val="ListParagraph"/>
        <w:numPr>
          <w:ilvl w:val="0"/>
          <w:numId w:val="6"/>
        </w:numPr>
        <w:spacing w:lineRule="auto" w:line="240"/>
        <w:rPr/>
      </w:pPr>
      <w:r>
        <w:rPr/>
        <w:t xml:space="preserve">Specialistas užsiėmimų metu turi kalbėti aiškia, rišlia lietuvių kalba. </w:t>
      </w:r>
      <w:r>
        <w:rPr>
          <w:rStyle w:val="normaltextrun"/>
          <w:color w:val="000000"/>
          <w:shd w:fill="FFFFFF" w:val="clear"/>
        </w:rPr>
        <w:t>Užsiėmimų metu, draudžiama paslaugos teikėjui būti apsvaigus nuo bet kokių psichiką veikiančių medžiagų, draudžiama vartoti necenzūrinę ar paslaugų gavėjus galinčią įžeisti kalbą.</w:t>
      </w:r>
      <w:r>
        <w:rPr>
          <w:rStyle w:val="eop"/>
          <w:color w:val="000000"/>
          <w:shd w:fill="FFFFFF" w:val="clear"/>
        </w:rPr>
        <w:t> </w:t>
      </w:r>
    </w:p>
    <w:p>
      <w:pPr>
        <w:pStyle w:val="ListParagraph"/>
        <w:numPr>
          <w:ilvl w:val="0"/>
          <w:numId w:val="6"/>
        </w:numPr>
        <w:spacing w:lineRule="auto" w:line="240"/>
        <w:rPr>
          <w:szCs w:val="24"/>
        </w:rPr>
      </w:pPr>
      <w:r>
        <w:rPr/>
        <w:t xml:space="preserve">Užsiėmimas privalo būti vykdomas jeigu yra bent vienas dalyvis. </w:t>
      </w:r>
    </w:p>
    <w:p>
      <w:pPr>
        <w:pStyle w:val="ListParagraph"/>
        <w:numPr>
          <w:ilvl w:val="0"/>
          <w:numId w:val="6"/>
        </w:numPr>
        <w:spacing w:lineRule="auto" w:line="240"/>
        <w:rPr/>
      </w:pPr>
      <w:r>
        <w:rPr/>
        <w:t>Paslaugos teikėjas turi prisidėti prie informacijos sklaidos ir viešinimo apie vykdomus nemokamus užsiėmimus, kuri derinama su perkančiąja organizacija (ne mažiau nei 3 viešinimo veiksmai per sutarties galiojimą paslaugos teikėjo socialiniuose tinkluose, svetainėje ar pan.). Viešinant bendrai vykdomas veiklas socialiniuose tinkluose ir kt., privaloma nurodyti veiklų iniciatorių ir organizatorių bei projekto pavadinimą (Kauno miesto savivaldybę ir Kauno miesto savivaldybės visuomenės sveikatos biurą ir projektą „Judėk sveikai“).</w:t>
      </w:r>
    </w:p>
    <w:p>
      <w:pPr>
        <w:pStyle w:val="ListParagraph"/>
        <w:numPr>
          <w:ilvl w:val="0"/>
          <w:numId w:val="6"/>
        </w:numPr>
        <w:spacing w:lineRule="auto" w:line="240"/>
        <w:rPr>
          <w:rStyle w:val="eop"/>
          <w:color w:val="000000"/>
        </w:rPr>
      </w:pPr>
      <w:r>
        <w:rPr>
          <w:rStyle w:val="normaltextrun"/>
          <w:color w:val="000000"/>
          <w:shd w:fill="FFFFFF" w:val="clear"/>
        </w:rPr>
        <w:t xml:space="preserve">Specialistas privalo nevėluoti į treniruotes ir negali pabaigti jų anksčiau nei praėjus 60 minučių nuo jos pradžios, numatytos grafike. </w:t>
      </w:r>
    </w:p>
    <w:p>
      <w:pPr>
        <w:pStyle w:val="ListParagraph"/>
        <w:numPr>
          <w:ilvl w:val="0"/>
          <w:numId w:val="6"/>
        </w:numPr>
        <w:spacing w:lineRule="auto" w:line="240"/>
        <w:rPr>
          <w:color w:val="000000"/>
        </w:rPr>
      </w:pPr>
      <w:r>
        <w:rPr>
          <w:rStyle w:val="normaltextrun"/>
          <w:color w:val="000000"/>
          <w:shd w:fill="FFFFFF" w:val="clear"/>
        </w:rPr>
        <w:t>Specialistas turi prisidėti prie dalyvių registracijos (treniruotės metu tikrinti registracijos laiškus).</w:t>
      </w:r>
      <w:r>
        <w:rPr>
          <w:rStyle w:val="eop"/>
          <w:color w:val="000000"/>
          <w:shd w:fill="FFFFFF" w:val="clear"/>
        </w:rPr>
        <w:t> </w:t>
      </w:r>
    </w:p>
    <w:p>
      <w:pPr>
        <w:pStyle w:val="ListParagraph"/>
        <w:numPr>
          <w:ilvl w:val="0"/>
          <w:numId w:val="6"/>
        </w:numPr>
        <w:spacing w:lineRule="auto" w:line="240"/>
        <w:rPr>
          <w:rStyle w:val="eop"/>
          <w:color w:val="000000"/>
        </w:rPr>
      </w:pPr>
      <w:r>
        <w:rPr>
          <w:rStyle w:val="eop"/>
          <w:color w:val="000000"/>
        </w:rPr>
        <w:t xml:space="preserve">Paslaugos teikėjas, </w:t>
      </w:r>
      <w:r>
        <w:rPr>
          <w:rStyle w:val="eop"/>
        </w:rPr>
        <w:t>esant poreikiui,</w:t>
      </w:r>
      <w:r>
        <w:rPr>
          <w:rStyle w:val="eop"/>
          <w:color w:val="000000"/>
        </w:rPr>
        <w:t xml:space="preserve"> turi užtikrinti saugumą, atsižvelgiant į šalies/miesto epidemiologinę situaciją ir su tuo susijusiais teisės aktų nuostatas.</w:t>
      </w:r>
    </w:p>
    <w:p>
      <w:pPr>
        <w:pStyle w:val="ListParagraph"/>
        <w:numPr>
          <w:ilvl w:val="0"/>
          <w:numId w:val="6"/>
        </w:numPr>
        <w:spacing w:lineRule="auto" w:line="240"/>
        <w:rPr>
          <w:rStyle w:val="eop"/>
          <w:color w:val="000000"/>
        </w:rPr>
      </w:pPr>
      <w:r>
        <w:rPr>
          <w:rStyle w:val="eop"/>
          <w:color w:val="000000"/>
        </w:rPr>
        <w:t xml:space="preserve">Paslaugų suteikimas nuo sutarties pasirašymo datos iki 2026 m. kovo 31 d. </w:t>
      </w:r>
    </w:p>
    <w:p>
      <w:pPr>
        <w:pStyle w:val="ListParagraph"/>
        <w:numPr>
          <w:ilvl w:val="0"/>
          <w:numId w:val="6"/>
        </w:numPr>
        <w:spacing w:lineRule="auto" w:line="240"/>
        <w:rPr>
          <w:color w:val="000000"/>
          <w:sz w:val="22"/>
        </w:rPr>
      </w:pPr>
      <w:r>
        <w:rPr>
          <w:rStyle w:val="eop"/>
        </w:rPr>
        <w:t>Vasaros sezono metu</w:t>
      </w:r>
      <w:r>
        <w:rPr>
          <w:color w:val="000000"/>
        </w:rPr>
        <w:t xml:space="preserve"> vykstančių treniruočių apmokėjimo tvarka:</w:t>
      </w:r>
    </w:p>
    <w:p>
      <w:pPr>
        <w:pStyle w:val="ListParagraph"/>
        <w:numPr>
          <w:ilvl w:val="0"/>
          <w:numId w:val="7"/>
        </w:numPr>
        <w:shd w:val="clear" w:color="auto" w:fill="FFFFFF"/>
        <w:spacing w:lineRule="auto" w:line="240"/>
        <w:rPr>
          <w:color w:val="000000"/>
          <w:sz w:val="22"/>
        </w:rPr>
      </w:pPr>
      <w:r>
        <w:rPr>
          <w:color w:val="000000"/>
        </w:rPr>
        <w:t>jeigu perkančioji organizacija atšaukia treniruotę anksčiau nei 3 val. iki treniruotės pradžios – specialistas neturi atvykti į treniruotės vietą. Tokiu atveju paslauga nėra apmokama;</w:t>
      </w:r>
    </w:p>
    <w:p>
      <w:pPr>
        <w:pStyle w:val="ListParagraph"/>
        <w:numPr>
          <w:ilvl w:val="0"/>
          <w:numId w:val="7"/>
        </w:numPr>
        <w:shd w:val="clear" w:color="auto" w:fill="FFFFFF"/>
        <w:spacing w:lineRule="auto" w:line="240"/>
        <w:rPr>
          <w:color w:val="000000"/>
          <w:sz w:val="22"/>
        </w:rPr>
      </w:pPr>
      <w:r>
        <w:rPr>
          <w:color w:val="000000"/>
        </w:rPr>
        <w:t>jeigu perkančioji organizacija atšaukia treniruotę likus mažiau nei 3 val. iki treniruotės pradžios – specialistas privalo nuvykti į treniruotės vietą, pirmas 10 treniruotės minučių turi būti treniruotės vietoje ir įspėti atvykusius dalyvius, kad treniruotė nevyks. Tokiu atveju paslauga yra apmokama;</w:t>
      </w:r>
    </w:p>
    <w:p>
      <w:pPr>
        <w:pStyle w:val="ListParagraph"/>
        <w:numPr>
          <w:ilvl w:val="0"/>
          <w:numId w:val="7"/>
        </w:numPr>
        <w:shd w:val="clear" w:color="auto" w:fill="FFFFFF"/>
        <w:spacing w:lineRule="auto" w:line="240"/>
        <w:rPr>
          <w:color w:val="000000"/>
        </w:rPr>
      </w:pPr>
      <w:r>
        <w:rPr>
          <w:color w:val="000000"/>
        </w:rPr>
        <w:t>jeigu treniruotės metu pradeda lyti ir pan., specialistas informuoja perkančiąją organizaciją ir treniruotė nutraukiama, tačiau paslauga yra apmokama.</w:t>
      </w:r>
    </w:p>
    <w:p>
      <w:pPr>
        <w:pStyle w:val="ListParagraph"/>
        <w:numPr>
          <w:ilvl w:val="0"/>
          <w:numId w:val="6"/>
        </w:numPr>
        <w:spacing w:lineRule="auto" w:line="240"/>
        <w:rPr>
          <w:rStyle w:val="eop"/>
        </w:rPr>
      </w:pPr>
      <w:r>
        <w:rPr>
          <w:rStyle w:val="eop"/>
        </w:rPr>
        <w:t>Perkančioji organizacija apie treniruotės atšaukimą gali informuoti: trumpąja žinute, el. laišku, skambučiu, ar kitu žodiniu ar rašytiniu būdu.</w:t>
      </w:r>
    </w:p>
    <w:p>
      <w:pPr>
        <w:pStyle w:val="ListParagraph"/>
        <w:numPr>
          <w:ilvl w:val="0"/>
          <w:numId w:val="6"/>
        </w:numPr>
        <w:spacing w:lineRule="auto" w:line="240"/>
        <w:rPr>
          <w:rStyle w:val="eop"/>
          <w:color w:val="000000"/>
        </w:rPr>
      </w:pPr>
      <w:r>
        <w:rPr>
          <w:rStyle w:val="eop"/>
          <w:color w:val="000000"/>
        </w:rPr>
        <w:t>Perkančioji organizacija neįsipareigoja išpirkti viso paslaugų kiekio.</w:t>
      </w:r>
    </w:p>
    <w:p>
      <w:pPr>
        <w:pStyle w:val="ListParagraph"/>
        <w:numPr>
          <w:ilvl w:val="0"/>
          <w:numId w:val="6"/>
        </w:numPr>
        <w:spacing w:lineRule="auto" w:line="240"/>
        <w:rPr>
          <w:rStyle w:val="eop"/>
          <w:color w:val="000000"/>
          <w:szCs w:val="24"/>
        </w:rPr>
      </w:pPr>
      <w:r>
        <w:rPr>
          <w:rStyle w:val="eop"/>
          <w:color w:val="000000"/>
        </w:rPr>
        <w:t>Paslaugos teikėjas turi kuo skubiau informuoti perkančiąją organizaciją ir, ne vėliau nei 2 d. d. iki pavadavimo dienos, paslaugos teikėjas privalo perkančiajai organizacijai pateikti pavaduojančiojo specialisto kvalifikaciją įrodančius dokumentus. Pavaduojančio specialisto kvalifikacija</w:t>
      </w:r>
      <w:r>
        <w:rPr/>
        <w:t xml:space="preserve"> turi atitikti iškeltus reikalavimus.</w:t>
      </w:r>
    </w:p>
    <w:p>
      <w:pPr>
        <w:pStyle w:val="Normal"/>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p>
      <w:pPr>
        <w:pStyle w:val="Normal"/>
        <w:rPr>
          <w:rFonts w:ascii="Times New Roman" w:hAnsi="Times New Roman" w:eastAsia="Times New Roman" w:cs="Times New Roman"/>
          <w:b/>
          <w:sz w:val="24"/>
          <w:szCs w:val="24"/>
        </w:rPr>
      </w:pPr>
      <w:r>
        <w:rPr>
          <w:rFonts w:eastAsia="Times New Roman" w:cs="Times New Roman" w:ascii="Times New Roman" w:hAnsi="Times New Roman"/>
          <w:b/>
          <w:sz w:val="24"/>
          <w:szCs w:val="24"/>
        </w:rPr>
        <w:t>2 lentelė. Kvalifikacijos reikalavimai</w:t>
      </w:r>
    </w:p>
    <w:tbl>
      <w:tblPr>
        <w:tblW w:w="9645"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5"/>
        <w:gridCol w:w="562"/>
        <w:gridCol w:w="5"/>
        <w:gridCol w:w="4247"/>
        <w:gridCol w:w="7"/>
        <w:gridCol w:w="4813"/>
        <w:gridCol w:w="5"/>
      </w:tblGrid>
      <w:tr>
        <w:trPr/>
        <w:tc>
          <w:tcPr>
            <w:tcW w:w="567" w:type="dxa"/>
            <w:gridSpan w:val="2"/>
            <w:tcBorders>
              <w:top w:val="single" w:sz="4" w:space="0" w:color="000000"/>
              <w:left w:val="single" w:sz="4" w:space="0" w:color="000000"/>
              <w:bottom w:val="single" w:sz="4" w:space="0" w:color="000000"/>
              <w:right w:val="single" w:sz="4" w:space="0" w:color="000000"/>
            </w:tcBorders>
          </w:tcPr>
          <w:p>
            <w:pPr>
              <w:pStyle w:val="Normal"/>
              <w:spacing w:before="0" w:after="0"/>
              <w:ind w:firstLine="57"/>
              <w:contextualSpacing/>
              <w:rPr>
                <w:rFonts w:ascii="Times New Roman" w:hAnsi="Times New Roman" w:cs="Times New Roman"/>
                <w:szCs w:val="24"/>
              </w:rPr>
            </w:pPr>
            <w:r>
              <w:rPr>
                <w:rFonts w:cs="Times New Roman" w:ascii="Times New Roman" w:hAnsi="Times New Roman"/>
                <w:szCs w:val="24"/>
              </w:rPr>
              <w:t>Nr.</w:t>
            </w:r>
          </w:p>
        </w:tc>
        <w:tc>
          <w:tcPr>
            <w:tcW w:w="4252" w:type="dxa"/>
            <w:gridSpan w:val="2"/>
            <w:tcBorders>
              <w:top w:val="single" w:sz="4" w:space="0" w:color="000000"/>
              <w:left w:val="single" w:sz="4" w:space="0" w:color="000000"/>
              <w:bottom w:val="single" w:sz="4" w:space="0" w:color="000000"/>
              <w:right w:val="single" w:sz="4" w:space="0" w:color="000000"/>
            </w:tcBorders>
          </w:tcPr>
          <w:p>
            <w:pPr>
              <w:pStyle w:val="Normal"/>
              <w:spacing w:before="0" w:after="0"/>
              <w:ind w:firstLine="57"/>
              <w:contextualSpacing/>
              <w:rPr>
                <w:rFonts w:ascii="Times New Roman" w:hAnsi="Times New Roman" w:cs="Times New Roman"/>
                <w:szCs w:val="24"/>
              </w:rPr>
            </w:pPr>
            <w:r>
              <w:rPr>
                <w:rFonts w:cs="Times New Roman" w:ascii="Times New Roman" w:hAnsi="Times New Roman"/>
                <w:szCs w:val="24"/>
              </w:rPr>
              <w:t>Kvalifikacijos reikalavimai tiekėjui</w:t>
            </w:r>
          </w:p>
        </w:tc>
        <w:tc>
          <w:tcPr>
            <w:tcW w:w="4820" w:type="dxa"/>
            <w:gridSpan w:val="2"/>
            <w:tcBorders>
              <w:top w:val="single" w:sz="4" w:space="0" w:color="000000"/>
              <w:left w:val="single" w:sz="4" w:space="0" w:color="000000"/>
              <w:bottom w:val="single" w:sz="4" w:space="0" w:color="000000"/>
              <w:right w:val="single" w:sz="4" w:space="0" w:color="000000"/>
            </w:tcBorders>
          </w:tcPr>
          <w:p>
            <w:pPr>
              <w:pStyle w:val="Normal"/>
              <w:spacing w:before="0" w:after="0"/>
              <w:ind w:firstLine="57"/>
              <w:contextualSpacing/>
              <w:rPr>
                <w:rFonts w:ascii="Times New Roman" w:hAnsi="Times New Roman" w:cs="Times New Roman"/>
                <w:szCs w:val="24"/>
              </w:rPr>
            </w:pPr>
            <w:r>
              <w:rPr>
                <w:rFonts w:cs="Times New Roman" w:ascii="Times New Roman" w:hAnsi="Times New Roman"/>
                <w:szCs w:val="24"/>
              </w:rPr>
              <w:t>Reikalavimus tiekėjui įrodantys dokumentai</w:t>
            </w:r>
          </w:p>
        </w:tc>
        <w:tc>
          <w:tcPr>
            <w:tcW w:w="5" w:type="dxa"/>
            <w:tcBorders/>
          </w:tcPr>
          <w:p>
            <w:pPr>
              <w:pStyle w:val="Normal"/>
              <w:rPr/>
            </w:pPr>
            <w:r>
              <w:rPr/>
            </w:r>
          </w:p>
        </w:tc>
      </w:tr>
      <w:tr>
        <w:trPr>
          <w:trHeight w:val="132" w:hRule="atLeast"/>
        </w:trPr>
        <w:tc>
          <w:tcPr>
            <w:tcW w:w="5" w:type="dxa"/>
            <w:tcBorders/>
          </w:tcPr>
          <w:p>
            <w:pPr>
              <w:pStyle w:val="Normal"/>
              <w:spacing w:before="0" w:after="0"/>
              <w:ind w:firstLine="57"/>
              <w:contextualSpacing/>
              <w:rPr>
                <w:rFonts w:ascii="Times New Roman" w:hAnsi="Times New Roman" w:cs="Times New Roman"/>
                <w:szCs w:val="24"/>
              </w:rPr>
            </w:pPr>
            <w:r>
              <w:rPr/>
            </w:r>
          </w:p>
        </w:tc>
        <w:tc>
          <w:tcPr>
            <w:tcW w:w="567" w:type="dxa"/>
            <w:gridSpan w:val="2"/>
            <w:tcBorders>
              <w:top w:val="single" w:sz="4" w:space="0" w:color="000000"/>
              <w:left w:val="single" w:sz="4" w:space="0" w:color="000000"/>
              <w:bottom w:val="single" w:sz="4" w:space="0" w:color="000000"/>
              <w:right w:val="single" w:sz="4" w:space="0" w:color="000000"/>
            </w:tcBorders>
          </w:tcPr>
          <w:p>
            <w:pPr>
              <w:pStyle w:val="Normal"/>
              <w:spacing w:before="0" w:after="0"/>
              <w:ind w:firstLine="57"/>
              <w:contextualSpacing/>
              <w:rPr>
                <w:rFonts w:ascii="Times New Roman" w:hAnsi="Times New Roman" w:cs="Times New Roman"/>
                <w:szCs w:val="24"/>
              </w:rPr>
            </w:pPr>
            <w:r>
              <w:rPr>
                <w:rFonts w:cs="Times New Roman" w:ascii="Times New Roman" w:hAnsi="Times New Roman"/>
                <w:szCs w:val="24"/>
              </w:rPr>
              <w:t>1.</w:t>
            </w:r>
          </w:p>
        </w:tc>
        <w:tc>
          <w:tcPr>
            <w:tcW w:w="4254" w:type="dxa"/>
            <w:gridSpan w:val="2"/>
            <w:tcBorders>
              <w:top w:val="single" w:sz="4" w:space="0" w:color="000000"/>
              <w:left w:val="single" w:sz="4" w:space="0" w:color="000000"/>
              <w:bottom w:val="single" w:sz="4" w:space="0" w:color="000000"/>
              <w:right w:val="single" w:sz="4" w:space="0" w:color="000000"/>
            </w:tcBorders>
          </w:tcPr>
          <w:p>
            <w:pPr>
              <w:pStyle w:val="paragraph"/>
              <w:spacing w:beforeAutospacing="0" w:before="0" w:afterAutospacing="0" w:after="0"/>
              <w:ind w:left="22"/>
              <w:jc w:val="both"/>
              <w:textAlignment w:val="baseline"/>
              <w:rPr>
                <w:rFonts w:cs="Times New Roman"/>
              </w:rPr>
            </w:pPr>
            <w:r>
              <w:rPr>
                <w:rStyle w:val="eop"/>
                <w:rFonts w:cs="Times New Roman"/>
              </w:rPr>
              <w:t>Reikalavimai:</w:t>
            </w:r>
          </w:p>
          <w:p>
            <w:pPr>
              <w:pStyle w:val="Normal"/>
              <w:rPr>
                <w:rFonts w:ascii="Times New Roman" w:hAnsi="Times New Roman" w:cs="Times New Roman"/>
              </w:rPr>
            </w:pPr>
            <w:r>
              <w:rPr>
                <w:rFonts w:cs="Times New Roman" w:ascii="Times New Roman" w:hAnsi="Times New Roman"/>
              </w:rPr>
              <w:t>1. Paslaugos teikėjas turi turėti fizinio aktyvumo specialisto kvalifikaciją;</w:t>
            </w:r>
          </w:p>
          <w:p>
            <w:pPr>
              <w:pStyle w:val="Normal"/>
              <w:rPr>
                <w:rFonts w:ascii="Times New Roman" w:hAnsi="Times New Roman" w:cs="Times New Roman"/>
              </w:rPr>
            </w:pPr>
            <w:r>
              <w:rPr>
                <w:rFonts w:cs="Times New Roman" w:ascii="Times New Roman" w:hAnsi="Times New Roman"/>
              </w:rPr>
              <w:t>2. Paslaugos teikėjas turi turėti ne mažesnę nei 1 metų patirtį vedant fizinio aktyvumo užsiėmimus.</w:t>
            </w:r>
          </w:p>
          <w:p>
            <w:pPr>
              <w:pStyle w:val="ListParagraph"/>
              <w:tabs>
                <w:tab w:val="clear" w:pos="720"/>
                <w:tab w:val="left" w:pos="208" w:leader="none"/>
              </w:tabs>
              <w:rPr>
                <w:rFonts w:cs="Times New Roman"/>
                <w:szCs w:val="24"/>
              </w:rPr>
            </w:pPr>
            <w:r>
              <w:rPr>
                <w:rFonts w:cs="Times New Roman"/>
                <w:szCs w:val="24"/>
              </w:rPr>
            </w:r>
          </w:p>
        </w:tc>
        <w:tc>
          <w:tcPr>
            <w:tcW w:w="4818" w:type="dxa"/>
            <w:gridSpan w:val="2"/>
            <w:tcBorders>
              <w:top w:val="single" w:sz="4" w:space="0" w:color="000000"/>
              <w:left w:val="single" w:sz="4" w:space="0" w:color="000000"/>
              <w:bottom w:val="single" w:sz="4" w:space="0" w:color="000000"/>
              <w:right w:val="single" w:sz="4" w:space="0" w:color="000000"/>
            </w:tcBorders>
          </w:tcPr>
          <w:p>
            <w:pPr>
              <w:pStyle w:val="Normal"/>
              <w:rPr>
                <w:rFonts w:ascii="Times New Roman" w:hAnsi="Times New Roman" w:cs="Times New Roman"/>
              </w:rPr>
            </w:pPr>
            <w:r>
              <w:rPr>
                <w:rFonts w:cs="Times New Roman" w:ascii="Times New Roman" w:hAnsi="Times New Roman"/>
              </w:rPr>
              <w:t>Paslaugos teikėjas turi pateikti reikalavimus patvirtinančius dokumentus:</w:t>
            </w:r>
          </w:p>
          <w:p>
            <w:pPr>
              <w:pStyle w:val="ListParagraph"/>
              <w:numPr>
                <w:ilvl w:val="0"/>
                <w:numId w:val="4"/>
              </w:numPr>
              <w:spacing w:lineRule="auto" w:line="240"/>
              <w:rPr>
                <w:rFonts w:cs="Times New Roman"/>
              </w:rPr>
            </w:pPr>
            <w:r>
              <w:rPr>
                <w:rFonts w:cs="Times New Roman"/>
              </w:rPr>
              <w:t>Fizinio aktyvumo specialisto kvalifikaciją įrodantys dokumentai:</w:t>
            </w:r>
          </w:p>
          <w:p>
            <w:pPr>
              <w:pStyle w:val="ListParagraph"/>
              <w:numPr>
                <w:ilvl w:val="0"/>
                <w:numId w:val="8"/>
              </w:numPr>
              <w:spacing w:lineRule="auto" w:line="240"/>
              <w:textAlignment w:val="baseline"/>
              <w:rPr>
                <w:rFonts w:cs="Times New Roman"/>
                <w:szCs w:val="24"/>
                <w:lang w:eastAsia="lt-LT"/>
              </w:rPr>
            </w:pPr>
            <w:r>
              <w:rPr>
                <w:rFonts w:cs="Times New Roman"/>
                <w:szCs w:val="24"/>
                <w:lang w:eastAsia="lt-LT"/>
              </w:rPr>
              <w:t>sporto studijų krypties arba krypčių grupės kvalifikacinio laipsnio arba fizinio</w:t>
            </w:r>
            <w:r>
              <w:rPr>
                <w:rFonts w:cs="Times New Roman"/>
                <w:b/>
                <w:bCs/>
                <w:szCs w:val="24"/>
                <w:lang w:eastAsia="lt-LT"/>
              </w:rPr>
              <w:t> </w:t>
            </w:r>
            <w:r>
              <w:rPr>
                <w:rFonts w:cs="Times New Roman"/>
                <w:szCs w:val="24"/>
                <w:lang w:eastAsia="lt-LT"/>
              </w:rPr>
              <w:t>ugdymo mokytojų rengimo kvalifikacijos arba jai lygiavertės aukštojo mokslo kvalifikacij</w:t>
            </w:r>
            <w:bookmarkStart w:id="1" w:name="part_e7c46de49184434ba78ad4a14017bf9a"/>
            <w:bookmarkEnd w:id="1"/>
            <w:r>
              <w:rPr>
                <w:rFonts w:cs="Times New Roman"/>
                <w:szCs w:val="24"/>
                <w:lang w:eastAsia="lt-LT"/>
              </w:rPr>
              <w:t>os (Lietuvos Respublikos sporto įstatymas 1995 m. gruodžio 20 d. Nr. I-1151, 11 str.) diplomo kopija;</w:t>
            </w:r>
          </w:p>
          <w:p>
            <w:pPr>
              <w:pStyle w:val="ListParagraph"/>
              <w:textAlignment w:val="baseline"/>
              <w:rPr>
                <w:rFonts w:cs="Times New Roman"/>
                <w:b/>
                <w:bCs/>
                <w:i/>
                <w:i/>
                <w:iCs/>
                <w:szCs w:val="24"/>
                <w:lang w:eastAsia="lt-LT"/>
              </w:rPr>
            </w:pPr>
            <w:r>
              <w:rPr>
                <w:rFonts w:cs="Times New Roman"/>
                <w:b/>
                <w:bCs/>
                <w:i/>
                <w:iCs/>
                <w:szCs w:val="24"/>
                <w:lang w:eastAsia="lt-LT"/>
              </w:rPr>
              <w:t>arba</w:t>
            </w:r>
          </w:p>
          <w:p>
            <w:pPr>
              <w:pStyle w:val="Normal"/>
              <w:numPr>
                <w:ilvl w:val="0"/>
                <w:numId w:val="8"/>
              </w:numPr>
              <w:jc w:val="both"/>
              <w:textAlignment w:val="baseline"/>
              <w:rPr>
                <w:rFonts w:ascii="Times New Roman" w:hAnsi="Times New Roman" w:cs="Times New Roman"/>
              </w:rPr>
            </w:pPr>
            <w:r>
              <w:rPr>
                <w:rFonts w:cs="Times New Roman" w:ascii="Times New Roman" w:hAnsi="Times New Roman"/>
              </w:rPr>
              <w:t>aukštąjį išsilavinimą įrodančio dokumento kopija ir švietimo, mokslo ir sporto ministro nustatyta tvarka baigtų mokymų (aukštojoje mokykloje, vykdančioje sporto studijų krypties studijas) pažymėjimo kopija (fizinio aktyvumo specialisto kompetencijoms įgyti</w:t>
            </w:r>
            <w:bookmarkStart w:id="2" w:name="part_34742f96e6794550840c27325c9b222b"/>
            <w:bookmarkEnd w:id="2"/>
            <w:r>
              <w:rPr>
                <w:rFonts w:cs="Times New Roman" w:ascii="Times New Roman" w:hAnsi="Times New Roman"/>
              </w:rPr>
              <w:t xml:space="preserve"> nurodytų mokymų trukmė – 1,5 metų apimtis – 1 400 val. į šias valandas įeina kontaktinės, savarankiško darbo valandos ir praktika) (Lietuvos Respublikos sporto įstatymas 1995 m. gruodžio 20 d. Nr. I-1151, 11 str.);</w:t>
            </w:r>
          </w:p>
          <w:p>
            <w:pPr>
              <w:pStyle w:val="Normal"/>
              <w:ind w:left="720"/>
              <w:textAlignment w:val="baseline"/>
              <w:rPr>
                <w:rFonts w:ascii="Times New Roman" w:hAnsi="Times New Roman" w:cs="Times New Roman"/>
              </w:rPr>
            </w:pPr>
            <w:r>
              <w:rPr>
                <w:rFonts w:cs="Times New Roman" w:ascii="Times New Roman" w:hAnsi="Times New Roman"/>
                <w:b/>
                <w:bCs/>
                <w:i/>
                <w:iCs/>
              </w:rPr>
              <w:t>arba</w:t>
            </w:r>
          </w:p>
          <w:p>
            <w:pPr>
              <w:pStyle w:val="ListParagraph"/>
              <w:numPr>
                <w:ilvl w:val="0"/>
                <w:numId w:val="8"/>
              </w:numPr>
              <w:spacing w:lineRule="auto" w:line="240"/>
              <w:rPr>
                <w:rFonts w:cs="Times New Roman"/>
              </w:rPr>
            </w:pPr>
            <w:r>
              <w:rPr>
                <w:rFonts w:cs="Times New Roman"/>
                <w:szCs w:val="24"/>
                <w:lang w:eastAsia="lt-LT"/>
              </w:rPr>
              <w:t xml:space="preserve">galiojančio kūno kultūros ir sporto veiklos leidimo kopija (Lietuvos Respublikos kūno kultūros ir sporto įstatymo </w:t>
            </w:r>
            <w:r>
              <w:rPr>
                <w:rFonts w:cs="Times New Roman"/>
                <w:caps/>
                <w:szCs w:val="24"/>
                <w:lang w:eastAsia="lt-LT"/>
              </w:rPr>
              <w:t>N</w:t>
            </w:r>
            <w:r>
              <w:rPr>
                <w:rFonts w:cs="Times New Roman"/>
                <w:szCs w:val="24"/>
                <w:lang w:eastAsia="lt-LT"/>
              </w:rPr>
              <w:t>r</w:t>
            </w:r>
            <w:r>
              <w:rPr>
                <w:rFonts w:cs="Times New Roman"/>
                <w:caps/>
                <w:szCs w:val="24"/>
                <w:lang w:eastAsia="lt-LT"/>
              </w:rPr>
              <w:t>. I-1151</w:t>
            </w:r>
            <w:r>
              <w:rPr>
                <w:rFonts w:cs="Times New Roman"/>
                <w:szCs w:val="24"/>
                <w:lang w:eastAsia="lt-LT"/>
              </w:rPr>
              <w:t xml:space="preserve"> pakeitimo įstatymas 2018 m. spalio 18 d. Nr. XIII-1540, 2 str. 7 dalis);</w:t>
            </w:r>
          </w:p>
          <w:p>
            <w:pPr>
              <w:pStyle w:val="ListParagraph"/>
              <w:numPr>
                <w:ilvl w:val="0"/>
                <w:numId w:val="5"/>
              </w:numPr>
              <w:tabs>
                <w:tab w:val="clear" w:pos="720"/>
                <w:tab w:val="left" w:pos="208" w:leader="none"/>
              </w:tabs>
              <w:spacing w:lineRule="auto" w:line="240"/>
              <w:rPr>
                <w:rFonts w:cs="Times New Roman"/>
                <w:szCs w:val="24"/>
              </w:rPr>
            </w:pPr>
            <w:r>
              <w:rPr>
                <w:rFonts w:cs="Times New Roman"/>
              </w:rPr>
              <w:t>2. Specialisto patirtį įrodantys dokumentai (gyvenimo aprašymas ar kiti lygiaverčiai dokumentai).</w:t>
            </w:r>
          </w:p>
        </w:tc>
      </w:tr>
    </w:tbl>
    <w:p>
      <w:pPr>
        <w:pStyle w:val="Normal"/>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rPr>
          <w:rFonts w:ascii="Times New Roman" w:hAnsi="Times New Roman" w:eastAsia="Times New Roman" w:cs="Times New Roman"/>
          <w:b/>
          <w:sz w:val="24"/>
          <w:szCs w:val="24"/>
        </w:rPr>
      </w:pPr>
      <w:r>
        <w:rPr>
          <w:rFonts w:eastAsia="Times New Roman" w:cs="Times New Roman" w:ascii="Times New Roman" w:hAnsi="Times New Roman"/>
          <w:b/>
          <w:sz w:val="24"/>
          <w:szCs w:val="24"/>
        </w:rPr>
        <w:t>3 lentelė. Aplinkosauginiai, energijos vartojimo efektyvumo, socialiniai, inovatyvūs reikalavimai, kriterijai.</w:t>
      </w:r>
    </w:p>
    <w:tbl>
      <w:tblPr>
        <w:tblW w:w="9746" w:type="dxa"/>
        <w:jc w:val="left"/>
        <w:tblInd w:w="-5" w:type="dxa"/>
        <w:tblLayout w:type="fixed"/>
        <w:tblCellMar>
          <w:top w:w="0" w:type="dxa"/>
          <w:left w:w="108" w:type="dxa"/>
          <w:bottom w:w="0" w:type="dxa"/>
          <w:right w:w="108" w:type="dxa"/>
        </w:tblCellMar>
        <w:tblLook w:firstRow="1" w:noVBand="1" w:lastRow="0" w:firstColumn="1" w:lastColumn="0" w:noHBand="0" w:val="04a0"/>
      </w:tblPr>
      <w:tblGrid>
        <w:gridCol w:w="567"/>
        <w:gridCol w:w="4253"/>
        <w:gridCol w:w="4926"/>
      </w:tblGrid>
      <w:tr>
        <w:trPr/>
        <w:tc>
          <w:tcPr>
            <w:tcW w:w="56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contextualSpacing/>
              <w:rPr>
                <w:rFonts w:ascii="Times New Roman" w:hAnsi="Times New Roman" w:cs="Times New Roman"/>
                <w:sz w:val="24"/>
                <w:szCs w:val="24"/>
              </w:rPr>
            </w:pPr>
            <w:r>
              <w:rPr>
                <w:rFonts w:cs="Times New Roman" w:ascii="Times New Roman" w:hAnsi="Times New Roman"/>
                <w:sz w:val="24"/>
                <w:szCs w:val="24"/>
              </w:rPr>
              <w:t>Nr.</w:t>
            </w:r>
          </w:p>
        </w:tc>
        <w:tc>
          <w:tcPr>
            <w:tcW w:w="425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contextualSpacing/>
              <w:rPr>
                <w:rFonts w:ascii="Times New Roman" w:hAnsi="Times New Roman" w:cs="Times New Roman"/>
                <w:sz w:val="24"/>
                <w:szCs w:val="24"/>
              </w:rPr>
            </w:pPr>
            <w:r>
              <w:rPr>
                <w:rFonts w:cs="Times New Roman" w:ascii="Times New Roman" w:hAnsi="Times New Roman"/>
                <w:sz w:val="24"/>
                <w:szCs w:val="24"/>
              </w:rPr>
              <w:t>Aplinkosauginiai, energijos vartojimo efektyvumo, socialiniai, inovatyvūs reikalavimai, kriterijai tiekėjui (tiekėjo paslaugoms, prekėms)</w:t>
            </w:r>
          </w:p>
        </w:tc>
        <w:tc>
          <w:tcPr>
            <w:tcW w:w="492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contextualSpacing/>
              <w:rPr>
                <w:rFonts w:ascii="Times New Roman" w:hAnsi="Times New Roman" w:cs="Times New Roman"/>
                <w:sz w:val="24"/>
                <w:szCs w:val="24"/>
              </w:rPr>
            </w:pPr>
            <w:r>
              <w:rPr>
                <w:rFonts w:cs="Times New Roman" w:ascii="Times New Roman" w:hAnsi="Times New Roman"/>
                <w:sz w:val="24"/>
                <w:szCs w:val="24"/>
              </w:rPr>
              <w:t>Reikalavimus tiekėjui (tiekėjo paslaugoms, prekėms) įrodantys dokumentai</w:t>
            </w:r>
          </w:p>
        </w:tc>
      </w:tr>
      <w:tr>
        <w:trPr/>
        <w:tc>
          <w:tcPr>
            <w:tcW w:w="56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contextualSpacing/>
              <w:rPr>
                <w:rFonts w:ascii="Times New Roman" w:hAnsi="Times New Roman" w:cs="Times New Roman"/>
                <w:sz w:val="24"/>
                <w:szCs w:val="24"/>
              </w:rPr>
            </w:pPr>
            <w:r>
              <w:rPr>
                <w:rFonts w:cs="Times New Roman" w:ascii="Times New Roman" w:hAnsi="Times New Roman"/>
                <w:sz w:val="24"/>
                <w:szCs w:val="24"/>
              </w:rPr>
              <w:t>1.</w:t>
            </w:r>
          </w:p>
        </w:tc>
        <w:tc>
          <w:tcPr>
            <w:tcW w:w="4253"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20"/>
                <w:tab w:val="left" w:pos="6521" w:leader="none"/>
              </w:tabs>
              <w:rPr>
                <w:rFonts w:ascii="Times New Roman" w:hAnsi="Times New Roman" w:cs="Times New Roman"/>
                <w:sz w:val="24"/>
                <w:szCs w:val="24"/>
                <w:shd w:fill="FFFFFF" w:val="clear"/>
              </w:rPr>
            </w:pPr>
            <w:r>
              <w:rPr>
                <w:rFonts w:cs="Times New Roman" w:ascii="Times New Roman" w:hAnsi="Times New Roman"/>
                <w:sz w:val="24"/>
                <w:szCs w:val="24"/>
                <w:shd w:fill="FFFFFF" w:val="clear"/>
              </w:rPr>
              <w:t xml:space="preserve">Paslaugos teikėjas turi taikyti aplinkos apsaugos kriterijų, kad paslaugai teikti būtų sunaudojama kuo mažiau gamtos išteklių, neteršiama aplinka: užsiėmimo metu fizinio aktyvumo žinios yra suteikiamos žodžiu, o esant poreikiui pateikti rašytinę informaciją, siunčiama el. paštu. </w:t>
            </w:r>
          </w:p>
        </w:tc>
        <w:tc>
          <w:tcPr>
            <w:tcW w:w="492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contextualSpacing/>
              <w:rPr>
                <w:rFonts w:ascii="Times New Roman" w:hAnsi="Times New Roman" w:cs="Times New Roman"/>
                <w:sz w:val="24"/>
                <w:szCs w:val="24"/>
              </w:rPr>
            </w:pPr>
            <w:r>
              <w:rPr>
                <w:rFonts w:cs="Times New Roman" w:ascii="Times New Roman" w:hAnsi="Times New Roman"/>
                <w:sz w:val="24"/>
                <w:szCs w:val="24"/>
                <w:shd w:fill="FFFFFF" w:val="clear"/>
              </w:rPr>
              <w:t xml:space="preserve">Paslaugos teikėjas </w:t>
            </w:r>
            <w:r>
              <w:rPr>
                <w:rFonts w:cs="Times New Roman" w:ascii="Times New Roman" w:hAnsi="Times New Roman"/>
                <w:sz w:val="24"/>
                <w:szCs w:val="24"/>
              </w:rPr>
              <w:t>turi</w:t>
            </w:r>
            <w:r>
              <w:rPr>
                <w:rFonts w:cs="Times New Roman" w:ascii="Times New Roman" w:hAnsi="Times New Roman"/>
                <w:sz w:val="24"/>
                <w:szCs w:val="24"/>
                <w:shd w:fill="FFFFFF" w:val="clear"/>
              </w:rPr>
              <w:t xml:space="preserve"> pateikti pasirašytą deklaraciją dėl nustatytų aplinkos apsaugos reikalavimų laikymosi sutarties vykdymo metu.</w:t>
            </w:r>
          </w:p>
        </w:tc>
      </w:tr>
    </w:tbl>
    <w:tbl>
      <w:tblPr>
        <w:tblStyle w:val="a4"/>
        <w:tblW w:w="9770" w:type="dxa"/>
        <w:jc w:val="left"/>
        <w:tblInd w:w="-142" w:type="dxa"/>
        <w:tblLayout w:type="fixed"/>
        <w:tblCellMar>
          <w:top w:w="0" w:type="dxa"/>
          <w:left w:w="108" w:type="dxa"/>
          <w:bottom w:w="0" w:type="dxa"/>
          <w:right w:w="108" w:type="dxa"/>
        </w:tblCellMar>
        <w:tblLook w:firstRow="0" w:noVBand="1" w:lastRow="0" w:firstColumn="0" w:lastColumn="0" w:noHBand="0" w:val="0400"/>
      </w:tblPr>
      <w:tblGrid>
        <w:gridCol w:w="4956"/>
        <w:gridCol w:w="4813"/>
      </w:tblGrid>
      <w:tr>
        <w:trPr/>
        <w:tc>
          <w:tcPr>
            <w:tcW w:w="4956" w:type="dxa"/>
            <w:tcBorders/>
          </w:tcPr>
          <w:p>
            <w:pPr>
              <w:pStyle w:val="Normal"/>
              <w:ind w:right="43"/>
              <w:jc w:val="both"/>
              <w:rPr>
                <w:b/>
                <w:sz w:val="24"/>
                <w:szCs w:val="24"/>
              </w:rPr>
            </w:pPr>
            <w:r>
              <w:rPr>
                <w:b/>
                <w:sz w:val="24"/>
                <w:szCs w:val="24"/>
              </w:rPr>
            </w:r>
          </w:p>
          <w:p>
            <w:pPr>
              <w:pStyle w:val="Normal"/>
              <w:ind w:right="43"/>
              <w:jc w:val="both"/>
              <w:rPr>
                <w:b/>
                <w:sz w:val="24"/>
                <w:szCs w:val="24"/>
              </w:rPr>
            </w:pPr>
            <w:r>
              <w:rPr>
                <w:b/>
                <w:sz w:val="24"/>
                <w:szCs w:val="24"/>
              </w:rPr>
              <w:t xml:space="preserve">Paslaugos teikėjas: </w:t>
            </w:r>
          </w:p>
          <w:p>
            <w:pPr>
              <w:pStyle w:val="Normal"/>
              <w:ind w:right="43"/>
              <w:jc w:val="both"/>
              <w:rPr>
                <w:b/>
                <w:bCs/>
                <w:sz w:val="24"/>
                <w:szCs w:val="24"/>
              </w:rPr>
            </w:pPr>
            <w:r>
              <w:rPr>
                <w:b/>
                <w:bCs/>
                <w:sz w:val="24"/>
                <w:szCs w:val="24"/>
              </w:rPr>
              <w:t>VšĮ Vanila</w:t>
            </w:r>
          </w:p>
          <w:p>
            <w:pPr>
              <w:pStyle w:val="Normal"/>
              <w:jc w:val="both"/>
              <w:rPr>
                <w:sz w:val="24"/>
                <w:szCs w:val="24"/>
              </w:rPr>
            </w:pPr>
            <w:r>
              <w:rPr>
                <w:sz w:val="24"/>
                <w:szCs w:val="24"/>
              </w:rPr>
            </w:r>
          </w:p>
          <w:p>
            <w:pPr>
              <w:pStyle w:val="Normal"/>
              <w:ind w:right="43"/>
              <w:jc w:val="both"/>
              <w:rPr>
                <w:sz w:val="24"/>
                <w:szCs w:val="24"/>
              </w:rPr>
            </w:pPr>
            <w:r>
              <w:rPr>
                <w:sz w:val="24"/>
                <w:szCs w:val="24"/>
              </w:rPr>
              <w:t>Direktorius (-ė)</w:t>
            </w:r>
          </w:p>
          <w:p>
            <w:pPr>
              <w:pStyle w:val="Normal"/>
              <w:jc w:val="both"/>
              <w:rPr>
                <w:b/>
                <w:sz w:val="24"/>
                <w:szCs w:val="24"/>
              </w:rPr>
            </w:pPr>
            <w:r>
              <w:rPr>
                <w:b/>
                <w:sz w:val="24"/>
                <w:szCs w:val="24"/>
              </w:rPr>
              <w:t>Vardas Pavardė</w:t>
            </w:r>
          </w:p>
          <w:p>
            <w:pPr>
              <w:pStyle w:val="Normal"/>
              <w:jc w:val="both"/>
              <w:rPr>
                <w:sz w:val="24"/>
                <w:szCs w:val="24"/>
              </w:rPr>
            </w:pPr>
            <w:r>
              <w:rPr>
                <w:sz w:val="24"/>
                <w:szCs w:val="24"/>
              </w:rPr>
              <w:t>_______________________</w:t>
            </w:r>
          </w:p>
          <w:p>
            <w:pPr>
              <w:pStyle w:val="Normal"/>
              <w:rPr>
                <w:sz w:val="24"/>
                <w:szCs w:val="24"/>
              </w:rPr>
            </w:pPr>
            <w:r>
              <w:rPr>
                <w:sz w:val="24"/>
                <w:szCs w:val="24"/>
              </w:rPr>
              <w:t>A.V.</w:t>
            </w:r>
          </w:p>
        </w:tc>
        <w:tc>
          <w:tcPr>
            <w:tcW w:w="4813" w:type="dxa"/>
            <w:tcBorders/>
          </w:tcPr>
          <w:p>
            <w:pPr>
              <w:pStyle w:val="Normal"/>
              <w:jc w:val="both"/>
              <w:rPr>
                <w:b/>
                <w:sz w:val="24"/>
                <w:szCs w:val="24"/>
              </w:rPr>
            </w:pPr>
            <w:r>
              <w:rPr>
                <w:b/>
                <w:sz w:val="24"/>
                <w:szCs w:val="24"/>
              </w:rPr>
            </w:r>
          </w:p>
          <w:p>
            <w:pPr>
              <w:pStyle w:val="Normal"/>
              <w:jc w:val="both"/>
              <w:rPr>
                <w:b/>
                <w:sz w:val="24"/>
                <w:szCs w:val="24"/>
              </w:rPr>
            </w:pPr>
            <w:r>
              <w:rPr>
                <w:b/>
                <w:sz w:val="24"/>
                <w:szCs w:val="24"/>
              </w:rPr>
              <w:t xml:space="preserve">Paslaugos gavėjas: </w:t>
            </w:r>
          </w:p>
          <w:p>
            <w:pPr>
              <w:pStyle w:val="Normal"/>
              <w:rPr>
                <w:b/>
                <w:sz w:val="24"/>
                <w:szCs w:val="24"/>
              </w:rPr>
            </w:pPr>
            <w:r>
              <w:rPr>
                <w:b/>
                <w:sz w:val="24"/>
                <w:szCs w:val="24"/>
              </w:rPr>
              <w:t>Kauno miesto savivaldybės visuomenės sveikatos biuras</w:t>
            </w:r>
          </w:p>
          <w:p>
            <w:pPr>
              <w:pStyle w:val="Normal"/>
              <w:ind w:right="43"/>
              <w:jc w:val="both"/>
              <w:rPr>
                <w:sz w:val="24"/>
                <w:szCs w:val="24"/>
              </w:rPr>
            </w:pPr>
            <w:r>
              <w:rPr>
                <w:sz w:val="24"/>
                <w:szCs w:val="24"/>
              </w:rPr>
              <w:t>Direktorė</w:t>
            </w:r>
          </w:p>
          <w:p>
            <w:pPr>
              <w:pStyle w:val="Normal"/>
              <w:ind w:right="43"/>
              <w:jc w:val="both"/>
              <w:rPr>
                <w:b/>
                <w:sz w:val="24"/>
                <w:szCs w:val="24"/>
              </w:rPr>
            </w:pPr>
            <w:r>
              <w:rPr>
                <w:b/>
                <w:sz w:val="24"/>
                <w:szCs w:val="24"/>
              </w:rPr>
              <w:t>Gerda Kuzmarskienė</w:t>
            </w:r>
          </w:p>
          <w:p>
            <w:pPr>
              <w:pStyle w:val="Normal"/>
              <w:rPr>
                <w:sz w:val="24"/>
                <w:szCs w:val="24"/>
              </w:rPr>
            </w:pPr>
            <w:r>
              <w:rPr>
                <w:sz w:val="24"/>
                <w:szCs w:val="24"/>
              </w:rPr>
              <w:t>____________________________</w:t>
            </w:r>
          </w:p>
          <w:p>
            <w:pPr>
              <w:pStyle w:val="Normal"/>
              <w:rPr>
                <w:b/>
                <w:sz w:val="24"/>
                <w:szCs w:val="24"/>
              </w:rPr>
            </w:pPr>
            <w:r>
              <w:rPr>
                <w:sz w:val="24"/>
                <w:szCs w:val="24"/>
              </w:rPr>
              <w:t>A.V.</w:t>
            </w:r>
          </w:p>
        </w:tc>
      </w:tr>
    </w:tbl>
    <w:p>
      <w:pPr>
        <w:pStyle w:val="Normal"/>
        <w:jc w:val="both"/>
        <w:rPr>
          <w:rFonts w:ascii="Times New Roman" w:hAnsi="Times New Roman" w:eastAsia="Times New Roman" w:cs="Times New Roman"/>
          <w:b/>
          <w:sz w:val="24"/>
          <w:szCs w:val="24"/>
        </w:rPr>
      </w:pPr>
      <w:r>
        <w:rPr>
          <w:rFonts w:eastAsia="Times New Roman" w:cs="Times New Roman" w:ascii="Times New Roman" w:hAnsi="Times New Roman"/>
          <w:b/>
          <w:sz w:val="24"/>
          <w:szCs w:val="24"/>
        </w:rPr>
      </w:r>
    </w:p>
    <w:sectPr>
      <w:type w:val="continuous"/>
      <w:pgSz w:w="11906" w:h="16838"/>
      <w:pgMar w:left="1701" w:right="567" w:gutter="0" w:header="0" w:top="993" w:footer="0" w:bottom="709"/>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ourier New">
    <w:charset w:val="00"/>
    <w:family w:val="auto"/>
    <w:pitch w:val="variable"/>
    <w:embedRegular r:id="rId18" w:fontKey="{12014A78-CABC-4EF0-12AC-5CD89AEFDE12}"/>
  </w:font>
  <w:font w:name="Segoe UI">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Liberation Sans">
    <w:altName w:val="Arial"/>
    <w:charset w:val="00"/>
    <w:family w:val="swiss"/>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Georgia">
    <w:charset w:val="00"/>
    <w:family w:val="roman"/>
    <w:pitch w:val="variable"/>
    <w:embedRegular r:id="rId27" w:fontKey="{1B014A78-CABC-4EF0-12AC-5CD89AEFDE1B}"/>
    <w:embedBold r:id="rId28" w:fontKey="{1C014A78-CABC-4EF0-12AC-5CD89AEFDE1C}"/>
    <w:embedItalic r:id="rId29" w:fontKey="{1D014A78-CABC-4EF0-12AC-5CD89AEFDE1D}"/>
    <w:embedBoldItalic r:id="rId30" w:fontKey="{1E014A78-CABC-4EF0-12AC-5CD89AEFDE1E}"/>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18" w:fontKey="{12014A78-CABC-4EF0-12AC-5CD89AEFDE12}"/>
  </w:font>
  <w:font w:name="Wingdings">
    <w:charset w:val="02"/>
    <w:family w:val="auto"/>
    <w:pitch w:val="variable"/>
    <w:embedRegular r:id="rId34" w:fontKey="{22014A78-CABC-4EF0-12AC-5CD89AEFDE22}"/>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3"/>
      <w:numFmt w:val="decimal"/>
      <w:lvlText w:val="%1."/>
      <w:lvlJc w:val="left"/>
      <w:pPr>
        <w:tabs>
          <w:tab w:val="num" w:pos="0"/>
        </w:tabs>
        <w:ind w:left="495" w:hanging="495"/>
      </w:pPr>
      <w:rPr>
        <w:b/>
      </w:rPr>
    </w:lvl>
    <w:lvl w:ilvl="1">
      <w:start w:val="1"/>
      <w:numFmt w:val="decimal"/>
      <w:lvlText w:val="%1.%2."/>
      <w:lvlJc w:val="left"/>
      <w:pPr>
        <w:tabs>
          <w:tab w:val="num" w:pos="0"/>
        </w:tabs>
        <w:ind w:left="495" w:hanging="495"/>
      </w:pPr>
      <w:rPr/>
    </w:lvl>
    <w:lvl w:ilvl="2">
      <w:start w:val="1"/>
      <w:numFmt w:val="decimal"/>
      <w:lvlText w:val="%1.%2.%3."/>
      <w:lvlJc w:val="left"/>
      <w:pPr>
        <w:tabs>
          <w:tab w:val="num" w:pos="0"/>
        </w:tabs>
        <w:ind w:left="5257" w:hanging="720"/>
      </w:pPr>
      <w:rPr/>
    </w:lvl>
    <w:lvl w:ilvl="3">
      <w:start w:val="1"/>
      <w:numFmt w:val="decimal"/>
      <w:lvlText w:val="%1.%2.%3.%4."/>
      <w:lvlJc w:val="left"/>
      <w:pPr>
        <w:tabs>
          <w:tab w:val="num" w:pos="0"/>
        </w:tabs>
        <w:ind w:left="720" w:hanging="72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080" w:hanging="108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440" w:hanging="1440"/>
      </w:pPr>
      <w:rPr/>
    </w:lvl>
    <w:lvl w:ilvl="8">
      <w:start w:val="1"/>
      <w:numFmt w:val="decimal"/>
      <w:lvlText w:val="%1.%2.%3.%4.%5.%6.%7.%8.%9."/>
      <w:lvlJc w:val="left"/>
      <w:pPr>
        <w:tabs>
          <w:tab w:val="num" w:pos="0"/>
        </w:tabs>
        <w:ind w:left="1800" w:hanging="1800"/>
      </w:pPr>
      <w:rPr/>
    </w:lvl>
  </w:abstractNum>
  <w:abstractNum w:abstractNumId="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1637" w:hanging="360"/>
      </w:pPr>
      <w:rPr>
        <w:b w:val="false"/>
        <w:rFonts w:ascii="Times New Roman" w:hAnsi="Times New Roman" w:cs="Times New Roman"/>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3">
    <w:lvl w:ilvl="0">
      <w:start w:val="3"/>
      <w:numFmt w:val="decimal"/>
      <w:lvlText w:val="%1."/>
      <w:lvlJc w:val="left"/>
      <w:pPr>
        <w:tabs>
          <w:tab w:val="num" w:pos="0"/>
        </w:tabs>
        <w:ind w:left="360" w:hanging="360"/>
      </w:pPr>
      <w:rPr/>
    </w:lvl>
    <w:lvl w:ilvl="1">
      <w:start w:val="2"/>
      <w:numFmt w:val="decimal"/>
      <w:lvlText w:val="%1.%2."/>
      <w:lvlJc w:val="left"/>
      <w:pPr>
        <w:tabs>
          <w:tab w:val="num" w:pos="0"/>
        </w:tabs>
        <w:ind w:left="360" w:hanging="36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720" w:hanging="72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080" w:hanging="108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440" w:hanging="1440"/>
      </w:pPr>
      <w:rPr/>
    </w:lvl>
    <w:lvl w:ilvl="8">
      <w:start w:val="1"/>
      <w:numFmt w:val="decimal"/>
      <w:lvlText w:val="%1.%2.%3.%4.%5.%6.%7.%8.%9."/>
      <w:lvlJc w:val="left"/>
      <w:pPr>
        <w:tabs>
          <w:tab w:val="num" w:pos="0"/>
        </w:tabs>
        <w:ind w:left="1800" w:hanging="1800"/>
      </w:pPr>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
    <w:lvl w:ilvl="0">
      <w:start w:val="1"/>
      <w:numFmt w:val="decimal"/>
      <w:lvlText w:val="%1."/>
      <w:lvlJc w:val="left"/>
      <w:pPr>
        <w:tabs>
          <w:tab w:val="num" w:pos="0"/>
        </w:tabs>
        <w:ind w:left="720" w:hanging="360"/>
      </w:pPr>
      <w:rPr>
        <w:sz w:val="24"/>
        <w:szCs w:val="24"/>
      </w:rPr>
    </w:lvl>
    <w:lvl w:ilvl="1">
      <w:start w:val="1"/>
      <w:isLgl/>
      <w:numFmt w:val="decimal"/>
      <w:lvlText w:val="%1.%2."/>
      <w:lvlJc w:val="left"/>
      <w:pPr>
        <w:tabs>
          <w:tab w:val="num" w:pos="0"/>
        </w:tabs>
        <w:ind w:left="1080" w:hanging="360"/>
      </w:pPr>
      <w:rPr/>
    </w:lvl>
    <w:lvl w:ilvl="2">
      <w:start w:val="1"/>
      <w:isLgl/>
      <w:numFmt w:val="decimal"/>
      <w:lvlText w:val="%1.%2.%3."/>
      <w:lvlJc w:val="left"/>
      <w:pPr>
        <w:tabs>
          <w:tab w:val="num" w:pos="0"/>
        </w:tabs>
        <w:ind w:left="1800" w:hanging="720"/>
      </w:pPr>
      <w:rPr/>
    </w:lvl>
    <w:lvl w:ilvl="3">
      <w:start w:val="1"/>
      <w:isLgl/>
      <w:numFmt w:val="decimal"/>
      <w:lvlText w:val="%1.%2.%3.%4."/>
      <w:lvlJc w:val="left"/>
      <w:pPr>
        <w:tabs>
          <w:tab w:val="num" w:pos="0"/>
        </w:tabs>
        <w:ind w:left="2160" w:hanging="720"/>
      </w:pPr>
      <w:rPr/>
    </w:lvl>
    <w:lvl w:ilvl="4">
      <w:start w:val="1"/>
      <w:isLgl/>
      <w:numFmt w:val="decimal"/>
      <w:lvlText w:val="%1.%2.%3.%4.%5."/>
      <w:lvlJc w:val="left"/>
      <w:pPr>
        <w:tabs>
          <w:tab w:val="num" w:pos="0"/>
        </w:tabs>
        <w:ind w:left="2880" w:hanging="1080"/>
      </w:pPr>
      <w:rPr/>
    </w:lvl>
    <w:lvl w:ilvl="5">
      <w:start w:val="1"/>
      <w:isLgl/>
      <w:numFmt w:val="decimal"/>
      <w:lvlText w:val="%1.%2.%3.%4.%5.%6."/>
      <w:lvlJc w:val="left"/>
      <w:pPr>
        <w:tabs>
          <w:tab w:val="num" w:pos="0"/>
        </w:tabs>
        <w:ind w:left="3240" w:hanging="1080"/>
      </w:pPr>
      <w:rPr/>
    </w:lvl>
    <w:lvl w:ilvl="6">
      <w:start w:val="1"/>
      <w:isLgl/>
      <w:numFmt w:val="decimal"/>
      <w:lvlText w:val="%1.%2.%3.%4.%5.%6.%7."/>
      <w:lvlJc w:val="left"/>
      <w:pPr>
        <w:tabs>
          <w:tab w:val="num" w:pos="0"/>
        </w:tabs>
        <w:ind w:left="3960" w:hanging="1440"/>
      </w:pPr>
      <w:rPr/>
    </w:lvl>
    <w:lvl w:ilvl="7">
      <w:start w:val="1"/>
      <w:isLgl/>
      <w:numFmt w:val="decimal"/>
      <w:lvlText w:val="%1.%2.%3.%4.%5.%6.%7.%8."/>
      <w:lvlJc w:val="left"/>
      <w:pPr>
        <w:tabs>
          <w:tab w:val="num" w:pos="0"/>
        </w:tabs>
        <w:ind w:left="4320" w:hanging="1440"/>
      </w:pPr>
      <w:rPr/>
    </w:lvl>
    <w:lvl w:ilvl="8">
      <w:start w:val="1"/>
      <w:isLgl/>
      <w:numFmt w:val="decimal"/>
      <w:lvlText w:val="%1.%2.%3.%4.%5.%6.%7.%8.%9."/>
      <w:lvlJc w:val="left"/>
      <w:pPr>
        <w:tabs>
          <w:tab w:val="num" w:pos="0"/>
        </w:tabs>
        <w:ind w:left="5040" w:hanging="1800"/>
      </w:pPr>
      <w:rPr/>
    </w:lvl>
  </w:abstractNum>
  <w:abstractNum w:abstractNumId="7">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w="http://schemas.openxmlformats.org/wordprocessingml/2006/main">
  <w:zoom w:percent="10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lt-L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lt-LT" w:eastAsia="lt-LT"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d0ddd"/>
    <w:pPr>
      <w:widowControl/>
      <w:bidi w:val="0"/>
      <w:spacing w:before="0" w:after="0"/>
      <w:jc w:val="left"/>
    </w:pPr>
    <w:rPr>
      <w:rFonts w:ascii="Calibri" w:hAnsi="Calibri" w:eastAsia="Calibri" w:cs="Calibri"/>
      <w:color w:val="auto"/>
      <w:kern w:val="0"/>
      <w:sz w:val="22"/>
      <w:szCs w:val="22"/>
      <w:lang w:val="lt-LT" w:eastAsia="lt-LT"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semiHidden/>
    <w:unhideWhenUsed/>
    <w:qFormat/>
    <w:pPr>
      <w:keepNext w:val="true"/>
      <w:keepLines/>
      <w:spacing w:before="360" w:after="80"/>
      <w:outlineLvl w:val="1"/>
    </w:pPr>
    <w:rPr>
      <w:b/>
      <w:sz w:val="36"/>
      <w:szCs w:val="36"/>
    </w:rPr>
  </w:style>
  <w:style w:type="paragraph" w:styleId="Heading3">
    <w:name w:val="heading 3"/>
    <w:basedOn w:val="Normal"/>
    <w:next w:val="Normal"/>
    <w:uiPriority w:val="9"/>
    <w:semiHidden/>
    <w:unhideWhenUsed/>
    <w:qFormat/>
    <w:pPr>
      <w:keepNext w:val="true"/>
      <w:keepLines/>
      <w:spacing w:before="280" w:after="80"/>
      <w:outlineLvl w:val="2"/>
    </w:pPr>
    <w:rPr>
      <w:b/>
      <w:sz w:val="28"/>
      <w:szCs w:val="28"/>
    </w:rPr>
  </w:style>
  <w:style w:type="paragraph" w:styleId="Heading4">
    <w:name w:val="heading 4"/>
    <w:basedOn w:val="Normal"/>
    <w:link w:val="Heading4Char"/>
    <w:uiPriority w:val="9"/>
    <w:semiHidden/>
    <w:unhideWhenUsed/>
    <w:qFormat/>
    <w:rsid w:val="00d13983"/>
    <w:pPr>
      <w:spacing w:beforeAutospacing="1" w:afterAutospacing="1"/>
      <w:outlineLvl w:val="3"/>
    </w:pPr>
    <w:rPr>
      <w:rFonts w:ascii="Times New Roman" w:hAnsi="Times New Roman"/>
      <w:b/>
      <w:bCs/>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qFormat/>
    <w:rsid w:val="00b72678"/>
    <w:rPr>
      <w:sz w:val="22"/>
      <w:szCs w:val="22"/>
    </w:rPr>
  </w:style>
  <w:style w:type="character" w:styleId="FooterChar" w:customStyle="1">
    <w:name w:val="Footer Char"/>
    <w:basedOn w:val="DefaultParagraphFont"/>
    <w:link w:val="Footer"/>
    <w:uiPriority w:val="99"/>
    <w:qFormat/>
    <w:rsid w:val="00b72678"/>
    <w:rPr>
      <w:sz w:val="22"/>
      <w:szCs w:val="22"/>
    </w:rPr>
  </w:style>
  <w:style w:type="character" w:styleId="Hyperlink">
    <w:name w:val="Hyperlink"/>
    <w:basedOn w:val="DefaultParagraphFont"/>
    <w:uiPriority w:val="99"/>
    <w:unhideWhenUsed/>
    <w:rsid w:val="00cf0a20"/>
    <w:rPr>
      <w:color w:themeColor="hyperlink" w:val="0000FF"/>
      <w:u w:val="single"/>
    </w:rPr>
  </w:style>
  <w:style w:type="character" w:styleId="HTMLPreformattedChar" w:customStyle="1">
    <w:name w:val="HTML Preformatted Char"/>
    <w:basedOn w:val="DefaultParagraphFont"/>
    <w:link w:val="HTMLPreformatted"/>
    <w:uiPriority w:val="99"/>
    <w:semiHidden/>
    <w:qFormat/>
    <w:rsid w:val="00cb2348"/>
    <w:rPr>
      <w:rFonts w:ascii="Courier New" w:hAnsi="Courier New" w:eastAsia="Calibri" w:cs="Courier New"/>
      <w:color w:val="000000"/>
    </w:rPr>
  </w:style>
  <w:style w:type="character" w:styleId="ListParagraphChar" w:customStyle="1">
    <w:name w:val="List Paragraph Char"/>
    <w:basedOn w:val="DefaultParagraphFont"/>
    <w:link w:val="ListParagraph"/>
    <w:uiPriority w:val="34"/>
    <w:qFormat/>
    <w:locked/>
    <w:rsid w:val="00cb2348"/>
    <w:rPr>
      <w:rFonts w:ascii="Times New Roman" w:hAnsi="Times New Roman" w:eastAsia="Calibri"/>
      <w:sz w:val="24"/>
      <w:szCs w:val="22"/>
      <w:lang w:eastAsia="en-US"/>
    </w:rPr>
  </w:style>
  <w:style w:type="character" w:styleId="UnresolvedMention">
    <w:name w:val="Unresolved Mention"/>
    <w:basedOn w:val="DefaultParagraphFont"/>
    <w:uiPriority w:val="99"/>
    <w:semiHidden/>
    <w:unhideWhenUsed/>
    <w:qFormat/>
    <w:rsid w:val="00326b22"/>
    <w:rPr>
      <w:color w:val="605E5C"/>
      <w:shd w:fill="E1DFDD" w:val="clear"/>
    </w:rPr>
  </w:style>
  <w:style w:type="character" w:styleId="CommentReference">
    <w:name w:val="annotation reference"/>
    <w:uiPriority w:val="99"/>
    <w:semiHidden/>
    <w:unhideWhenUsed/>
    <w:qFormat/>
    <w:rsid w:val="001800a0"/>
    <w:rPr>
      <w:sz w:val="16"/>
      <w:szCs w:val="16"/>
    </w:rPr>
  </w:style>
  <w:style w:type="character" w:styleId="Heading4Char" w:customStyle="1">
    <w:name w:val="Heading 4 Char"/>
    <w:basedOn w:val="DefaultParagraphFont"/>
    <w:link w:val="Heading4"/>
    <w:uiPriority w:val="9"/>
    <w:qFormat/>
    <w:rsid w:val="00d13983"/>
    <w:rPr>
      <w:rFonts w:ascii="Times New Roman" w:hAnsi="Times New Roman"/>
      <w:b/>
      <w:bCs/>
      <w:sz w:val="24"/>
      <w:szCs w:val="24"/>
    </w:rPr>
  </w:style>
  <w:style w:type="character" w:styleId="CommentTextChar" w:customStyle="1">
    <w:name w:val="Comment Text Char"/>
    <w:basedOn w:val="DefaultParagraphFont"/>
    <w:link w:val="CommentText"/>
    <w:uiPriority w:val="99"/>
    <w:qFormat/>
    <w:rsid w:val="00931191"/>
    <w:rPr/>
  </w:style>
  <w:style w:type="character" w:styleId="CommentSubjectChar" w:customStyle="1">
    <w:name w:val="Comment Subject Char"/>
    <w:basedOn w:val="CommentTextChar"/>
    <w:link w:val="annotationsubject"/>
    <w:uiPriority w:val="99"/>
    <w:semiHidden/>
    <w:qFormat/>
    <w:rsid w:val="00931191"/>
    <w:rPr>
      <w:b/>
      <w:bCs/>
    </w:rPr>
  </w:style>
  <w:style w:type="character" w:styleId="normaltextrun" w:customStyle="1">
    <w:name w:val="normaltextrun"/>
    <w:basedOn w:val="DefaultParagraphFont"/>
    <w:qFormat/>
    <w:rsid w:val="00077e48"/>
    <w:rPr/>
  </w:style>
  <w:style w:type="character" w:styleId="eop" w:customStyle="1">
    <w:name w:val="eop"/>
    <w:basedOn w:val="DefaultParagraphFont"/>
    <w:qFormat/>
    <w:rsid w:val="00077e48"/>
    <w:rPr/>
  </w:style>
  <w:style w:type="character" w:styleId="size" w:customStyle="1">
    <w:name w:val="size"/>
    <w:basedOn w:val="DefaultParagraphFont"/>
    <w:qFormat/>
    <w:rsid w:val="008e5cb7"/>
    <w:rPr/>
  </w:style>
  <w:style w:type="character" w:styleId="cf01" w:customStyle="1">
    <w:name w:val="cf01"/>
    <w:qFormat/>
    <w:rsid w:val="004f1ebd"/>
    <w:rPr>
      <w:rFonts w:ascii="Segoe UI" w:hAnsi="Segoe UI" w:cs="Segoe UI"/>
      <w:sz w:val="18"/>
      <w:szCs w:val="18"/>
    </w:rPr>
  </w:style>
  <w:style w:type="character" w:styleId="ui-provider" w:customStyle="1">
    <w:name w:val="ui-provider"/>
    <w:basedOn w:val="DefaultParagraphFont"/>
    <w:qFormat/>
    <w:rsid w:val="00492096"/>
    <w:rPr/>
  </w:style>
  <w:style w:type="paragraph" w:styleId="Heading">
    <w:name w:val="Heading"/>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Title">
    <w:name w:val="Title"/>
    <w:basedOn w:val="Normal"/>
    <w:next w:val="Normal"/>
    <w:uiPriority w:val="10"/>
    <w:qFormat/>
    <w:pPr>
      <w:keepNext w:val="true"/>
      <w:keepLines/>
      <w:spacing w:before="480" w:after="120"/>
    </w:pPr>
    <w:rPr>
      <w:b/>
      <w:sz w:val="72"/>
      <w:szCs w:val="72"/>
    </w:rPr>
  </w:style>
  <w:style w:type="paragraph" w:styleId="NormalWeb">
    <w:name w:val="Normal (Web)"/>
    <w:basedOn w:val="Normal"/>
    <w:uiPriority w:val="99"/>
    <w:qFormat/>
    <w:rsid w:val="00240319"/>
    <w:pPr>
      <w:spacing w:beforeAutospacing="1" w:afterAutospacing="1"/>
    </w:pPr>
    <w:rPr>
      <w:rFonts w:ascii="Times New Roman" w:hAnsi="Times New Roman"/>
      <w:sz w:val="24"/>
      <w:szCs w:val="24"/>
    </w:rPr>
  </w:style>
  <w:style w:type="paragraph" w:styleId="HeaderandFooter">
    <w:name w:val="Header and Footer"/>
    <w:basedOn w:val="Normal"/>
    <w:qFormat/>
    <w:pPr/>
    <w:rPr/>
  </w:style>
  <w:style w:type="paragraph" w:styleId="Header">
    <w:name w:val="header"/>
    <w:basedOn w:val="Normal"/>
    <w:link w:val="HeaderChar"/>
    <w:unhideWhenUsed/>
    <w:rsid w:val="00b72678"/>
    <w:pPr>
      <w:tabs>
        <w:tab w:val="clear" w:pos="720"/>
        <w:tab w:val="center" w:pos="4819" w:leader="none"/>
        <w:tab w:val="right" w:pos="9638" w:leader="none"/>
      </w:tabs>
    </w:pPr>
    <w:rPr/>
  </w:style>
  <w:style w:type="paragraph" w:styleId="Footer">
    <w:name w:val="footer"/>
    <w:basedOn w:val="Normal"/>
    <w:link w:val="FooterChar"/>
    <w:uiPriority w:val="99"/>
    <w:unhideWhenUsed/>
    <w:rsid w:val="00b72678"/>
    <w:pPr>
      <w:tabs>
        <w:tab w:val="clear" w:pos="720"/>
        <w:tab w:val="center" w:pos="4819" w:leader="none"/>
        <w:tab w:val="right" w:pos="9638" w:leader="none"/>
      </w:tabs>
    </w:pPr>
    <w:rPr/>
  </w:style>
  <w:style w:type="paragraph" w:styleId="ListParagraph">
    <w:name w:val="List Paragraph"/>
    <w:basedOn w:val="Normal"/>
    <w:link w:val="ListParagraphChar"/>
    <w:uiPriority w:val="34"/>
    <w:qFormat/>
    <w:rsid w:val="00f74a0a"/>
    <w:pPr>
      <w:spacing w:lineRule="auto" w:line="360" w:before="0" w:after="0"/>
      <w:ind w:firstLine="680" w:left="720"/>
      <w:contextualSpacing/>
      <w:jc w:val="both"/>
    </w:pPr>
    <w:rPr>
      <w:rFonts w:ascii="Times New Roman" w:hAnsi="Times New Roman"/>
      <w:sz w:val="24"/>
      <w:lang w:eastAsia="en-US"/>
    </w:rPr>
  </w:style>
  <w:style w:type="paragraph" w:styleId="Stilius" w:customStyle="1">
    <w:name w:val="Stilius"/>
    <w:qFormat/>
    <w:rsid w:val="00f74a0a"/>
    <w:pPr>
      <w:widowControl w:val="false"/>
      <w:bidi w:val="0"/>
      <w:spacing w:before="0" w:after="0"/>
      <w:jc w:val="left"/>
    </w:pPr>
    <w:rPr>
      <w:rFonts w:ascii="Times New Roman" w:hAnsi="Times New Roman" w:eastAsia="Calibri" w:cs="Calibri"/>
      <w:color w:val="auto"/>
      <w:kern w:val="0"/>
      <w:sz w:val="24"/>
      <w:szCs w:val="24"/>
      <w:lang w:val="lt-LT" w:eastAsia="lt-LT" w:bidi="ar-SA"/>
    </w:rPr>
  </w:style>
  <w:style w:type="paragraph" w:styleId="gmail-m4333204085166110845msolistparagraph" w:customStyle="1">
    <w:name w:val="gmail-m_4333204085166110845msolistparagraph"/>
    <w:basedOn w:val="Normal"/>
    <w:qFormat/>
    <w:rsid w:val="00116259"/>
    <w:pPr>
      <w:spacing w:beforeAutospacing="1" w:afterAutospacing="1"/>
    </w:pPr>
    <w:rPr>
      <w:rFonts w:ascii="Times New Roman" w:hAnsi="Times New Roman" w:eastAsia="Calibri" w:eastAsiaTheme="minorHAnsi"/>
      <w:sz w:val="24"/>
      <w:szCs w:val="24"/>
    </w:rPr>
  </w:style>
  <w:style w:type="paragraph" w:styleId="Default" w:customStyle="1">
    <w:name w:val="Default"/>
    <w:qFormat/>
    <w:rsid w:val="00922924"/>
    <w:pPr>
      <w:widowControl/>
      <w:bidi w:val="0"/>
      <w:spacing w:before="0" w:after="0"/>
      <w:jc w:val="left"/>
    </w:pPr>
    <w:rPr>
      <w:rFonts w:ascii="Times New Roman" w:hAnsi="Times New Roman" w:eastAsia="Calibri" w:cs="Calibri"/>
      <w:color w:val="000000"/>
      <w:kern w:val="0"/>
      <w:sz w:val="24"/>
      <w:szCs w:val="24"/>
      <w:lang w:val="en-US" w:eastAsia="lt-LT" w:bidi="ar-SA"/>
    </w:rPr>
  </w:style>
  <w:style w:type="paragraph" w:styleId="HTMLPreformatted">
    <w:name w:val="HTML Preformatted"/>
    <w:basedOn w:val="Normal"/>
    <w:link w:val="HTMLPreformattedChar"/>
    <w:uiPriority w:val="99"/>
    <w:semiHidden/>
    <w:unhideWhenUsed/>
    <w:qFormat/>
    <w:rsid w:val="00cb2348"/>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rPr>
      <w:rFonts w:ascii="Courier New" w:hAnsi="Courier New" w:cs="Courier New"/>
      <w:color w:val="000000"/>
      <w:sz w:val="20"/>
      <w:szCs w:val="20"/>
    </w:rPr>
  </w:style>
  <w:style w:type="paragraph" w:styleId="CommentText">
    <w:name w:val="annotation text"/>
    <w:basedOn w:val="Normal"/>
    <w:link w:val="CommentTextChar"/>
    <w:uiPriority w:val="99"/>
    <w:unhideWhenUsed/>
    <w:rsid w:val="00931191"/>
    <w:pPr/>
    <w:rPr>
      <w:sz w:val="20"/>
      <w:szCs w:val="20"/>
    </w:rPr>
  </w:style>
  <w:style w:type="paragraph" w:styleId="annotationsubject">
    <w:name w:val="annotation subject"/>
    <w:basedOn w:val="CommentText"/>
    <w:next w:val="CommentText"/>
    <w:link w:val="CommentSubjectChar"/>
    <w:uiPriority w:val="99"/>
    <w:semiHidden/>
    <w:unhideWhenUsed/>
    <w:qFormat/>
    <w:rsid w:val="00931191"/>
    <w:pPr/>
    <w:rPr>
      <w:b/>
      <w:bCs/>
    </w:rPr>
  </w:style>
  <w:style w:type="paragraph" w:styleId="Revision">
    <w:name w:val="Revision"/>
    <w:uiPriority w:val="99"/>
    <w:semiHidden/>
    <w:qFormat/>
    <w:rsid w:val="00ca25ed"/>
    <w:pPr>
      <w:widowControl/>
      <w:bidi w:val="0"/>
      <w:spacing w:before="0" w:after="0"/>
      <w:jc w:val="left"/>
    </w:pPr>
    <w:rPr>
      <w:rFonts w:ascii="Calibri" w:hAnsi="Calibri" w:eastAsia="Calibri" w:cs="Calibri"/>
      <w:color w:val="auto"/>
      <w:kern w:val="0"/>
      <w:sz w:val="22"/>
      <w:szCs w:val="22"/>
      <w:lang w:val="lt-LT" w:eastAsia="lt-LT" w:bidi="ar-SA"/>
    </w:rPr>
  </w:style>
  <w:style w:type="paragraph" w:styleId="paragraph" w:customStyle="1">
    <w:name w:val="paragraph"/>
    <w:basedOn w:val="Normal"/>
    <w:qFormat/>
    <w:rsid w:val="00077e48"/>
    <w:pPr>
      <w:spacing w:beforeAutospacing="1" w:afterAutospacing="1"/>
    </w:pPr>
    <w:rPr>
      <w:rFonts w:ascii="Times New Roman" w:hAnsi="Times New Roman"/>
      <w:sz w:val="24"/>
      <w:szCs w:val="24"/>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customStyle="1" w:styleId="TableNormal1">
    <w:name w:val="Table Normal1"/>
    <w:tblPr>
      <w:tblCellMar>
        <w:top w:w="0" w:type="dxa"/>
        <w:left w:w="0" w:type="dxa"/>
        <w:bottom w:w="0" w:type="dxa"/>
        <w:right w:w="0" w:type="dxa"/>
      </w:tblCellMar>
    </w:tblPr>
  </w:style>
  <w:style w:type="table" w:styleId="TableGrid">
    <w:name w:val="Table Grid"/>
    <w:basedOn w:val="TableNormal"/>
    <w:uiPriority w:val="59"/>
    <w:rsid w:val="00b7267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stat.gov.lt/" TargetMode="External"/><Relationship Id="rId3" Type="http://schemas.openxmlformats.org/officeDocument/2006/relationships/hyperlink" Target="mailto:tautvydas.lukavicius@kaunovsb.lt" TargetMode="External"/><Relationship Id="rId4" Type="http://schemas.openxmlformats.org/officeDocument/2006/relationships/hyperlink" Target="https://e.seb.lt/web/ifirma.w?sesskey=jlhlaaSdalcrdjZdlbXjjkgdliiVdjpn&amp;act=STATEMENT1&amp;lang=LIT&amp;frnam=X&amp;val_id=99&amp;acc_no=LT577044060008047453" TargetMode="External"/><Relationship Id="rId5" Type="http://schemas.openxmlformats.org/officeDocument/2006/relationships/numbering" Target="numbering.xm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Relationship Id="rId9"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2DzrYSu9CNoa0kUhVW45tddVgdg==">CgMxLjAyCGguZ2pkZ3hzMgppZC4zMGowemxsMgppZC4xZm9iOXRlOAByITF0SVFvWjdVRkhTTEV2VzRFNTJLZC1SVWpCU0Z1dmp2aA==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261</TotalTime>
  <Application>LibreOffice/24.8.5.2$Windows_X86_64 LibreOffice_project/fddf2685c70b461e7832239a0162a77216259f22</Application>
  <AppVersion>15.0000</AppVersion>
  <Pages>8</Pages>
  <Words>2531</Words>
  <Characters>18171</Characters>
  <CharactersWithSpaces>20488</CharactersWithSpaces>
  <Paragraphs>203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2021-10-09T18:39:00Z</dcterms:created>
  <dc:creator>pardavimai</dc:creator>
  <dc:description/>
  <dc:language>lt-LT</dc:language>
  <cp:lastModifiedBy/>
  <dcterms:modified xsi:type="dcterms:W3CDTF">2025-04-14T14:47:22Z</dcterms:modified>
  <cp:revision>171</cp:revision>
  <dc:subject/>
  <dc:title/>
</cp:coreProperties>
</file>

<file path=docProps/custom.xml><?xml version="1.0" encoding="utf-8"?>
<Properties xmlns="http://schemas.openxmlformats.org/officeDocument/2006/custom-properties" xmlns:vt="http://schemas.openxmlformats.org/officeDocument/2006/docPropsVTypes"/>
</file>