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515E" w14:textId="2FBC95F0" w:rsidR="008B5E35" w:rsidRDefault="00E66CFE" w:rsidP="00663634">
      <w:pPr>
        <w:overflowPunct/>
        <w:jc w:val="center"/>
        <w:textAlignment w:val="auto"/>
        <w:rPr>
          <w:rFonts w:ascii="TimesNewRomanPS-BoldMT" w:eastAsiaTheme="minorHAnsi" w:hAnsi="TimesNewRomanPS-BoldMT" w:cs="TimesNewRomanPS-BoldMT"/>
          <w:b/>
          <w:bCs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Cs w:val="24"/>
        </w:rPr>
        <w:t>ŠILALĖS MIESTO KOVO 11-OSIOS</w:t>
      </w:r>
      <w:r w:rsidR="00490F05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IR ŠOLIŲ GATVĖS ATKARPOS IKI KOVO 11-OSIOS GATVĖS REKONSTRAVIMO DARBŲ</w:t>
      </w:r>
      <w:r w:rsidR="007263E7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PIRKIMO SUTARTI</w:t>
      </w:r>
      <w:r w:rsidR="008B5E35">
        <w:rPr>
          <w:rFonts w:ascii="TimesNewRomanPS-BoldMT" w:eastAsiaTheme="minorHAnsi" w:hAnsi="TimesNewRomanPS-BoldMT" w:cs="TimesNewRomanPS-BoldMT"/>
          <w:b/>
          <w:bCs/>
          <w:szCs w:val="24"/>
        </w:rPr>
        <w:t>E</w:t>
      </w:r>
      <w:r w:rsidR="007263E7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S </w:t>
      </w:r>
    </w:p>
    <w:p w14:paraId="5683F3D0" w14:textId="73AA1B1F" w:rsidR="009D2163" w:rsidRPr="00346529" w:rsidRDefault="007263E7" w:rsidP="007263E7">
      <w:pPr>
        <w:overflowPunct/>
        <w:jc w:val="center"/>
        <w:textAlignment w:val="auto"/>
        <w:rPr>
          <w:rFonts w:ascii="Times New Roman" w:hAnsi="Times New Roman"/>
          <w:b/>
          <w:caps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Cs w:val="24"/>
        </w:rPr>
        <w:t>NR.</w:t>
      </w:r>
      <w:r w:rsidR="009D2163" w:rsidRPr="00346529">
        <w:rPr>
          <w:rFonts w:ascii="Times New Roman" w:hAnsi="Times New Roman"/>
          <w:b/>
          <w:caps/>
          <w:szCs w:val="24"/>
        </w:rPr>
        <w:t xml:space="preserve"> b6</w:t>
      </w:r>
      <w:r w:rsidR="006A6576">
        <w:rPr>
          <w:rFonts w:ascii="Times New Roman" w:hAnsi="Times New Roman"/>
          <w:b/>
          <w:caps/>
          <w:szCs w:val="24"/>
        </w:rPr>
        <w:t>(B)</w:t>
      </w:r>
      <w:r w:rsidR="009D2163" w:rsidRPr="00346529">
        <w:rPr>
          <w:rFonts w:ascii="Times New Roman" w:hAnsi="Times New Roman"/>
          <w:b/>
          <w:caps/>
          <w:szCs w:val="24"/>
        </w:rPr>
        <w:t>-</w:t>
      </w:r>
      <w:r w:rsidR="00F947A9">
        <w:rPr>
          <w:rFonts w:ascii="Times New Roman" w:hAnsi="Times New Roman"/>
          <w:b/>
          <w:caps/>
          <w:szCs w:val="24"/>
        </w:rPr>
        <w:t>140</w:t>
      </w:r>
      <w:r w:rsidR="00F70646">
        <w:rPr>
          <w:rFonts w:ascii="Times New Roman" w:hAnsi="Times New Roman"/>
          <w:b/>
          <w:caps/>
          <w:szCs w:val="24"/>
        </w:rPr>
        <w:t xml:space="preserve"> PAKEITIMAS NR. </w:t>
      </w:r>
      <w:r w:rsidR="00F947A9">
        <w:rPr>
          <w:rFonts w:ascii="Times New Roman" w:hAnsi="Times New Roman"/>
          <w:b/>
          <w:caps/>
          <w:szCs w:val="24"/>
        </w:rPr>
        <w:t>1</w:t>
      </w:r>
    </w:p>
    <w:p w14:paraId="1F2D4E34" w14:textId="77777777" w:rsidR="009D2163" w:rsidRPr="004F6BDE" w:rsidRDefault="009D2163" w:rsidP="009D2163">
      <w:pPr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281DD9FD" w14:textId="406DD5A8" w:rsidR="009D2163" w:rsidRPr="00346529" w:rsidRDefault="009D2163" w:rsidP="009D2163">
      <w:pPr>
        <w:tabs>
          <w:tab w:val="left" w:pos="426"/>
        </w:tabs>
        <w:jc w:val="center"/>
        <w:rPr>
          <w:rFonts w:ascii="Times New Roman" w:hAnsi="Times New Roman"/>
          <w:szCs w:val="24"/>
        </w:rPr>
      </w:pPr>
      <w:r w:rsidRPr="00346529">
        <w:rPr>
          <w:rFonts w:ascii="Times New Roman" w:hAnsi="Times New Roman"/>
          <w:szCs w:val="24"/>
        </w:rPr>
        <w:t>202</w:t>
      </w:r>
      <w:r w:rsidR="00E66CFE">
        <w:rPr>
          <w:rFonts w:ascii="Times New Roman" w:hAnsi="Times New Roman"/>
          <w:szCs w:val="24"/>
        </w:rPr>
        <w:t>5</w:t>
      </w:r>
      <w:r w:rsidRPr="00346529">
        <w:rPr>
          <w:rFonts w:ascii="Times New Roman" w:hAnsi="Times New Roman"/>
          <w:szCs w:val="24"/>
        </w:rPr>
        <w:t xml:space="preserve"> m.</w:t>
      </w:r>
      <w:r w:rsidR="00FF3B3F">
        <w:rPr>
          <w:rFonts w:ascii="Times New Roman" w:hAnsi="Times New Roman"/>
          <w:szCs w:val="24"/>
        </w:rPr>
        <w:t xml:space="preserve"> </w:t>
      </w:r>
      <w:r w:rsidR="00E66CFE">
        <w:rPr>
          <w:rFonts w:ascii="Times New Roman" w:hAnsi="Times New Roman"/>
          <w:szCs w:val="24"/>
        </w:rPr>
        <w:t>gegužės</w:t>
      </w:r>
      <w:r w:rsidR="00110B92">
        <w:rPr>
          <w:rFonts w:ascii="Times New Roman" w:hAnsi="Times New Roman"/>
          <w:szCs w:val="24"/>
        </w:rPr>
        <w:t xml:space="preserve"> </w:t>
      </w:r>
      <w:r w:rsidR="00110B92" w:rsidRPr="00346529">
        <w:rPr>
          <w:rFonts w:ascii="Times New Roman" w:hAnsi="Times New Roman"/>
          <w:szCs w:val="24"/>
        </w:rPr>
        <w:t>_</w:t>
      </w:r>
      <w:r w:rsidRPr="00346529">
        <w:rPr>
          <w:rFonts w:ascii="Times New Roman" w:hAnsi="Times New Roman"/>
          <w:szCs w:val="24"/>
        </w:rPr>
        <w:t xml:space="preserve"> d. </w:t>
      </w:r>
    </w:p>
    <w:p w14:paraId="1C408220" w14:textId="77777777" w:rsidR="009D2163" w:rsidRPr="00346529" w:rsidRDefault="009D2163" w:rsidP="009D2163">
      <w:pPr>
        <w:jc w:val="center"/>
        <w:rPr>
          <w:rFonts w:ascii="Times New Roman" w:hAnsi="Times New Roman"/>
          <w:szCs w:val="24"/>
        </w:rPr>
      </w:pPr>
      <w:r w:rsidRPr="00346529">
        <w:rPr>
          <w:rFonts w:ascii="Times New Roman" w:hAnsi="Times New Roman"/>
          <w:szCs w:val="24"/>
        </w:rPr>
        <w:t>Šilalė</w:t>
      </w:r>
    </w:p>
    <w:p w14:paraId="71CCB67A" w14:textId="77777777" w:rsidR="009D2163" w:rsidRPr="004F6BDE" w:rsidRDefault="009D2163" w:rsidP="009D2163">
      <w:pPr>
        <w:rPr>
          <w:rFonts w:ascii="Times New Roman" w:hAnsi="Times New Roman"/>
          <w:sz w:val="16"/>
          <w:szCs w:val="16"/>
        </w:rPr>
      </w:pPr>
    </w:p>
    <w:p w14:paraId="558150A4" w14:textId="778E9897" w:rsidR="009D2163" w:rsidRPr="00346529" w:rsidRDefault="009D2163" w:rsidP="00EC70AD">
      <w:pPr>
        <w:ind w:firstLine="851"/>
        <w:jc w:val="both"/>
        <w:rPr>
          <w:rFonts w:ascii="Times New Roman" w:hAnsi="Times New Roman"/>
          <w:kern w:val="28"/>
          <w:position w:val="-16"/>
          <w:szCs w:val="24"/>
        </w:rPr>
      </w:pPr>
      <w:r w:rsidRPr="00CA2377">
        <w:rPr>
          <w:rFonts w:ascii="Times New Roman" w:hAnsi="Times New Roman"/>
          <w:bCs/>
          <w:kern w:val="28"/>
          <w:position w:val="-16"/>
          <w:szCs w:val="24"/>
        </w:rPr>
        <w:t>Šilalės rajono savivaldybės administracija</w:t>
      </w:r>
      <w:r w:rsidRPr="00346529">
        <w:rPr>
          <w:rFonts w:ascii="Times New Roman" w:hAnsi="Times New Roman"/>
          <w:bCs/>
          <w:kern w:val="28"/>
          <w:position w:val="-16"/>
          <w:szCs w:val="24"/>
        </w:rPr>
        <w:t xml:space="preserve">, </w:t>
      </w:r>
      <w:r w:rsidRPr="00346529">
        <w:rPr>
          <w:rFonts w:ascii="Times New Roman" w:hAnsi="Times New Roman"/>
          <w:kern w:val="28"/>
          <w:position w:val="-16"/>
          <w:szCs w:val="24"/>
        </w:rPr>
        <w:t>juridinio asmens kodas 188773720, kurios registruota buveinė yra J. Basanavičiaus g. 2</w:t>
      </w:r>
      <w:r w:rsidR="00116EE1">
        <w:rPr>
          <w:rFonts w:ascii="Times New Roman" w:hAnsi="Times New Roman"/>
          <w:kern w:val="28"/>
          <w:position w:val="-16"/>
          <w:szCs w:val="24"/>
        </w:rPr>
        <w:t>-1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75138 Šilalė, duomenys apie </w:t>
      </w:r>
      <w:r w:rsidR="00EC70AD">
        <w:rPr>
          <w:rFonts w:ascii="Times New Roman" w:hAnsi="Times New Roman"/>
          <w:kern w:val="28"/>
          <w:position w:val="-16"/>
          <w:szCs w:val="24"/>
        </w:rPr>
        <w:t>įstaigą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 kaupiami ir saugomi Lietuvos Respublikos juridinių asmenų registre, atstovaujama</w:t>
      </w:r>
      <w:r w:rsidR="00116EE1">
        <w:rPr>
          <w:rFonts w:ascii="Times New Roman" w:hAnsi="Times New Roman"/>
          <w:kern w:val="28"/>
          <w:position w:val="-16"/>
          <w:szCs w:val="24"/>
        </w:rPr>
        <w:t xml:space="preserve"> Šilalės rajono savivaldybės</w:t>
      </w:r>
      <w:r w:rsidR="008B5E73">
        <w:rPr>
          <w:rFonts w:ascii="Times New Roman" w:hAnsi="Times New Roman"/>
          <w:kern w:val="28"/>
          <w:position w:val="-16"/>
          <w:szCs w:val="24"/>
        </w:rPr>
        <w:t xml:space="preserve"> administracijos direktoriaus </w:t>
      </w:r>
      <w:r w:rsidR="00663634">
        <w:rPr>
          <w:rFonts w:ascii="Times New Roman" w:hAnsi="Times New Roman"/>
          <w:kern w:val="28"/>
          <w:position w:val="-16"/>
          <w:szCs w:val="24"/>
        </w:rPr>
        <w:t>Andriaus Jančausko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veikiančio pagal </w:t>
      </w:r>
      <w:r w:rsidR="00310BC5">
        <w:rPr>
          <w:rFonts w:ascii="Times New Roman" w:hAnsi="Times New Roman"/>
          <w:kern w:val="28"/>
          <w:position w:val="-16"/>
          <w:szCs w:val="24"/>
        </w:rPr>
        <w:t>Šilalės rajono savivaldybės</w:t>
      </w:r>
      <w:r w:rsidR="008B5E73">
        <w:rPr>
          <w:rFonts w:ascii="Times New Roman" w:hAnsi="Times New Roman"/>
          <w:kern w:val="28"/>
          <w:position w:val="-16"/>
          <w:szCs w:val="24"/>
        </w:rPr>
        <w:t xml:space="preserve"> </w:t>
      </w:r>
      <w:r w:rsidR="00116EE1">
        <w:rPr>
          <w:rFonts w:ascii="Times New Roman" w:hAnsi="Times New Roman"/>
          <w:kern w:val="28"/>
          <w:position w:val="-16"/>
          <w:szCs w:val="24"/>
        </w:rPr>
        <w:t>administracijos nuostatus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toliau vadinama </w:t>
      </w:r>
      <w:r w:rsidRPr="00CA2377">
        <w:rPr>
          <w:rFonts w:ascii="Times New Roman" w:hAnsi="Times New Roman"/>
          <w:bCs/>
          <w:kern w:val="28"/>
          <w:position w:val="-16"/>
          <w:szCs w:val="24"/>
        </w:rPr>
        <w:t>UŽSAKOVU</w:t>
      </w:r>
      <w:r w:rsidRPr="00346529">
        <w:rPr>
          <w:rFonts w:ascii="Times New Roman" w:hAnsi="Times New Roman"/>
          <w:kern w:val="28"/>
          <w:position w:val="-16"/>
          <w:szCs w:val="24"/>
        </w:rPr>
        <w:t>, ir</w:t>
      </w:r>
    </w:p>
    <w:p w14:paraId="05344954" w14:textId="103A99EA" w:rsidR="00844E4B" w:rsidRPr="00346529" w:rsidRDefault="00FF3B3F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U</w:t>
      </w:r>
      <w:r w:rsidR="009D2163" w:rsidRPr="00CA2377">
        <w:rPr>
          <w:rFonts w:ascii="Times New Roman" w:hAnsi="Times New Roman"/>
          <w:szCs w:val="24"/>
        </w:rPr>
        <w:t>AB</w:t>
      </w:r>
      <w:r w:rsidR="009D2163" w:rsidRPr="00CA2377">
        <w:rPr>
          <w:rFonts w:ascii="Times New Roman" w:hAnsi="Times New Roman"/>
          <w:b/>
          <w:bCs/>
          <w:szCs w:val="24"/>
        </w:rPr>
        <w:t xml:space="preserve"> </w:t>
      </w:r>
      <w:r w:rsidR="009D2163" w:rsidRPr="00FF3B3F">
        <w:rPr>
          <w:rFonts w:ascii="Times New Roman" w:hAnsi="Times New Roman"/>
          <w:szCs w:val="24"/>
        </w:rPr>
        <w:t>„</w:t>
      </w:r>
      <w:r w:rsidR="002A1824">
        <w:rPr>
          <w:rFonts w:ascii="Times New Roman" w:hAnsi="Times New Roman"/>
          <w:szCs w:val="24"/>
        </w:rPr>
        <w:t>Kvėdarsta</w:t>
      </w:r>
      <w:r w:rsidR="009D2163" w:rsidRPr="00FF3B3F">
        <w:rPr>
          <w:rFonts w:ascii="Times New Roman" w:hAnsi="Times New Roman"/>
          <w:color w:val="000000" w:themeColor="text1"/>
          <w:szCs w:val="24"/>
        </w:rPr>
        <w:t>“</w:t>
      </w:r>
      <w:r w:rsidR="009D2163" w:rsidRPr="00CA2377">
        <w:rPr>
          <w:rFonts w:ascii="Times New Roman" w:hAnsi="Times New Roman"/>
          <w:b/>
          <w:bCs/>
          <w:color w:val="000000" w:themeColor="text1"/>
          <w:szCs w:val="24"/>
        </w:rPr>
        <w:t>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juridinio asmens kodas </w:t>
      </w:r>
      <w:r w:rsidR="002A1824">
        <w:rPr>
          <w:rFonts w:ascii="Times New Roman" w:hAnsi="Times New Roman"/>
          <w:color w:val="000000" w:themeColor="text1"/>
          <w:szCs w:val="24"/>
          <w:shd w:val="clear" w:color="auto" w:fill="FFFFFF"/>
        </w:rPr>
        <w:t>176597054</w:t>
      </w:r>
      <w:r w:rsidR="009D2163" w:rsidRPr="00346529">
        <w:rPr>
          <w:rFonts w:ascii="Times New Roman" w:hAnsi="Times New Roman"/>
          <w:color w:val="000000" w:themeColor="text1"/>
          <w:szCs w:val="24"/>
        </w:rPr>
        <w:t>, kurios regis</w:t>
      </w:r>
      <w:r w:rsidR="00EC70AD">
        <w:rPr>
          <w:rFonts w:ascii="Times New Roman" w:hAnsi="Times New Roman"/>
          <w:color w:val="000000" w:themeColor="text1"/>
          <w:szCs w:val="24"/>
        </w:rPr>
        <w:t xml:space="preserve">truota buveinė 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yra </w:t>
      </w:r>
      <w:r w:rsidR="002A1824">
        <w:rPr>
          <w:rFonts w:ascii="Times New Roman" w:hAnsi="Times New Roman"/>
          <w:color w:val="000000" w:themeColor="text1"/>
          <w:szCs w:val="24"/>
        </w:rPr>
        <w:t>K. Jauniaus g. 13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, </w:t>
      </w:r>
      <w:r w:rsidR="002A1824">
        <w:rPr>
          <w:rFonts w:ascii="Times New Roman" w:hAnsi="Times New Roman"/>
          <w:color w:val="000000" w:themeColor="text1"/>
          <w:szCs w:val="24"/>
        </w:rPr>
        <w:t>75347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 </w:t>
      </w:r>
      <w:r w:rsidR="002A1824">
        <w:rPr>
          <w:rFonts w:ascii="Times New Roman" w:hAnsi="Times New Roman"/>
          <w:color w:val="000000" w:themeColor="text1"/>
          <w:szCs w:val="24"/>
        </w:rPr>
        <w:t xml:space="preserve">Kvėdarna, </w:t>
      </w:r>
      <w:r w:rsidR="003D0B00">
        <w:rPr>
          <w:rFonts w:ascii="Times New Roman" w:hAnsi="Times New Roman"/>
          <w:color w:val="000000" w:themeColor="text1"/>
          <w:szCs w:val="24"/>
        </w:rPr>
        <w:t>Šilalės r.,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duomenys apie įmonę kaupiami ir saugomi Lietuvos Respublikos juridinių asmenų registre, atstovaujama </w:t>
      </w:r>
      <w:r>
        <w:rPr>
          <w:rFonts w:ascii="Times New Roman" w:hAnsi="Times New Roman"/>
          <w:color w:val="000000" w:themeColor="text1"/>
          <w:szCs w:val="24"/>
        </w:rPr>
        <w:t xml:space="preserve">direktoriaus </w:t>
      </w:r>
      <w:r w:rsidR="00E66CFE">
        <w:rPr>
          <w:rFonts w:ascii="Times New Roman" w:hAnsi="Times New Roman"/>
          <w:color w:val="000000" w:themeColor="text1"/>
          <w:szCs w:val="24"/>
        </w:rPr>
        <w:t>Dariaus</w:t>
      </w:r>
      <w:r w:rsidR="002A1824">
        <w:rPr>
          <w:rFonts w:ascii="Times New Roman" w:hAnsi="Times New Roman"/>
          <w:color w:val="000000" w:themeColor="text1"/>
          <w:szCs w:val="24"/>
        </w:rPr>
        <w:t xml:space="preserve"> Navardausko</w:t>
      </w:r>
      <w:r w:rsidR="00F868F0">
        <w:rPr>
          <w:rFonts w:ascii="Times New Roman" w:hAnsi="Times New Roman"/>
          <w:color w:val="000000" w:themeColor="text1"/>
          <w:szCs w:val="24"/>
        </w:rPr>
        <w:t>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veikiančio pagal </w:t>
      </w:r>
      <w:r>
        <w:rPr>
          <w:rFonts w:ascii="Times New Roman" w:hAnsi="Times New Roman"/>
          <w:color w:val="000000" w:themeColor="text1"/>
          <w:szCs w:val="24"/>
        </w:rPr>
        <w:t>bendrovės įstatus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toliau vadinama </w:t>
      </w:r>
      <w:r w:rsidR="009D2163" w:rsidRPr="00CA2377">
        <w:rPr>
          <w:rFonts w:ascii="Times New Roman" w:hAnsi="Times New Roman"/>
          <w:caps/>
          <w:color w:val="000000" w:themeColor="text1"/>
          <w:szCs w:val="24"/>
        </w:rPr>
        <w:t>RANGOVU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kartu vadinami </w:t>
      </w:r>
      <w:r w:rsidR="00CA2377">
        <w:rPr>
          <w:rFonts w:ascii="Times New Roman" w:hAnsi="Times New Roman"/>
          <w:color w:val="000000" w:themeColor="text1"/>
          <w:szCs w:val="24"/>
        </w:rPr>
        <w:t>ŠALIMIS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</w:t>
      </w:r>
      <w:r w:rsidR="00CA2377">
        <w:rPr>
          <w:rFonts w:ascii="Times New Roman" w:hAnsi="Times New Roman"/>
          <w:color w:val="000000" w:themeColor="text1"/>
          <w:szCs w:val="24"/>
        </w:rPr>
        <w:t xml:space="preserve">o atskirai kiekvienas – ŠALIMI, </w:t>
      </w:r>
      <w:r w:rsidR="009D2163" w:rsidRPr="00346529">
        <w:rPr>
          <w:rFonts w:ascii="Times New Roman" w:hAnsi="Times New Roman"/>
          <w:color w:val="000000" w:themeColor="text1"/>
          <w:szCs w:val="24"/>
        </w:rPr>
        <w:t>sudarė šį susitarimą:</w:t>
      </w:r>
    </w:p>
    <w:p w14:paraId="09F36690" w14:textId="03A32FBD" w:rsidR="00F70646" w:rsidRPr="006139CB" w:rsidRDefault="00EC70AD" w:rsidP="006139CB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1. </w:t>
      </w:r>
      <w:r w:rsidR="00090B3F" w:rsidRPr="00090B3F">
        <w:rPr>
          <w:rFonts w:ascii="Times New Roman" w:hAnsi="Times New Roman"/>
          <w:color w:val="000000" w:themeColor="text1"/>
          <w:szCs w:val="24"/>
        </w:rPr>
        <w:t xml:space="preserve">Šalys, </w:t>
      </w:r>
      <w:r w:rsidR="006139CB" w:rsidRPr="00EC70AD">
        <w:rPr>
          <w:rFonts w:ascii="Times New Roman" w:hAnsi="Times New Roman"/>
          <w:color w:val="000000" w:themeColor="text1"/>
          <w:szCs w:val="24"/>
        </w:rPr>
        <w:t>vadovaudamosi</w:t>
      </w:r>
      <w:r w:rsidR="006139CB">
        <w:rPr>
          <w:rFonts w:ascii="Times New Roman" w:hAnsi="Times New Roman"/>
          <w:color w:val="000000" w:themeColor="text1"/>
          <w:szCs w:val="24"/>
        </w:rPr>
        <w:t xml:space="preserve"> Lietuvos Respublikos viešųjų pirkimų įstatymo 89 straipsnio 2 dalimi,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202</w:t>
      </w:r>
      <w:r w:rsidR="006139CB">
        <w:rPr>
          <w:rFonts w:ascii="Times New Roman" w:hAnsi="Times New Roman"/>
          <w:color w:val="000000" w:themeColor="text1"/>
          <w:szCs w:val="24"/>
        </w:rPr>
        <w:t>4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m. </w:t>
      </w:r>
      <w:r w:rsidR="006139CB">
        <w:rPr>
          <w:rFonts w:ascii="Times New Roman" w:hAnsi="Times New Roman"/>
          <w:color w:val="000000" w:themeColor="text1"/>
          <w:szCs w:val="24"/>
        </w:rPr>
        <w:t>birželio 5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d. sutarties Nr. B6</w:t>
      </w:r>
      <w:r w:rsidR="006139CB">
        <w:rPr>
          <w:rFonts w:ascii="Times New Roman" w:hAnsi="Times New Roman"/>
          <w:color w:val="000000" w:themeColor="text1"/>
          <w:szCs w:val="24"/>
        </w:rPr>
        <w:t>(B)</w:t>
      </w:r>
      <w:r w:rsidR="006139CB" w:rsidRPr="00EC70AD">
        <w:rPr>
          <w:rFonts w:ascii="Times New Roman" w:hAnsi="Times New Roman"/>
          <w:color w:val="000000" w:themeColor="text1"/>
          <w:szCs w:val="24"/>
        </w:rPr>
        <w:t>-</w:t>
      </w:r>
      <w:r w:rsidR="006139CB">
        <w:rPr>
          <w:rFonts w:ascii="Times New Roman" w:hAnsi="Times New Roman"/>
          <w:color w:val="000000" w:themeColor="text1"/>
          <w:szCs w:val="24"/>
        </w:rPr>
        <w:t>140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(toliau Sutarties) „</w:t>
      </w:r>
      <w:r w:rsidR="006139CB">
        <w:rPr>
          <w:rFonts w:ascii="Times New Roman" w:hAnsi="Times New Roman"/>
          <w:color w:val="000000" w:themeColor="text1"/>
          <w:szCs w:val="24"/>
        </w:rPr>
        <w:t>Šilalės miesto kovo 11-osios ir Šolių gatvės atka</w:t>
      </w:r>
      <w:r w:rsidR="006139CB">
        <w:rPr>
          <w:rFonts w:ascii="Times New Roman" w:hAnsi="Times New Roman"/>
          <w:bCs/>
          <w:szCs w:val="24"/>
        </w:rPr>
        <w:t>r</w:t>
      </w:r>
      <w:r w:rsidR="006139CB">
        <w:rPr>
          <w:rFonts w:ascii="Times New Roman" w:hAnsi="Times New Roman"/>
          <w:bCs/>
          <w:szCs w:val="24"/>
        </w:rPr>
        <w:t>pos iki Kovo 11-osios gatvės rekonstravimo</w:t>
      </w:r>
      <w:r w:rsidR="006139CB">
        <w:rPr>
          <w:rFonts w:ascii="Times New Roman" w:hAnsi="Times New Roman"/>
          <w:bCs/>
          <w:szCs w:val="24"/>
        </w:rPr>
        <w:t xml:space="preserve"> darbų pirkimo sutartis</w:t>
      </w:r>
      <w:r w:rsidR="006139CB" w:rsidRPr="00422272">
        <w:rPr>
          <w:rFonts w:ascii="Times New Roman" w:hAnsi="Times New Roman"/>
          <w:bCs/>
          <w:color w:val="000000" w:themeColor="text1"/>
          <w:szCs w:val="24"/>
        </w:rPr>
        <w:t>“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</w:t>
      </w:r>
      <w:r w:rsidR="006139CB">
        <w:rPr>
          <w:rFonts w:ascii="Times New Roman" w:hAnsi="Times New Roman"/>
          <w:color w:val="000000" w:themeColor="text1"/>
          <w:szCs w:val="24"/>
        </w:rPr>
        <w:t xml:space="preserve">3.3, </w:t>
      </w:r>
      <w:r w:rsidR="006139CB" w:rsidRPr="00EC70AD">
        <w:rPr>
          <w:rFonts w:ascii="Times New Roman" w:hAnsi="Times New Roman"/>
          <w:color w:val="000000" w:themeColor="text1"/>
          <w:szCs w:val="24"/>
        </w:rPr>
        <w:t>10.</w:t>
      </w:r>
      <w:r w:rsidR="006139CB">
        <w:rPr>
          <w:rFonts w:ascii="Times New Roman" w:hAnsi="Times New Roman"/>
          <w:color w:val="000000" w:themeColor="text1"/>
          <w:szCs w:val="24"/>
        </w:rPr>
        <w:t xml:space="preserve">3, ir 10.8 </w:t>
      </w:r>
      <w:r w:rsidR="006139CB" w:rsidRPr="00EC70AD">
        <w:rPr>
          <w:rFonts w:ascii="Times New Roman" w:hAnsi="Times New Roman"/>
          <w:color w:val="000000" w:themeColor="text1"/>
          <w:szCs w:val="24"/>
        </w:rPr>
        <w:t>papunkči</w:t>
      </w:r>
      <w:r w:rsidR="006139CB">
        <w:rPr>
          <w:rFonts w:ascii="Times New Roman" w:hAnsi="Times New Roman"/>
          <w:color w:val="000000" w:themeColor="text1"/>
          <w:szCs w:val="24"/>
        </w:rPr>
        <w:t>ais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ir atsižvelgdamos į 202</w:t>
      </w:r>
      <w:r w:rsidR="006139CB">
        <w:rPr>
          <w:rFonts w:ascii="Times New Roman" w:hAnsi="Times New Roman"/>
          <w:color w:val="000000" w:themeColor="text1"/>
          <w:szCs w:val="24"/>
        </w:rPr>
        <w:t>5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m. </w:t>
      </w:r>
      <w:r w:rsidR="006139CB">
        <w:rPr>
          <w:rFonts w:ascii="Times New Roman" w:hAnsi="Times New Roman"/>
          <w:color w:val="000000" w:themeColor="text1"/>
          <w:szCs w:val="24"/>
        </w:rPr>
        <w:t>balandžio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</w:t>
      </w:r>
      <w:r w:rsidR="006139CB">
        <w:rPr>
          <w:rFonts w:ascii="Times New Roman" w:hAnsi="Times New Roman"/>
          <w:color w:val="000000" w:themeColor="text1"/>
          <w:szCs w:val="24"/>
        </w:rPr>
        <w:t>1</w:t>
      </w:r>
      <w:r w:rsidR="006139CB">
        <w:rPr>
          <w:rFonts w:ascii="Times New Roman" w:hAnsi="Times New Roman"/>
          <w:color w:val="000000" w:themeColor="text1"/>
          <w:szCs w:val="24"/>
        </w:rPr>
        <w:t>1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d. </w:t>
      </w:r>
      <w:r w:rsidR="006139CB">
        <w:rPr>
          <w:rFonts w:ascii="Times New Roman" w:hAnsi="Times New Roman"/>
          <w:color w:val="000000" w:themeColor="text1"/>
          <w:szCs w:val="24"/>
        </w:rPr>
        <w:t>darbų pakeitimo aktą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Nr. </w:t>
      </w:r>
      <w:r w:rsidR="006139CB">
        <w:rPr>
          <w:rFonts w:ascii="Times New Roman" w:hAnsi="Times New Roman"/>
          <w:color w:val="000000" w:themeColor="text1"/>
          <w:szCs w:val="24"/>
        </w:rPr>
        <w:t>1</w:t>
      </w:r>
      <w:r w:rsidR="006139CB" w:rsidRPr="00EC70AD">
        <w:rPr>
          <w:rFonts w:ascii="Times New Roman" w:hAnsi="Times New Roman"/>
          <w:color w:val="000000" w:themeColor="text1"/>
          <w:szCs w:val="24"/>
        </w:rPr>
        <w:t>, susitaria pakeisti Sutartį ir 3.</w:t>
      </w:r>
      <w:r w:rsidR="006139CB">
        <w:rPr>
          <w:rFonts w:ascii="Times New Roman" w:hAnsi="Times New Roman"/>
          <w:color w:val="000000" w:themeColor="text1"/>
          <w:szCs w:val="24"/>
        </w:rPr>
        <w:t>4</w:t>
      </w:r>
      <w:r w:rsidR="006139CB" w:rsidRPr="00EC70AD">
        <w:rPr>
          <w:rFonts w:ascii="Times New Roman" w:hAnsi="Times New Roman"/>
          <w:color w:val="000000" w:themeColor="text1"/>
          <w:szCs w:val="24"/>
        </w:rPr>
        <w:t xml:space="preserve"> papunktį </w:t>
      </w:r>
      <w:r w:rsidR="006139CB" w:rsidRPr="005E737A">
        <w:rPr>
          <w:rFonts w:ascii="Times New Roman" w:hAnsi="Times New Roman"/>
          <w:szCs w:val="24"/>
        </w:rPr>
        <w:t>išdėstyti</w:t>
      </w:r>
      <w:r w:rsidR="00090B3F">
        <w:rPr>
          <w:rFonts w:ascii="Times New Roman" w:hAnsi="Times New Roman"/>
          <w:color w:val="000000" w:themeColor="text1"/>
          <w:szCs w:val="24"/>
        </w:rPr>
        <w:t xml:space="preserve"> taip</w:t>
      </w:r>
      <w:r w:rsidR="00110B92" w:rsidRPr="005E737A">
        <w:rPr>
          <w:rFonts w:ascii="Times New Roman" w:hAnsi="Times New Roman"/>
          <w:szCs w:val="24"/>
        </w:rPr>
        <w:t>:</w:t>
      </w:r>
    </w:p>
    <w:p w14:paraId="39B9112C" w14:textId="528595EF" w:rsidR="00DE0C4C" w:rsidRDefault="00DE0C4C" w:rsidP="003F52D9">
      <w:pPr>
        <w:jc w:val="both"/>
        <w:rPr>
          <w:rFonts w:ascii="Times New Roman" w:hAnsi="Times New Roman"/>
          <w:szCs w:val="24"/>
        </w:rPr>
      </w:pPr>
    </w:p>
    <w:tbl>
      <w:tblPr>
        <w:tblW w:w="992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9249DB" w:rsidRPr="004F5618" w14:paraId="0DF5359F" w14:textId="77777777" w:rsidTr="009249D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8525B" w14:textId="1356E03D" w:rsidR="009249DB" w:rsidRPr="004F5618" w:rsidRDefault="009249DB" w:rsidP="006139CB">
            <w:pPr>
              <w:pStyle w:val="Sraopastraipa1"/>
              <w:spacing w:before="200"/>
              <w:ind w:left="30" w:right="-251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„3.4.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C354B" w14:textId="77777777" w:rsidR="009249DB" w:rsidRPr="004F5618" w:rsidRDefault="009249DB" w:rsidP="00745F94">
            <w:pPr>
              <w:pStyle w:val="Stilius3"/>
              <w:spacing w:after="240"/>
              <w:rPr>
                <w:sz w:val="24"/>
                <w:szCs w:val="24"/>
              </w:rPr>
            </w:pPr>
            <w:r w:rsidRPr="004F5618">
              <w:rPr>
                <w:sz w:val="24"/>
                <w:szCs w:val="24"/>
              </w:rPr>
              <w:t xml:space="preserve">Sutarties sąlygų pagrindiniai duomenys: </w:t>
            </w:r>
          </w:p>
        </w:tc>
      </w:tr>
      <w:tr w:rsidR="009249DB" w:rsidRPr="004F5618" w14:paraId="1D29296C" w14:textId="77777777" w:rsidTr="009249DB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6D128" w14:textId="77777777" w:rsidR="009249DB" w:rsidRPr="004F5618" w:rsidRDefault="009249DB" w:rsidP="00745F94">
            <w:pPr>
              <w:pStyle w:val="Sraopastraipa1"/>
              <w:spacing w:before="20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8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E2EFD9"/>
              <w:tblLayout w:type="fixed"/>
              <w:tblLook w:val="04A0" w:firstRow="1" w:lastRow="0" w:firstColumn="1" w:lastColumn="0" w:noHBand="0" w:noVBand="1"/>
            </w:tblPr>
            <w:tblGrid>
              <w:gridCol w:w="2899"/>
              <w:gridCol w:w="993"/>
              <w:gridCol w:w="4994"/>
            </w:tblGrid>
            <w:tr w:rsidR="009249DB" w:rsidRPr="004F5618" w14:paraId="5362707C" w14:textId="77777777" w:rsidTr="00745F94">
              <w:tc>
                <w:tcPr>
                  <w:tcW w:w="2899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D62AE71" w14:textId="77777777" w:rsidR="009249DB" w:rsidRPr="004F5618" w:rsidRDefault="009249DB" w:rsidP="00745F94">
                  <w:pPr>
                    <w:rPr>
                      <w:rFonts w:ascii="Times New Roman" w:hAnsi="Times New Roman"/>
                      <w:i/>
                      <w:iCs/>
                    </w:rPr>
                  </w:pPr>
                  <w:r w:rsidRPr="004F5618">
                    <w:rPr>
                      <w:rFonts w:ascii="Times New Roman" w:hAnsi="Times New Roman"/>
                      <w:i/>
                      <w:iCs/>
                    </w:rPr>
                    <w:t>Pavadinimas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DCB06C1" w14:textId="77777777" w:rsidR="009249DB" w:rsidRPr="004F5618" w:rsidRDefault="009249DB" w:rsidP="00745F94">
                  <w:pPr>
                    <w:rPr>
                      <w:rFonts w:ascii="Times New Roman" w:hAnsi="Times New Roman"/>
                      <w:i/>
                      <w:iCs/>
                    </w:rPr>
                  </w:pPr>
                  <w:r w:rsidRPr="004F5618">
                    <w:rPr>
                      <w:rFonts w:ascii="Times New Roman" w:hAnsi="Times New Roman"/>
                      <w:i/>
                      <w:iCs/>
                    </w:rPr>
                    <w:t>Punktas</w:t>
                  </w:r>
                </w:p>
              </w:tc>
              <w:tc>
                <w:tcPr>
                  <w:tcW w:w="4994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CF14EB" w14:textId="77777777" w:rsidR="009249DB" w:rsidRPr="004F5618" w:rsidRDefault="009249DB" w:rsidP="00745F94">
                  <w:pPr>
                    <w:rPr>
                      <w:rFonts w:ascii="Times New Roman" w:hAnsi="Times New Roman"/>
                      <w:i/>
                      <w:iCs/>
                    </w:rPr>
                  </w:pPr>
                  <w:r w:rsidRPr="004F5618">
                    <w:rPr>
                      <w:rFonts w:ascii="Times New Roman" w:hAnsi="Times New Roman"/>
                      <w:i/>
                      <w:iCs/>
                    </w:rPr>
                    <w:t>Duomenys ir sąlygos</w:t>
                  </w:r>
                </w:p>
              </w:tc>
            </w:tr>
            <w:tr w:rsidR="009249DB" w:rsidRPr="004F5618" w14:paraId="05A33B4F" w14:textId="77777777" w:rsidTr="00745F94">
              <w:tc>
                <w:tcPr>
                  <w:tcW w:w="2899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2821B4B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Pradinė sutarties vertė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45DC258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4994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2BF5895B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i/>
                      <w:iCs/>
                      <w:sz w:val="24"/>
                      <w:szCs w:val="24"/>
                    </w:rPr>
                  </w:pPr>
                  <w:r w:rsidRPr="004F5618">
                    <w:rPr>
                      <w:b/>
                      <w:bCs/>
                      <w:sz w:val="24"/>
                      <w:szCs w:val="24"/>
                    </w:rPr>
                    <w:t xml:space="preserve">726270,97 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(septyni šimtai dvidešimt šeši tūkstančiai du šimtai septyniasdešimt eurų 97 ct</w:t>
                  </w:r>
                  <w:r w:rsidRPr="004F5618">
                    <w:rPr>
                      <w:i/>
                      <w:iCs/>
                      <w:sz w:val="24"/>
                      <w:szCs w:val="24"/>
                    </w:rPr>
                    <w:t xml:space="preserve">) </w:t>
                  </w:r>
                </w:p>
              </w:tc>
            </w:tr>
            <w:tr w:rsidR="009249DB" w:rsidRPr="004F5618" w14:paraId="62969CFF" w14:textId="77777777" w:rsidTr="00745F94">
              <w:tc>
                <w:tcPr>
                  <w:tcW w:w="2899" w:type="dxa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226F19B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i/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Užsakovo skiriamas asmuo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B0FB216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i/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4.4</w:t>
                  </w:r>
                </w:p>
              </w:tc>
              <w:tc>
                <w:tcPr>
                  <w:tcW w:w="4994" w:type="dxa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742FA33F" w14:textId="77777777" w:rsidR="009249DB" w:rsidRPr="004F5618" w:rsidRDefault="009249DB" w:rsidP="00745F94">
                  <w:pPr>
                    <w:spacing w:afterLines="120" w:after="288"/>
                    <w:rPr>
                      <w:rFonts w:ascii="Times New Roman" w:hAnsi="Times New Roman"/>
                      <w:szCs w:val="24"/>
                    </w:rPr>
                  </w:pPr>
                  <w:r w:rsidRPr="004F5618">
                    <w:rPr>
                      <w:rFonts w:ascii="Times New Roman" w:hAnsi="Times New Roman"/>
                      <w:szCs w:val="24"/>
                    </w:rPr>
                    <w:t xml:space="preserve">Saulius Liatukas, Investicijų ir statybos skyriaus statybos inžinierius </w:t>
                  </w:r>
                  <w:hyperlink r:id="rId5" w:history="1">
                    <w:r w:rsidRPr="004F5618">
                      <w:rPr>
                        <w:rStyle w:val="Hyperlink"/>
                        <w:rFonts w:ascii="Times New Roman" w:hAnsi="Times New Roman"/>
                        <w:szCs w:val="24"/>
                      </w:rPr>
                      <w:t>saulius.liatukas@silale.lt</w:t>
                    </w:r>
                  </w:hyperlink>
                  <w:r w:rsidRPr="004F5618">
                    <w:rPr>
                      <w:rFonts w:ascii="Times New Roman" w:hAnsi="Times New Roman"/>
                      <w:szCs w:val="24"/>
                    </w:rPr>
                    <w:t>, tel. (8 449) 76 125</w:t>
                  </w:r>
                </w:p>
              </w:tc>
            </w:tr>
            <w:tr w:rsidR="009249DB" w:rsidRPr="004F5618" w14:paraId="086A9F84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711DF3E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Darbų atlikimo terminas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3AE29FD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6.1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1B8D87EF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ind w:right="420"/>
                    <w:jc w:val="left"/>
                    <w:rPr>
                      <w:sz w:val="24"/>
                      <w:szCs w:val="24"/>
                      <w:lang w:eastAsia="lt-LT"/>
                    </w:rPr>
                  </w:pPr>
                  <w:r w:rsidRPr="004F5618">
                    <w:rPr>
                      <w:sz w:val="24"/>
                      <w:szCs w:val="24"/>
                      <w:lang w:eastAsia="lt-LT"/>
                    </w:rPr>
                    <w:t xml:space="preserve">15 mėnesių. </w:t>
                  </w:r>
                </w:p>
                <w:p w14:paraId="1FA49812" w14:textId="77777777" w:rsidR="009249DB" w:rsidRPr="004F5618" w:rsidRDefault="009249DB" w:rsidP="00745F94">
                  <w:pPr>
                    <w:tabs>
                      <w:tab w:val="left" w:pos="567"/>
                    </w:tabs>
                    <w:suppressAutoHyphens/>
                    <w:spacing w:afterLines="120" w:after="288"/>
                    <w:rPr>
                      <w:rFonts w:ascii="Times New Roman" w:hAnsi="Times New Roman"/>
                      <w:b/>
                      <w:bCs/>
                      <w:szCs w:val="24"/>
                      <w:lang w:eastAsia="lt-LT"/>
                    </w:rPr>
                  </w:pPr>
                  <w:r w:rsidRPr="004F5618">
                    <w:rPr>
                      <w:rFonts w:ascii="Times New Roman" w:hAnsi="Times New Roman"/>
                      <w:b/>
                      <w:bCs/>
                      <w:szCs w:val="24"/>
                      <w:lang w:eastAsia="lt-LT"/>
                    </w:rPr>
                    <w:t>Rangovas privalo atlikti Kovo 11-osios gatvės rekonstravimo darbus iki 2024 m. rugsėjo 31 d.</w:t>
                  </w:r>
                </w:p>
              </w:tc>
            </w:tr>
            <w:tr w:rsidR="009249DB" w:rsidRPr="004F5618" w14:paraId="0C069F38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D764E89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Darbų atlikimo termino pratęsimas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EAFD7D4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6.4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7AF7B5CE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ind w:right="420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netaikoma</w:t>
                  </w:r>
                </w:p>
              </w:tc>
            </w:tr>
            <w:tr w:rsidR="009249DB" w:rsidRPr="004F5618" w14:paraId="497D7B8B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516D2B9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Delspinigiai dėl Darbų vėlavimo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79F09EF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6.7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7B4CB9B6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ind w:right="420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0,02 % Sutarties darbų kainos per dieną </w:t>
                  </w:r>
                </w:p>
              </w:tc>
            </w:tr>
            <w:tr w:rsidR="009249DB" w:rsidRPr="004F5618" w14:paraId="7A24E0E5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DF96A38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Užtikrinimo suma 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46CE7AC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310078BE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ind w:right="420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10 % nuo Sutarties darbų kainos be PVM –  72627,10 </w:t>
                  </w:r>
                  <w:r w:rsidRPr="004F5618">
                    <w:rPr>
                      <w:i/>
                      <w:iCs/>
                      <w:sz w:val="24"/>
                      <w:szCs w:val="24"/>
                    </w:rPr>
                    <w:t>(septyniasdešimt du tūkstančiai šeši šimtai dvidešimt septyni eurai 10 ct)</w:t>
                  </w:r>
                  <w:r w:rsidRPr="004F5618">
                    <w:rPr>
                      <w:sz w:val="24"/>
                      <w:szCs w:val="24"/>
                    </w:rPr>
                    <w:t xml:space="preserve"> eurų</w:t>
                  </w:r>
                </w:p>
              </w:tc>
            </w:tr>
            <w:tr w:rsidR="009249DB" w:rsidRPr="004F5618" w14:paraId="21ABA724" w14:textId="77777777" w:rsidTr="00745F94">
              <w:trPr>
                <w:trHeight w:val="1729"/>
              </w:trPr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3D4A328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lastRenderedPageBreak/>
                    <w:t xml:space="preserve">Garantinio laikotarpio prievolių įvykdymo užtikrinimo dokumentas 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F841A03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49E6AEE5" w14:textId="77777777" w:rsidR="009249DB" w:rsidRPr="004F5618" w:rsidRDefault="009249DB" w:rsidP="00745F94">
                  <w:pPr>
                    <w:spacing w:afterLines="120" w:after="288"/>
                    <w:ind w:right="420"/>
                    <w:rPr>
                      <w:rFonts w:ascii="Times New Roman" w:hAnsi="Times New Roman"/>
                      <w:color w:val="000000"/>
                      <w:spacing w:val="1"/>
                      <w:szCs w:val="24"/>
                    </w:rPr>
                  </w:pPr>
                  <w:r w:rsidRPr="004F5618">
                    <w:rPr>
                      <w:rFonts w:ascii="Times New Roman" w:hAnsi="Times New Roman"/>
                      <w:color w:val="000000"/>
                      <w:spacing w:val="1"/>
                      <w:szCs w:val="24"/>
                    </w:rPr>
                    <w:t xml:space="preserve">- Laidavimas (kartu su laidavimo draudimo apmokėjimą įrodančia dokumento kopija), išduotas draudimo bendrovės, arba </w:t>
                  </w:r>
                </w:p>
                <w:p w14:paraId="31D05DCF" w14:textId="77777777" w:rsidR="009249DB" w:rsidRPr="004F5618" w:rsidRDefault="009249DB" w:rsidP="00745F94">
                  <w:pPr>
                    <w:spacing w:afterLines="120" w:after="288"/>
                    <w:ind w:right="420"/>
                    <w:rPr>
                      <w:rFonts w:ascii="Times New Roman" w:hAnsi="Times New Roman"/>
                      <w:color w:val="000000"/>
                      <w:spacing w:val="1"/>
                      <w:szCs w:val="24"/>
                    </w:rPr>
                  </w:pPr>
                  <w:r w:rsidRPr="004F5618">
                    <w:rPr>
                      <w:rFonts w:ascii="Times New Roman" w:hAnsi="Times New Roman"/>
                      <w:color w:val="000000"/>
                      <w:spacing w:val="1"/>
                      <w:szCs w:val="24"/>
                    </w:rPr>
                    <w:t xml:space="preserve">- Garantija, išduota kredito įstaigos. </w:t>
                  </w:r>
                </w:p>
              </w:tc>
            </w:tr>
            <w:tr w:rsidR="009249DB" w:rsidRPr="004F5618" w14:paraId="54CA6C6F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137DADB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Sutarties darbų kaina, 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6D3E809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A79915C" w14:textId="40A11A73" w:rsidR="009249DB" w:rsidRPr="004F5618" w:rsidRDefault="009249DB" w:rsidP="00745F94">
                  <w:pPr>
                    <w:pStyle w:val="Stilius3"/>
                    <w:spacing w:before="0" w:afterLines="120" w:after="288"/>
                    <w:ind w:right="42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4F5618">
                    <w:rPr>
                      <w:b/>
                      <w:bCs/>
                      <w:sz w:val="24"/>
                      <w:szCs w:val="24"/>
                    </w:rPr>
                    <w:t>8</w:t>
                  </w:r>
                  <w:r w:rsidR="00490F05">
                    <w:rPr>
                      <w:b/>
                      <w:bCs/>
                      <w:sz w:val="24"/>
                      <w:szCs w:val="24"/>
                    </w:rPr>
                    <w:t>95763,63</w:t>
                  </w:r>
                  <w:r w:rsidRPr="004F561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(aštuoni šimtai</w:t>
                  </w:r>
                  <w:r w:rsidR="00490F0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devyniasdešimt penki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tūkstančiai septyni šimtai </w:t>
                  </w:r>
                  <w:r w:rsidR="00490F0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šešiasdešimt trys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eurai </w:t>
                  </w:r>
                  <w:r w:rsidR="00490F0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63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ct) </w:t>
                  </w:r>
                  <w:r w:rsidRPr="004F5618">
                    <w:rPr>
                      <w:b/>
                      <w:bCs/>
                      <w:sz w:val="24"/>
                      <w:szCs w:val="24"/>
                    </w:rPr>
                    <w:t xml:space="preserve">eurų </w:t>
                  </w:r>
                </w:p>
              </w:tc>
            </w:tr>
            <w:tr w:rsidR="009249DB" w:rsidRPr="004F5618" w14:paraId="6DE9FD15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4AEBB62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ind w:left="284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iš kurių PVM sudaro 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E578F5E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3023F13A" w14:textId="646B13D3" w:rsidR="009249DB" w:rsidRPr="004F5618" w:rsidRDefault="009249DB" w:rsidP="00745F94">
                  <w:pPr>
                    <w:pStyle w:val="Stilius3"/>
                    <w:spacing w:before="0" w:afterLines="120" w:after="288"/>
                    <w:ind w:right="420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4F5618">
                    <w:rPr>
                      <w:b/>
                      <w:bCs/>
                      <w:sz w:val="24"/>
                      <w:szCs w:val="24"/>
                    </w:rPr>
                    <w:t>15</w:t>
                  </w:r>
                  <w:r w:rsidR="00490F05">
                    <w:rPr>
                      <w:b/>
                      <w:bCs/>
                      <w:sz w:val="24"/>
                      <w:szCs w:val="24"/>
                    </w:rPr>
                    <w:t>5463,11</w:t>
                  </w:r>
                  <w:r w:rsidRPr="004F561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(šimtas penkiasdešimt </w:t>
                  </w:r>
                  <w:r w:rsidR="00490F0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penki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tūkstančiai </w:t>
                  </w:r>
                  <w:r w:rsidR="00490F0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keturi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šimtai </w:t>
                  </w:r>
                  <w:r w:rsidR="00490F0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šešiasdešimt trys 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eur</w:t>
                  </w:r>
                  <w:r w:rsidR="00490F0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ai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490F05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11</w:t>
                  </w:r>
                  <w:r w:rsidRPr="004F5618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ct) </w:t>
                  </w:r>
                  <w:r w:rsidRPr="004F5618">
                    <w:rPr>
                      <w:b/>
                      <w:bCs/>
                      <w:sz w:val="24"/>
                      <w:szCs w:val="24"/>
                    </w:rPr>
                    <w:t>eurų</w:t>
                  </w:r>
                </w:p>
              </w:tc>
            </w:tr>
            <w:tr w:rsidR="009249DB" w:rsidRPr="004F5618" w14:paraId="10C364D3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49F059D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Išankstinio mokėjimo suma (gavus finansavimą)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3A742F6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2C0928F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netaikoma</w:t>
                  </w:r>
                </w:p>
              </w:tc>
            </w:tr>
            <w:tr w:rsidR="009249DB" w:rsidRPr="004F5618" w14:paraId="07880A57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2FFA335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Atskaitymai nuo kiekvieno tarpinio mokėjimo 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424F6B5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6919380C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netaikoma</w:t>
                  </w:r>
                </w:p>
              </w:tc>
            </w:tr>
            <w:tr w:rsidR="009249DB" w:rsidRPr="004F5618" w14:paraId="5749A51C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9016741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Išankstinio mokėjimo terminas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5E2CC35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9.7.1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38C0CB72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netaikoma</w:t>
                  </w:r>
                </w:p>
              </w:tc>
            </w:tr>
            <w:tr w:rsidR="009249DB" w:rsidRPr="004F5618" w14:paraId="609115E5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F501510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Kitų mokėjimų terminas 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E44E43F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9.7.2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33F53222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45 (keturiasdešimt penkios) kalendorinės dienos</w:t>
                  </w:r>
                </w:p>
              </w:tc>
            </w:tr>
            <w:tr w:rsidR="009249DB" w:rsidRPr="004F5618" w14:paraId="62FD5EB4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901E056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Delspinigiai dėl vėluojančio mokėjimo 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8081D89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9.8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0A61BF87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 xml:space="preserve">0,02 % laiku neapmokėtos sumos per dieną </w:t>
                  </w:r>
                </w:p>
              </w:tc>
            </w:tr>
            <w:tr w:rsidR="009249DB" w:rsidRPr="004F5618" w14:paraId="56A47039" w14:textId="77777777" w:rsidTr="00745F94">
              <w:tc>
                <w:tcPr>
                  <w:tcW w:w="289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D27163A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Bauda už statybos darbų atlikimo ir (ar) lėšų įsisavinimo grafiko nesilaikymą</w:t>
                  </w:r>
                </w:p>
              </w:tc>
              <w:tc>
                <w:tcPr>
                  <w:tcW w:w="99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F8C8C0E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6.8</w:t>
                  </w:r>
                </w:p>
              </w:tc>
              <w:tc>
                <w:tcPr>
                  <w:tcW w:w="499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14:paraId="5DE5DEE2" w14:textId="77777777" w:rsidR="009249DB" w:rsidRPr="004F5618" w:rsidRDefault="009249DB" w:rsidP="00745F94">
                  <w:pPr>
                    <w:pStyle w:val="Stilius3"/>
                    <w:spacing w:before="0" w:afterLines="120" w:after="288"/>
                    <w:jc w:val="left"/>
                    <w:rPr>
                      <w:sz w:val="24"/>
                      <w:szCs w:val="24"/>
                    </w:rPr>
                  </w:pPr>
                  <w:r w:rsidRPr="004F5618">
                    <w:rPr>
                      <w:sz w:val="24"/>
                      <w:szCs w:val="24"/>
                    </w:rPr>
                    <w:t>netaikoma</w:t>
                  </w:r>
                </w:p>
              </w:tc>
            </w:tr>
          </w:tbl>
          <w:p w14:paraId="7D7218AA" w14:textId="77777777" w:rsidR="009249DB" w:rsidRPr="004F5618" w:rsidRDefault="009249DB" w:rsidP="00745F94">
            <w:pPr>
              <w:pStyle w:val="Stilius3"/>
              <w:rPr>
                <w:sz w:val="24"/>
                <w:szCs w:val="24"/>
              </w:rPr>
            </w:pPr>
          </w:p>
        </w:tc>
      </w:tr>
    </w:tbl>
    <w:p w14:paraId="18917E6B" w14:textId="0DF8DDA6" w:rsidR="00D84475" w:rsidRDefault="00D84475" w:rsidP="00F70646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.“</w:t>
      </w:r>
    </w:p>
    <w:p w14:paraId="151AFCC5" w14:textId="7C18DEBA" w:rsidR="00110B92" w:rsidRPr="00EC70AD" w:rsidRDefault="00EC70AD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2. </w:t>
      </w:r>
      <w:r w:rsidR="00D84475">
        <w:rPr>
          <w:rFonts w:ascii="Times New Roman" w:hAnsi="Times New Roman"/>
          <w:color w:val="000000" w:themeColor="text1"/>
          <w:szCs w:val="24"/>
        </w:rPr>
        <w:t>Sutarties pakeitimas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Nr. </w:t>
      </w:r>
      <w:r w:rsidR="009249DB">
        <w:rPr>
          <w:rFonts w:ascii="Times New Roman" w:hAnsi="Times New Roman"/>
          <w:color w:val="000000" w:themeColor="text1"/>
          <w:szCs w:val="24"/>
        </w:rPr>
        <w:t>1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yra neatsiejama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202</w:t>
      </w:r>
      <w:r w:rsidR="009249DB">
        <w:rPr>
          <w:rFonts w:ascii="Times New Roman" w:hAnsi="Times New Roman"/>
          <w:color w:val="000000" w:themeColor="text1"/>
          <w:szCs w:val="24"/>
        </w:rPr>
        <w:t>4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m. </w:t>
      </w:r>
      <w:r w:rsidR="00B25AAC">
        <w:rPr>
          <w:rFonts w:ascii="Times New Roman" w:hAnsi="Times New Roman"/>
          <w:color w:val="000000" w:themeColor="text1"/>
          <w:szCs w:val="24"/>
        </w:rPr>
        <w:t>birželio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</w:t>
      </w:r>
      <w:r w:rsidR="00490F05">
        <w:rPr>
          <w:rFonts w:ascii="Times New Roman" w:hAnsi="Times New Roman"/>
          <w:color w:val="000000" w:themeColor="text1"/>
          <w:szCs w:val="24"/>
        </w:rPr>
        <w:t>5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d.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Sutarties B6(B)</w:t>
      </w:r>
      <w:r w:rsidR="00E81453">
        <w:rPr>
          <w:rFonts w:ascii="Times New Roman" w:hAnsi="Times New Roman"/>
          <w:color w:val="000000" w:themeColor="text1"/>
          <w:szCs w:val="24"/>
        </w:rPr>
        <w:t>-</w:t>
      </w:r>
      <w:r w:rsidR="00490F05">
        <w:rPr>
          <w:rFonts w:ascii="Times New Roman" w:hAnsi="Times New Roman"/>
          <w:color w:val="000000" w:themeColor="text1"/>
          <w:szCs w:val="24"/>
        </w:rPr>
        <w:t>140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dalis.</w:t>
      </w:r>
    </w:p>
    <w:p w14:paraId="3356694D" w14:textId="1234C338" w:rsidR="001A3777" w:rsidRPr="00EC70AD" w:rsidRDefault="00EC70AD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3. 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Šis </w:t>
      </w:r>
      <w:r w:rsidR="00D84475">
        <w:rPr>
          <w:rFonts w:ascii="Times New Roman" w:hAnsi="Times New Roman"/>
          <w:color w:val="000000" w:themeColor="text1"/>
          <w:szCs w:val="24"/>
        </w:rPr>
        <w:t>sutarties pakeitimas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įsigalioja nuo jo pasirašymo momento ir galioja iki visiško Šalių įsipareigojimų pagal šį </w:t>
      </w:r>
      <w:r w:rsidR="00D84475">
        <w:rPr>
          <w:rFonts w:ascii="Times New Roman" w:hAnsi="Times New Roman"/>
          <w:color w:val="000000" w:themeColor="text1"/>
          <w:szCs w:val="24"/>
        </w:rPr>
        <w:t>sutarties pakeitimą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įvykdymo</w:t>
      </w:r>
    </w:p>
    <w:p w14:paraId="68125DBC" w14:textId="77777777" w:rsidR="007A4671" w:rsidRPr="006E7D99" w:rsidRDefault="007A4671" w:rsidP="006E7D99">
      <w:pPr>
        <w:ind w:left="567"/>
        <w:jc w:val="both"/>
        <w:rPr>
          <w:rFonts w:ascii="Times New Roman" w:hAnsi="Times New Roman"/>
          <w:color w:val="000000" w:themeColor="text1"/>
          <w:szCs w:val="24"/>
        </w:rPr>
      </w:pPr>
    </w:p>
    <w:p w14:paraId="40C8DB4B" w14:textId="4C17F025" w:rsidR="00F41639" w:rsidRPr="0058744E" w:rsidRDefault="00F41639" w:rsidP="00EC70AD">
      <w:pPr>
        <w:ind w:firstLine="927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58744E">
        <w:rPr>
          <w:rFonts w:ascii="Times New Roman" w:hAnsi="Times New Roman"/>
          <w:b/>
          <w:bCs/>
          <w:color w:val="000000" w:themeColor="text1"/>
          <w:szCs w:val="24"/>
        </w:rPr>
        <w:t>Šalių rekvizitai ir parašai</w:t>
      </w:r>
    </w:p>
    <w:p w14:paraId="5DD591F7" w14:textId="77777777" w:rsidR="00AE3416" w:rsidRPr="00EC70AD" w:rsidRDefault="00AE3416" w:rsidP="00EC70AD">
      <w:pPr>
        <w:ind w:left="567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390"/>
        <w:gridCol w:w="4610"/>
      </w:tblGrid>
      <w:tr w:rsidR="00AE3416" w:rsidRPr="00EC70AD" w14:paraId="45F413A0" w14:textId="77777777" w:rsidTr="00EC70AD">
        <w:tc>
          <w:tcPr>
            <w:tcW w:w="4390" w:type="dxa"/>
          </w:tcPr>
          <w:p w14:paraId="7E20F33A" w14:textId="77777777" w:rsidR="00AE3416" w:rsidRPr="001F7F0C" w:rsidRDefault="00AE3416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/>
                <w:sz w:val="22"/>
                <w:szCs w:val="22"/>
              </w:rPr>
            </w:pPr>
            <w:r w:rsidRPr="001F7F0C">
              <w:rPr>
                <w:rFonts w:ascii="Times New Roman" w:hAnsi="Times New Roman"/>
                <w:b/>
                <w:sz w:val="22"/>
                <w:szCs w:val="22"/>
              </w:rPr>
              <w:t>Užsakovas</w:t>
            </w:r>
          </w:p>
          <w:p w14:paraId="51200323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Šilalės rajono savivaldybės administracija</w:t>
            </w:r>
          </w:p>
          <w:p w14:paraId="54253459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Kodas 188773720</w:t>
            </w:r>
          </w:p>
          <w:p w14:paraId="325623FB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Registro tvarkytojas – VĮ Registrų centras</w:t>
            </w:r>
          </w:p>
          <w:p w14:paraId="2DAF325F" w14:textId="4DA104BB" w:rsidR="00AE3416" w:rsidRPr="001F7F0C" w:rsidRDefault="00AE3416" w:rsidP="00EC70AD">
            <w:pPr>
              <w:ind w:left="142" w:right="252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Adresas: J. Basanavičiaus g. 2</w:t>
            </w:r>
            <w:r w:rsidR="00926943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-1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, 75138 Šilalė</w:t>
            </w:r>
          </w:p>
          <w:p w14:paraId="352C265A" w14:textId="1CF0CD11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A.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s. Nr. </w:t>
            </w:r>
            <w:r w:rsidRPr="001F7F0C">
              <w:rPr>
                <w:rFonts w:ascii="Times New Roman" w:hAnsi="Times New Roman"/>
                <w:sz w:val="22"/>
                <w:szCs w:val="22"/>
              </w:rPr>
              <w:t xml:space="preserve"> LT</w:t>
            </w:r>
            <w:r w:rsidR="0008591C" w:rsidRPr="001F7F0C">
              <w:rPr>
                <w:rFonts w:ascii="Times New Roman" w:hAnsi="Times New Roman"/>
                <w:sz w:val="22"/>
                <w:szCs w:val="22"/>
              </w:rPr>
              <w:t>524010044500040033</w:t>
            </w:r>
            <w:r w:rsidRPr="001F7F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9C81B3D" w14:textId="7ACD02A8" w:rsidR="00AE3416" w:rsidRPr="001F7F0C" w:rsidRDefault="00EC70AD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„</w:t>
            </w:r>
            <w:r w:rsidR="00AE3416" w:rsidRPr="001F7F0C">
              <w:rPr>
                <w:rFonts w:ascii="Times New Roman" w:hAnsi="Times New Roman"/>
                <w:sz w:val="22"/>
                <w:szCs w:val="22"/>
              </w:rPr>
              <w:t xml:space="preserve">Luminor Bank“, AB </w:t>
            </w:r>
          </w:p>
          <w:p w14:paraId="0CC9FD7B" w14:textId="77777777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Tel. (8 449) 76 114</w:t>
            </w:r>
          </w:p>
          <w:p w14:paraId="3C0E1726" w14:textId="77777777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Faksas (8 449) 76 118</w:t>
            </w:r>
          </w:p>
          <w:p w14:paraId="039AE0E1" w14:textId="0EE8F5A7" w:rsidR="00AE3416" w:rsidRPr="001F7F0C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Elektroninis paštas </w:t>
            </w:r>
            <w:hyperlink r:id="rId6" w:history="1">
              <w:r w:rsidR="00C309E9" w:rsidRPr="001F7F0C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eastAsia="lt-LT"/>
                </w:rPr>
                <w:t>info@silale.lt</w:t>
              </w:r>
            </w:hyperlink>
            <w:r w:rsidR="00C309E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4610" w:type="dxa"/>
          </w:tcPr>
          <w:p w14:paraId="67B1C392" w14:textId="77777777" w:rsidR="00AE3416" w:rsidRPr="001F7F0C" w:rsidRDefault="00AE3416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/>
                <w:sz w:val="22"/>
                <w:szCs w:val="22"/>
              </w:rPr>
            </w:pPr>
            <w:r w:rsidRPr="001F7F0C">
              <w:rPr>
                <w:rFonts w:ascii="Times New Roman" w:hAnsi="Times New Roman"/>
                <w:b/>
                <w:sz w:val="22"/>
                <w:szCs w:val="22"/>
              </w:rPr>
              <w:t>Rangovas</w:t>
            </w:r>
          </w:p>
          <w:p w14:paraId="29A89BD8" w14:textId="01455DC6" w:rsidR="00AE3416" w:rsidRPr="001F7F0C" w:rsidRDefault="00FA52C3" w:rsidP="00EC70AD">
            <w:pPr>
              <w:ind w:left="142" w:right="252"/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U</w:t>
            </w:r>
            <w:r w:rsidR="00AE3416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 xml:space="preserve">AB </w:t>
            </w:r>
            <w:r w:rsidR="00EC70AD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„</w:t>
            </w:r>
            <w:r w:rsidR="00FA097F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Kvėdarsta</w:t>
            </w:r>
            <w:r w:rsidR="00EC70AD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“</w:t>
            </w:r>
          </w:p>
          <w:p w14:paraId="446F8536" w14:textId="0C570CB2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val="en-US"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Kodas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176597054</w:t>
            </w:r>
          </w:p>
          <w:p w14:paraId="055636FF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Registro tvarkytojas – VĮ Registrų centras</w:t>
            </w:r>
          </w:p>
          <w:p w14:paraId="2CC611C5" w14:textId="44DB8EF7" w:rsidR="00E5752F" w:rsidRPr="001F7F0C" w:rsidRDefault="00AE3416" w:rsidP="00E5752F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Adresas: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K. Jauniaus g. 13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, 75115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Kvėdarna</w:t>
            </w:r>
          </w:p>
          <w:p w14:paraId="2BD4D278" w14:textId="4DA42413" w:rsidR="00AE3416" w:rsidRPr="001F7F0C" w:rsidRDefault="00E5752F" w:rsidP="00E5752F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Ši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lalės r.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1E9B00DD" w14:textId="1DDA699E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A.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s. Nr. L</w:t>
            </w:r>
            <w:r w:rsidR="00D02685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524010044500010254</w:t>
            </w:r>
          </w:p>
          <w:p w14:paraId="3B7CEBC3" w14:textId="38D18A27" w:rsidR="00AE3416" w:rsidRPr="001F7F0C" w:rsidRDefault="00EC70AD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„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Luminor Bank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“,</w:t>
            </w:r>
            <w:r w:rsidR="00AE3416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AB</w:t>
            </w:r>
          </w:p>
          <w:p w14:paraId="426D6AA3" w14:textId="3414764D" w:rsidR="00AE3416" w:rsidRPr="001F7F0C" w:rsidRDefault="00634DC7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Tel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.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(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8</w:t>
            </w:r>
            <w:r w:rsidR="0025443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44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9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)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55260</w:t>
            </w:r>
          </w:p>
          <w:p w14:paraId="7AA0BE09" w14:textId="4BB2292B" w:rsidR="00AE3416" w:rsidRPr="00FA097F" w:rsidRDefault="00EC70AD" w:rsidP="00EC70AD">
            <w:pPr>
              <w:ind w:left="142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n-US"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Elektroninis paštas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: </w:t>
            </w:r>
            <w:proofErr w:type="spellStart"/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kvedarsta</w:t>
            </w:r>
            <w:proofErr w:type="spellEnd"/>
            <w:r w:rsidR="00FA097F">
              <w:rPr>
                <w:rFonts w:ascii="Times New Roman" w:hAnsi="Times New Roman"/>
                <w:sz w:val="22"/>
                <w:szCs w:val="22"/>
                <w:lang w:val="en-US" w:eastAsia="lt-LT"/>
              </w:rPr>
              <w:t>@kvedarsta.lt</w:t>
            </w:r>
          </w:p>
          <w:p w14:paraId="4C67D21A" w14:textId="77777777" w:rsidR="00AE3416" w:rsidRPr="004F6BDE" w:rsidRDefault="00AE3416" w:rsidP="00EC70AD">
            <w:pPr>
              <w:ind w:left="142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</w:tbl>
    <w:p w14:paraId="5280DC02" w14:textId="77777777" w:rsidR="00AE3416" w:rsidRPr="00EC70AD" w:rsidRDefault="00AE3416" w:rsidP="00EC70AD">
      <w:pPr>
        <w:ind w:left="142"/>
        <w:rPr>
          <w:rFonts w:ascii="Times New Roman" w:hAnsi="Times New Roman"/>
          <w:b/>
          <w:bCs/>
          <w:sz w:val="22"/>
          <w:szCs w:val="22"/>
          <w:lang w:eastAsia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680"/>
        <w:gridCol w:w="4347"/>
      </w:tblGrid>
      <w:tr w:rsidR="00AE3416" w:rsidRPr="00EC70AD" w14:paraId="52BD1246" w14:textId="77777777" w:rsidTr="00AE7656">
        <w:tc>
          <w:tcPr>
            <w:tcW w:w="4680" w:type="dxa"/>
          </w:tcPr>
          <w:p w14:paraId="4215EB96" w14:textId="017ECCC0" w:rsidR="00C83886" w:rsidRPr="00E5752F" w:rsidRDefault="00254439" w:rsidP="00254439">
            <w:pPr>
              <w:tabs>
                <w:tab w:val="num" w:pos="907"/>
              </w:tabs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A</w:t>
            </w:r>
            <w:r w:rsidR="00C83886" w:rsidRPr="00E5752F">
              <w:rPr>
                <w:rFonts w:ascii="Times New Roman" w:hAnsi="Times New Roman"/>
                <w:bCs/>
                <w:sz w:val="22"/>
                <w:szCs w:val="22"/>
              </w:rPr>
              <w:t xml:space="preserve">dministracijos direktorius </w:t>
            </w:r>
          </w:p>
          <w:p w14:paraId="5C41878C" w14:textId="326909A4" w:rsidR="00C83886" w:rsidRPr="00E5752F" w:rsidRDefault="003F52D9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Andrius Jančauskas</w:t>
            </w:r>
          </w:p>
          <w:p w14:paraId="703D154F" w14:textId="77777777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______</w:t>
            </w:r>
          </w:p>
          <w:p w14:paraId="2B5D7EB0" w14:textId="77777777" w:rsidR="00C953A9" w:rsidRDefault="00AE3416" w:rsidP="00C953A9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( parašas)</w:t>
            </w: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072D6222" w14:textId="305AEDB1" w:rsidR="00AE3416" w:rsidRPr="00EC70AD" w:rsidRDefault="00AE3416" w:rsidP="00C953A9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A. V.</w:t>
            </w:r>
          </w:p>
        </w:tc>
        <w:tc>
          <w:tcPr>
            <w:tcW w:w="4347" w:type="dxa"/>
          </w:tcPr>
          <w:p w14:paraId="2858C115" w14:textId="66E4C9F8" w:rsidR="00EC70AD" w:rsidRPr="00E5752F" w:rsidRDefault="00991E71" w:rsidP="00EC70AD">
            <w:pPr>
              <w:tabs>
                <w:tab w:val="num" w:pos="90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t>U</w:t>
            </w:r>
            <w:r w:rsidR="00AE3416" w:rsidRPr="00E5752F">
              <w:rPr>
                <w:rFonts w:ascii="Times New Roman" w:hAnsi="Times New Roman"/>
                <w:bCs/>
                <w:sz w:val="22"/>
                <w:szCs w:val="22"/>
              </w:rPr>
              <w:t>AB „</w:t>
            </w:r>
            <w:r w:rsidR="00FA097F">
              <w:rPr>
                <w:rFonts w:ascii="Times New Roman" w:hAnsi="Times New Roman"/>
                <w:bCs/>
                <w:sz w:val="22"/>
                <w:szCs w:val="22"/>
              </w:rPr>
              <w:t>Kvėdarsta</w:t>
            </w:r>
            <w:r w:rsidR="00AE3416" w:rsidRPr="00E5752F">
              <w:rPr>
                <w:rFonts w:ascii="Times New Roman" w:hAnsi="Times New Roman"/>
                <w:bCs/>
                <w:sz w:val="22"/>
                <w:szCs w:val="22"/>
              </w:rPr>
              <w:t xml:space="preserve">“ </w:t>
            </w: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t>direktorius</w:t>
            </w:r>
          </w:p>
          <w:p w14:paraId="731A68F9" w14:textId="266B1B50" w:rsidR="00AE3416" w:rsidRPr="00E5752F" w:rsidRDefault="00490F05" w:rsidP="00EC70AD">
            <w:pPr>
              <w:tabs>
                <w:tab w:val="num" w:pos="90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Darius</w:t>
            </w:r>
            <w:r w:rsidR="00FA097F">
              <w:rPr>
                <w:rFonts w:ascii="Times New Roman" w:hAnsi="Times New Roman"/>
                <w:bCs/>
                <w:sz w:val="22"/>
                <w:szCs w:val="22"/>
              </w:rPr>
              <w:t xml:space="preserve"> Navardauskas</w:t>
            </w:r>
          </w:p>
          <w:p w14:paraId="617BD57E" w14:textId="30C16336" w:rsidR="00991E71" w:rsidRDefault="00991E71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73A0241" w14:textId="65720021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___________</w:t>
            </w:r>
          </w:p>
          <w:p w14:paraId="677563BC" w14:textId="3C35D3DE" w:rsidR="00AE3416" w:rsidRPr="00EC70AD" w:rsidRDefault="00E701DD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(</w:t>
            </w:r>
            <w:r w:rsidR="00AE3416"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 parašas)</w:t>
            </w:r>
            <w:r w:rsidR="00AE3416"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1D800142" w14:textId="77777777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A. V.</w:t>
            </w:r>
          </w:p>
        </w:tc>
      </w:tr>
    </w:tbl>
    <w:p w14:paraId="5A6FEC11" w14:textId="77777777" w:rsidR="00D76158" w:rsidRPr="00346529" w:rsidRDefault="00D76158" w:rsidP="009A45DF">
      <w:pPr>
        <w:rPr>
          <w:rFonts w:ascii="Times New Roman" w:hAnsi="Times New Roman"/>
        </w:rPr>
      </w:pPr>
    </w:p>
    <w:sectPr w:rsidR="00D76158" w:rsidRPr="00346529" w:rsidSect="009A45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1556"/>
    <w:multiLevelType w:val="hybridMultilevel"/>
    <w:tmpl w:val="3184E02E"/>
    <w:lvl w:ilvl="0" w:tplc="72B27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505C90"/>
    <w:multiLevelType w:val="hybridMultilevel"/>
    <w:tmpl w:val="C2747846"/>
    <w:lvl w:ilvl="0" w:tplc="9B9AD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6058478">
    <w:abstractNumId w:val="0"/>
  </w:num>
  <w:num w:numId="2" w16cid:durableId="972902585">
    <w:abstractNumId w:val="1"/>
  </w:num>
  <w:num w:numId="3" w16cid:durableId="1493639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485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9"/>
    <w:rsid w:val="00034789"/>
    <w:rsid w:val="0006430F"/>
    <w:rsid w:val="00067A2C"/>
    <w:rsid w:val="000765CF"/>
    <w:rsid w:val="000818F4"/>
    <w:rsid w:val="0008591C"/>
    <w:rsid w:val="00090B3F"/>
    <w:rsid w:val="00091E14"/>
    <w:rsid w:val="00092F30"/>
    <w:rsid w:val="000A79AC"/>
    <w:rsid w:val="00110B92"/>
    <w:rsid w:val="00116EE1"/>
    <w:rsid w:val="001251AD"/>
    <w:rsid w:val="00141FC0"/>
    <w:rsid w:val="00153F40"/>
    <w:rsid w:val="00165D79"/>
    <w:rsid w:val="0018311E"/>
    <w:rsid w:val="001879FF"/>
    <w:rsid w:val="00190059"/>
    <w:rsid w:val="001A3777"/>
    <w:rsid w:val="001A416E"/>
    <w:rsid w:val="001B3921"/>
    <w:rsid w:val="001B6B49"/>
    <w:rsid w:val="001D3F81"/>
    <w:rsid w:val="001E3DE3"/>
    <w:rsid w:val="001F22EF"/>
    <w:rsid w:val="001F7F0C"/>
    <w:rsid w:val="00225FEC"/>
    <w:rsid w:val="00254439"/>
    <w:rsid w:val="00263955"/>
    <w:rsid w:val="002769F8"/>
    <w:rsid w:val="00276F7B"/>
    <w:rsid w:val="0028214C"/>
    <w:rsid w:val="002952A5"/>
    <w:rsid w:val="002A1824"/>
    <w:rsid w:val="002D4C17"/>
    <w:rsid w:val="002F1DDC"/>
    <w:rsid w:val="00307D0B"/>
    <w:rsid w:val="00310BC5"/>
    <w:rsid w:val="00346529"/>
    <w:rsid w:val="003739C5"/>
    <w:rsid w:val="00375680"/>
    <w:rsid w:val="00380EF0"/>
    <w:rsid w:val="003979F3"/>
    <w:rsid w:val="003A185A"/>
    <w:rsid w:val="003D0B00"/>
    <w:rsid w:val="003D1633"/>
    <w:rsid w:val="003D41A4"/>
    <w:rsid w:val="003E2CC6"/>
    <w:rsid w:val="003F52D9"/>
    <w:rsid w:val="00422272"/>
    <w:rsid w:val="00443DF9"/>
    <w:rsid w:val="004713FA"/>
    <w:rsid w:val="00475018"/>
    <w:rsid w:val="00485130"/>
    <w:rsid w:val="00490F05"/>
    <w:rsid w:val="004933C4"/>
    <w:rsid w:val="004A2D69"/>
    <w:rsid w:val="004A3646"/>
    <w:rsid w:val="004E19B2"/>
    <w:rsid w:val="004F6BDE"/>
    <w:rsid w:val="00516E7C"/>
    <w:rsid w:val="00524C56"/>
    <w:rsid w:val="00547081"/>
    <w:rsid w:val="005825B2"/>
    <w:rsid w:val="0058744E"/>
    <w:rsid w:val="005907F4"/>
    <w:rsid w:val="00591D99"/>
    <w:rsid w:val="0059209E"/>
    <w:rsid w:val="005D11FF"/>
    <w:rsid w:val="005D30E3"/>
    <w:rsid w:val="005E737A"/>
    <w:rsid w:val="006139CB"/>
    <w:rsid w:val="00617974"/>
    <w:rsid w:val="00634DC7"/>
    <w:rsid w:val="006356E4"/>
    <w:rsid w:val="00644055"/>
    <w:rsid w:val="00663634"/>
    <w:rsid w:val="006714F6"/>
    <w:rsid w:val="006A6576"/>
    <w:rsid w:val="006C3D9A"/>
    <w:rsid w:val="006E7D99"/>
    <w:rsid w:val="00701931"/>
    <w:rsid w:val="0070412E"/>
    <w:rsid w:val="00704EDC"/>
    <w:rsid w:val="00711341"/>
    <w:rsid w:val="007263E7"/>
    <w:rsid w:val="00746B63"/>
    <w:rsid w:val="00753AAE"/>
    <w:rsid w:val="007878B3"/>
    <w:rsid w:val="007A4671"/>
    <w:rsid w:val="007A4674"/>
    <w:rsid w:val="007A50B9"/>
    <w:rsid w:val="007C71CF"/>
    <w:rsid w:val="007D39EF"/>
    <w:rsid w:val="007F413E"/>
    <w:rsid w:val="00830135"/>
    <w:rsid w:val="00844E4B"/>
    <w:rsid w:val="00851D8D"/>
    <w:rsid w:val="008727F2"/>
    <w:rsid w:val="008A5688"/>
    <w:rsid w:val="008B5E35"/>
    <w:rsid w:val="008B5E73"/>
    <w:rsid w:val="008F30D5"/>
    <w:rsid w:val="009249DB"/>
    <w:rsid w:val="00926943"/>
    <w:rsid w:val="009313D9"/>
    <w:rsid w:val="00945884"/>
    <w:rsid w:val="009525DB"/>
    <w:rsid w:val="00991E71"/>
    <w:rsid w:val="009961D1"/>
    <w:rsid w:val="009A45DF"/>
    <w:rsid w:val="009D2163"/>
    <w:rsid w:val="009D4056"/>
    <w:rsid w:val="009D5D73"/>
    <w:rsid w:val="009F687F"/>
    <w:rsid w:val="00A306D0"/>
    <w:rsid w:val="00A36551"/>
    <w:rsid w:val="00A478DB"/>
    <w:rsid w:val="00A47B57"/>
    <w:rsid w:val="00A654E3"/>
    <w:rsid w:val="00A815FB"/>
    <w:rsid w:val="00A94C0D"/>
    <w:rsid w:val="00A957EE"/>
    <w:rsid w:val="00AA68FE"/>
    <w:rsid w:val="00AB58B5"/>
    <w:rsid w:val="00AE3416"/>
    <w:rsid w:val="00AE7656"/>
    <w:rsid w:val="00B04BD7"/>
    <w:rsid w:val="00B25AAC"/>
    <w:rsid w:val="00B27A1A"/>
    <w:rsid w:val="00B315EC"/>
    <w:rsid w:val="00B33FFB"/>
    <w:rsid w:val="00BA1A5D"/>
    <w:rsid w:val="00BC1C7D"/>
    <w:rsid w:val="00BC4427"/>
    <w:rsid w:val="00BF2F6B"/>
    <w:rsid w:val="00C071B9"/>
    <w:rsid w:val="00C309E9"/>
    <w:rsid w:val="00C604F1"/>
    <w:rsid w:val="00C64E7D"/>
    <w:rsid w:val="00C83886"/>
    <w:rsid w:val="00C83907"/>
    <w:rsid w:val="00C953A9"/>
    <w:rsid w:val="00C95809"/>
    <w:rsid w:val="00CA2377"/>
    <w:rsid w:val="00CA368A"/>
    <w:rsid w:val="00CC2868"/>
    <w:rsid w:val="00CD36BF"/>
    <w:rsid w:val="00D02685"/>
    <w:rsid w:val="00D33888"/>
    <w:rsid w:val="00D40323"/>
    <w:rsid w:val="00D456D1"/>
    <w:rsid w:val="00D76158"/>
    <w:rsid w:val="00D84475"/>
    <w:rsid w:val="00D847BB"/>
    <w:rsid w:val="00DA5517"/>
    <w:rsid w:val="00DD3760"/>
    <w:rsid w:val="00DE0C4C"/>
    <w:rsid w:val="00DE1E04"/>
    <w:rsid w:val="00DE247F"/>
    <w:rsid w:val="00E14D77"/>
    <w:rsid w:val="00E52389"/>
    <w:rsid w:val="00E56E7A"/>
    <w:rsid w:val="00E5752F"/>
    <w:rsid w:val="00E62952"/>
    <w:rsid w:val="00E66CFE"/>
    <w:rsid w:val="00E701DD"/>
    <w:rsid w:val="00E705B8"/>
    <w:rsid w:val="00E81453"/>
    <w:rsid w:val="00E94519"/>
    <w:rsid w:val="00EC16D7"/>
    <w:rsid w:val="00EC6056"/>
    <w:rsid w:val="00EC70AD"/>
    <w:rsid w:val="00F41639"/>
    <w:rsid w:val="00F44654"/>
    <w:rsid w:val="00F64213"/>
    <w:rsid w:val="00F64348"/>
    <w:rsid w:val="00F70646"/>
    <w:rsid w:val="00F744CB"/>
    <w:rsid w:val="00F868F0"/>
    <w:rsid w:val="00F947A9"/>
    <w:rsid w:val="00FA097F"/>
    <w:rsid w:val="00FA52C3"/>
    <w:rsid w:val="00FC4D9E"/>
    <w:rsid w:val="00FF2AC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4A26"/>
  <w15:chartTrackingRefBased/>
  <w15:docId w15:val="{770440C9-55DB-4DEA-8C3C-C56A53A5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63"/>
    <w:pP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2163"/>
    <w:rPr>
      <w:b/>
      <w:bCs/>
    </w:rPr>
  </w:style>
  <w:style w:type="paragraph" w:styleId="ListParagraph">
    <w:name w:val="List Paragraph"/>
    <w:basedOn w:val="Normal"/>
    <w:uiPriority w:val="34"/>
    <w:qFormat/>
    <w:rsid w:val="009D2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4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4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4DC7"/>
    <w:rPr>
      <w:color w:val="605E5C"/>
      <w:shd w:val="clear" w:color="auto" w:fill="E1DFDD"/>
    </w:rPr>
  </w:style>
  <w:style w:type="paragraph" w:customStyle="1" w:styleId="Sraopastraipa1">
    <w:name w:val="Sąrašo pastraipa1"/>
    <w:basedOn w:val="Normal"/>
    <w:qFormat/>
    <w:rsid w:val="00EC6056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Stilius3">
    <w:name w:val="Stilius3"/>
    <w:basedOn w:val="Normal"/>
    <w:qFormat/>
    <w:rsid w:val="00EC6056"/>
    <w:pPr>
      <w:overflowPunct/>
      <w:autoSpaceDE/>
      <w:autoSpaceDN/>
      <w:adjustRightInd/>
      <w:spacing w:before="200"/>
      <w:jc w:val="both"/>
      <w:textAlignment w:val="auto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lale.lt" TargetMode="External"/><Relationship Id="rId5" Type="http://schemas.openxmlformats.org/officeDocument/2006/relationships/hyperlink" Target="mailto:saulius.liatukas@silal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2682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2021-09-16T10:02:00Z</cp:lastPrinted>
  <dcterms:created xsi:type="dcterms:W3CDTF">2023-05-18T11:18:00Z</dcterms:created>
  <dcterms:modified xsi:type="dcterms:W3CDTF">2025-05-05T13:37:00Z</dcterms:modified>
</cp:coreProperties>
</file>