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498F1" w14:textId="77777777" w:rsidR="00A27460" w:rsidRDefault="00A311F8">
      <w:pPr>
        <w:rPr>
          <w:lang w:val="lt-LT" w:eastAsia="ar-SA"/>
        </w:rPr>
      </w:pPr>
      <w:r>
        <w:rPr>
          <w:b/>
          <w:bCs/>
          <w:lang w:val="lt-LT" w:eastAsia="ar-SA"/>
        </w:rPr>
        <w:t xml:space="preserve">                                                                                                          </w:t>
      </w:r>
      <w:r>
        <w:rPr>
          <w:lang w:val="lt-LT" w:eastAsia="ar-SA"/>
        </w:rPr>
        <w:t xml:space="preserve">Viešojo pirkimo paraiškos  </w:t>
      </w:r>
    </w:p>
    <w:p w14:paraId="6A7C110B" w14:textId="77777777" w:rsidR="00A27460" w:rsidRDefault="00A311F8">
      <w:pPr>
        <w:widowControl w:val="0"/>
        <w:jc w:val="center"/>
        <w:outlineLvl w:val="0"/>
        <w:rPr>
          <w:rFonts w:eastAsia="Calibri"/>
          <w:lang w:val="lt-LT" w:eastAsia="en-US"/>
        </w:rPr>
      </w:pPr>
      <w:r>
        <w:rPr>
          <w:lang w:val="lt-LT" w:eastAsia="ar-SA"/>
        </w:rPr>
        <w:t xml:space="preserve">                                                                           Priedas Nr. 1                                                                                                                                    </w:t>
      </w:r>
    </w:p>
    <w:p w14:paraId="34A6B561" w14:textId="77777777" w:rsidR="00A27460" w:rsidRDefault="00A27460">
      <w:pPr>
        <w:widowControl w:val="0"/>
        <w:jc w:val="center"/>
        <w:outlineLvl w:val="0"/>
        <w:rPr>
          <w:rFonts w:eastAsia="Calibri"/>
          <w:lang w:val="lt-LT" w:eastAsia="en-US"/>
        </w:rPr>
      </w:pPr>
    </w:p>
    <w:p w14:paraId="7A8910AB" w14:textId="77777777" w:rsidR="00A27460" w:rsidRDefault="00A27460">
      <w:pPr>
        <w:widowControl w:val="0"/>
        <w:jc w:val="center"/>
        <w:outlineLvl w:val="0"/>
        <w:rPr>
          <w:rFonts w:eastAsia="Calibri"/>
          <w:lang w:val="lt-LT" w:eastAsia="en-US"/>
        </w:rPr>
      </w:pPr>
    </w:p>
    <w:p w14:paraId="7751666E" w14:textId="77777777" w:rsidR="00A27460" w:rsidRDefault="00A27460">
      <w:pPr>
        <w:widowControl w:val="0"/>
        <w:jc w:val="center"/>
        <w:outlineLvl w:val="0"/>
        <w:rPr>
          <w:rFonts w:eastAsia="Calibri"/>
          <w:b/>
          <w:bCs/>
          <w:lang w:val="lt-LT" w:eastAsia="en-US"/>
        </w:rPr>
      </w:pPr>
    </w:p>
    <w:p w14:paraId="08D382F9" w14:textId="77777777" w:rsidR="00A27460" w:rsidRDefault="00A311F8">
      <w:pPr>
        <w:widowControl w:val="0"/>
        <w:jc w:val="center"/>
        <w:outlineLvl w:val="0"/>
        <w:rPr>
          <w:b/>
          <w:bCs/>
          <w:lang w:val="lt-LT"/>
        </w:rPr>
      </w:pPr>
      <w:r>
        <w:rPr>
          <w:b/>
          <w:bCs/>
          <w:lang w:val="lt-LT"/>
        </w:rPr>
        <w:t>VšĮ ANYKŠČIŲ RAJONO SAVIVALDYBĖS PIRMINĖS SVEIKATOS PRIEŽIŪROS CENTRAS</w:t>
      </w:r>
    </w:p>
    <w:p w14:paraId="35544B6C" w14:textId="77777777" w:rsidR="00A27460" w:rsidRDefault="00A311F8">
      <w:pPr>
        <w:widowControl w:val="0"/>
        <w:jc w:val="center"/>
        <w:outlineLvl w:val="0"/>
        <w:rPr>
          <w:b/>
          <w:bCs/>
          <w:lang w:val="lt-LT"/>
        </w:rPr>
      </w:pPr>
      <w:r>
        <w:rPr>
          <w:b/>
          <w:bCs/>
          <w:lang w:val="lt-LT"/>
        </w:rPr>
        <w:t>TECHNINĖ SPECIFIKACIJA</w:t>
      </w:r>
    </w:p>
    <w:p w14:paraId="7DDE3437" w14:textId="77777777" w:rsidR="00A27460" w:rsidRDefault="00A27460">
      <w:pPr>
        <w:widowControl w:val="0"/>
        <w:jc w:val="center"/>
        <w:rPr>
          <w:lang w:val="lt-LT"/>
        </w:rPr>
      </w:pPr>
    </w:p>
    <w:p w14:paraId="508614D8" w14:textId="77777777" w:rsidR="00A27460" w:rsidRDefault="00A311F8">
      <w:pPr>
        <w:jc w:val="center"/>
        <w:rPr>
          <w:lang w:val="lt-LT"/>
        </w:rPr>
      </w:pPr>
      <w:r>
        <w:rPr>
          <w:lang w:val="lt-LT"/>
        </w:rPr>
        <w:t xml:space="preserve">2025 m. </w:t>
      </w:r>
      <w:r>
        <w:t xml:space="preserve">balandžio 2 d. </w:t>
      </w:r>
      <w:r>
        <w:rPr>
          <w:lang w:val="lt-LT"/>
        </w:rPr>
        <w:t>Nr. S-423-5.19</w:t>
      </w:r>
    </w:p>
    <w:p w14:paraId="42DA8DD7" w14:textId="77777777" w:rsidR="00A27460" w:rsidRDefault="00A311F8">
      <w:pPr>
        <w:jc w:val="center"/>
        <w:rPr>
          <w:lang w:val="lt-LT"/>
        </w:rPr>
      </w:pPr>
      <w:r>
        <w:rPr>
          <w:lang w:val="lt-LT"/>
        </w:rPr>
        <w:t>Anykščiai</w:t>
      </w:r>
    </w:p>
    <w:p w14:paraId="5580561C" w14:textId="77777777" w:rsidR="00A27460" w:rsidRDefault="00A27460">
      <w:pPr>
        <w:widowControl w:val="0"/>
        <w:jc w:val="both"/>
        <w:rPr>
          <w:bCs/>
          <w:color w:val="000000"/>
          <w:lang w:val="lt-LT"/>
        </w:rPr>
      </w:pPr>
    </w:p>
    <w:p w14:paraId="37744451" w14:textId="77777777" w:rsidR="00A27460" w:rsidRDefault="00A27460">
      <w:pPr>
        <w:widowControl w:val="0"/>
        <w:jc w:val="both"/>
        <w:rPr>
          <w:bCs/>
          <w:color w:val="000000"/>
          <w:lang w:val="lt-LT"/>
        </w:rPr>
      </w:pPr>
    </w:p>
    <w:tbl>
      <w:tblPr>
        <w:tblW w:w="9617" w:type="dxa"/>
        <w:tblLayout w:type="fixed"/>
        <w:tblLook w:val="04A0" w:firstRow="1" w:lastRow="0" w:firstColumn="1" w:lastColumn="0" w:noHBand="0" w:noVBand="1"/>
      </w:tblPr>
      <w:tblGrid>
        <w:gridCol w:w="9617"/>
      </w:tblGrid>
      <w:tr w:rsidR="00A27460" w14:paraId="451C708A" w14:textId="77777777">
        <w:trPr>
          <w:cantSplit/>
          <w:trHeight w:val="421"/>
        </w:trPr>
        <w:tc>
          <w:tcPr>
            <w:tcW w:w="96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6DB098" w14:textId="77777777" w:rsidR="00A27460" w:rsidRDefault="00A311F8">
            <w:pPr>
              <w:tabs>
                <w:tab w:val="left" w:pos="319"/>
              </w:tabs>
              <w:ind w:firstLine="319"/>
              <w:contextualSpacing/>
              <w:jc w:val="both"/>
              <w:rPr>
                <w:b/>
                <w:lang w:val="lt-LT"/>
              </w:rPr>
            </w:pPr>
            <w:r>
              <w:rPr>
                <w:b/>
                <w:lang w:val="lt-LT"/>
              </w:rPr>
              <w:t>Pirkimo objekto pavadinimas</w:t>
            </w:r>
          </w:p>
        </w:tc>
      </w:tr>
      <w:tr w:rsidR="00A27460" w14:paraId="422C171B" w14:textId="77777777">
        <w:trPr>
          <w:cantSplit/>
          <w:trHeight w:val="366"/>
        </w:trPr>
        <w:tc>
          <w:tcPr>
            <w:tcW w:w="96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163640" w14:textId="77777777" w:rsidR="00A27460" w:rsidRDefault="00A311F8">
            <w:pPr>
              <w:ind w:firstLine="319"/>
              <w:contextualSpacing/>
              <w:jc w:val="both"/>
              <w:rPr>
                <w:bCs/>
                <w:lang w:val="lt-LT"/>
              </w:rPr>
            </w:pPr>
            <w:r>
              <w:rPr>
                <w:b/>
                <w:lang w:val="lt-LT"/>
              </w:rPr>
              <w:t>Biocheminių, mikrobiologinių, klinikinių tyrimų  paslaugų pirkimas</w:t>
            </w:r>
          </w:p>
        </w:tc>
      </w:tr>
      <w:tr w:rsidR="00A27460" w14:paraId="1E2D62FA" w14:textId="77777777">
        <w:trPr>
          <w:cantSplit/>
          <w:trHeight w:val="662"/>
        </w:trPr>
        <w:tc>
          <w:tcPr>
            <w:tcW w:w="96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7F4957" w14:textId="77777777" w:rsidR="00A27460" w:rsidRDefault="00A311F8">
            <w:pPr>
              <w:tabs>
                <w:tab w:val="left" w:pos="319"/>
              </w:tabs>
              <w:ind w:firstLine="319"/>
              <w:contextualSpacing/>
              <w:jc w:val="both"/>
              <w:rPr>
                <w:b/>
                <w:lang w:val="lt-LT"/>
              </w:rPr>
            </w:pPr>
            <w:r>
              <w:rPr>
                <w:b/>
                <w:lang w:val="lt-LT"/>
              </w:rPr>
              <w:t>Pirkimo objekto aprašymas ir pirkimo objektui keliami reikalavimai</w:t>
            </w:r>
            <w:r>
              <w:rPr>
                <w:lang w:val="lt-LT"/>
              </w:rPr>
              <w:t xml:space="preserve"> (</w:t>
            </w:r>
            <w:r>
              <w:rPr>
                <w:i/>
                <w:lang w:val="lt-LT"/>
              </w:rPr>
              <w:t>ketinamų pirkti prekių, paslaugų ar darbų savybės, kokybės reikalavimai)</w:t>
            </w:r>
          </w:p>
        </w:tc>
      </w:tr>
      <w:tr w:rsidR="00A27460" w14:paraId="4291865D" w14:textId="77777777">
        <w:trPr>
          <w:cantSplit/>
          <w:trHeight w:val="366"/>
        </w:trPr>
        <w:tc>
          <w:tcPr>
            <w:tcW w:w="96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3AD887" w14:textId="77777777" w:rsidR="00A27460" w:rsidRDefault="00A311F8">
            <w:pPr>
              <w:ind w:firstLine="319"/>
              <w:contextualSpacing/>
              <w:jc w:val="both"/>
              <w:rPr>
                <w:lang w:val="lt-LT"/>
              </w:rPr>
            </w:pPr>
            <w:r>
              <w:rPr>
                <w:lang w:val="lt-LT"/>
              </w:rPr>
              <w:t>Šiuo pirkimu Anykščių PSPC ketina pirkti biocheminių, mikrobiologinių klinikinių tyrimų  paslaugas</w:t>
            </w:r>
          </w:p>
        </w:tc>
      </w:tr>
      <w:tr w:rsidR="00A27460" w14:paraId="1BCF07D5" w14:textId="77777777">
        <w:trPr>
          <w:cantSplit/>
          <w:trHeight w:val="662"/>
        </w:trPr>
        <w:tc>
          <w:tcPr>
            <w:tcW w:w="96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DC7706" w14:textId="77777777" w:rsidR="00A27460" w:rsidRDefault="00A311F8">
            <w:pPr>
              <w:tabs>
                <w:tab w:val="left" w:pos="319"/>
              </w:tabs>
              <w:ind w:firstLine="319"/>
              <w:contextualSpacing/>
              <w:jc w:val="both"/>
              <w:rPr>
                <w:b/>
                <w:lang w:val="lt-LT"/>
              </w:rPr>
            </w:pPr>
            <w:r>
              <w:rPr>
                <w:b/>
                <w:bCs/>
                <w:color w:val="000000"/>
                <w:lang w:val="lt-LT"/>
              </w:rPr>
              <w:t>Pirkimo objekto k</w:t>
            </w:r>
            <w:r>
              <w:rPr>
                <w:b/>
                <w:lang w:val="lt-LT"/>
              </w:rPr>
              <w:t xml:space="preserve">iekis ar apimtys </w:t>
            </w:r>
            <w:r>
              <w:rPr>
                <w:i/>
                <w:lang w:val="lt-LT"/>
              </w:rPr>
              <w:t>(atsižvelgiant į visą pirkimo sutarties trukmę su galimais pratęsimais)</w:t>
            </w:r>
          </w:p>
        </w:tc>
      </w:tr>
      <w:tr w:rsidR="00A27460" w14:paraId="056E101B" w14:textId="77777777">
        <w:trPr>
          <w:cantSplit/>
          <w:trHeight w:val="366"/>
        </w:trPr>
        <w:tc>
          <w:tcPr>
            <w:tcW w:w="9617" w:type="dxa"/>
            <w:tcBorders>
              <w:top w:val="single" w:sz="4" w:space="0" w:color="000000"/>
              <w:left w:val="single" w:sz="4" w:space="0" w:color="000000"/>
              <w:bottom w:val="single" w:sz="4" w:space="0" w:color="000000"/>
              <w:right w:val="single" w:sz="4" w:space="0" w:color="000000"/>
            </w:tcBorders>
          </w:tcPr>
          <w:p w14:paraId="706C4A5F" w14:textId="77777777" w:rsidR="00A27460" w:rsidRDefault="00A311F8">
            <w:pPr>
              <w:ind w:firstLine="319"/>
              <w:contextualSpacing/>
              <w:jc w:val="both"/>
              <w:rPr>
                <w:lang w:val="lt-LT"/>
              </w:rPr>
            </w:pPr>
            <w:r>
              <w:rPr>
                <w:szCs w:val="20"/>
                <w:lang w:val="lt-LT" w:eastAsia="ar-SA"/>
              </w:rPr>
              <w:t>Nurodyta pridedamoje ketinamų pirkti biocheminių, mikrobiologinių, klinikinių tyrimų paslaugų kiekiai  (2 priedas)</w:t>
            </w:r>
          </w:p>
        </w:tc>
      </w:tr>
      <w:tr w:rsidR="00A27460" w14:paraId="63DE1CE0" w14:textId="77777777">
        <w:trPr>
          <w:cantSplit/>
          <w:trHeight w:val="421"/>
        </w:trPr>
        <w:tc>
          <w:tcPr>
            <w:tcW w:w="96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6C9D5E" w14:textId="77777777" w:rsidR="00A27460" w:rsidRDefault="00A311F8">
            <w:pPr>
              <w:tabs>
                <w:tab w:val="left" w:pos="319"/>
              </w:tabs>
              <w:ind w:firstLine="319"/>
              <w:contextualSpacing/>
              <w:jc w:val="both"/>
              <w:rPr>
                <w:b/>
                <w:lang w:val="en-GB"/>
              </w:rPr>
            </w:pPr>
            <w:r>
              <w:rPr>
                <w:b/>
                <w:lang w:val="lt-LT"/>
              </w:rPr>
              <w:t>Prekių pristatymo, paslaugų suteikimo ar darbų atlikimo terminai</w:t>
            </w:r>
          </w:p>
        </w:tc>
      </w:tr>
      <w:tr w:rsidR="00A27460" w14:paraId="2B72F626" w14:textId="77777777">
        <w:trPr>
          <w:cantSplit/>
          <w:trHeight w:val="366"/>
        </w:trPr>
        <w:tc>
          <w:tcPr>
            <w:tcW w:w="9617" w:type="dxa"/>
            <w:tcBorders>
              <w:top w:val="single" w:sz="4" w:space="0" w:color="000000"/>
              <w:left w:val="single" w:sz="4" w:space="0" w:color="000000"/>
              <w:bottom w:val="single" w:sz="4" w:space="0" w:color="000000"/>
              <w:right w:val="single" w:sz="4" w:space="0" w:color="000000"/>
            </w:tcBorders>
          </w:tcPr>
          <w:p w14:paraId="5B06B5A2" w14:textId="77777777" w:rsidR="00A27460" w:rsidRDefault="00A311F8">
            <w:pPr>
              <w:ind w:firstLine="319"/>
              <w:contextualSpacing/>
              <w:jc w:val="both"/>
              <w:rPr>
                <w:lang w:val="lt-LT"/>
              </w:rPr>
            </w:pPr>
            <w:r>
              <w:rPr>
                <w:szCs w:val="20"/>
                <w:lang w:val="lt-LT" w:eastAsia="ar-SA"/>
              </w:rPr>
              <w:t xml:space="preserve">Vakuuminiai mėgintuvėliai su krauju,  vieną kartą per darbo dieną ( pirmadieniais – penktadieniais išskyrus šeštadienius, sekmadienius) paimami iš procedūrinio kabineto 16 kabineto, 2-as aukštas, esančio adresu V. Kudirkos g.1 Anykščiai,  12.30 iki 13.00  val.                                                                                                                                                                                                                                                                                                                                                                                                                                                                                                                                                                                                                                                                                                                                                                                                                          </w:t>
            </w:r>
          </w:p>
        </w:tc>
      </w:tr>
      <w:tr w:rsidR="00A27460" w14:paraId="34CD5A00" w14:textId="77777777">
        <w:trPr>
          <w:cantSplit/>
          <w:trHeight w:val="421"/>
        </w:trPr>
        <w:tc>
          <w:tcPr>
            <w:tcW w:w="96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59D1AA" w14:textId="77777777" w:rsidR="00A27460" w:rsidRDefault="00A311F8">
            <w:pPr>
              <w:tabs>
                <w:tab w:val="left" w:pos="319"/>
              </w:tabs>
              <w:ind w:firstLine="319"/>
              <w:contextualSpacing/>
              <w:jc w:val="both"/>
              <w:rPr>
                <w:b/>
                <w:bCs/>
                <w:i/>
                <w:iCs/>
                <w:lang w:val="lt-LT"/>
              </w:rPr>
            </w:pPr>
            <w:r>
              <w:rPr>
                <w:b/>
                <w:bCs/>
                <w:lang w:val="lt-LT"/>
              </w:rPr>
              <w:t>Papildoma informacija</w:t>
            </w:r>
          </w:p>
        </w:tc>
      </w:tr>
      <w:tr w:rsidR="00A27460" w14:paraId="4BCE4824" w14:textId="77777777">
        <w:trPr>
          <w:cantSplit/>
          <w:trHeight w:val="3754"/>
        </w:trPr>
        <w:tc>
          <w:tcPr>
            <w:tcW w:w="9617" w:type="dxa"/>
            <w:tcBorders>
              <w:top w:val="single" w:sz="4" w:space="0" w:color="000000"/>
              <w:left w:val="single" w:sz="4" w:space="0" w:color="000000"/>
              <w:bottom w:val="single" w:sz="4" w:space="0" w:color="000000"/>
              <w:right w:val="single" w:sz="4" w:space="0" w:color="000000"/>
            </w:tcBorders>
            <w:vAlign w:val="center"/>
          </w:tcPr>
          <w:p w14:paraId="45027390" w14:textId="77777777" w:rsidR="00A27460" w:rsidRDefault="00A27460">
            <w:pPr>
              <w:tabs>
                <w:tab w:val="left" w:pos="319"/>
              </w:tabs>
              <w:ind w:firstLine="319"/>
              <w:jc w:val="both"/>
              <w:rPr>
                <w:color w:val="000000" w:themeColor="text1"/>
                <w:lang w:val="lt-LT"/>
              </w:rPr>
            </w:pPr>
          </w:p>
          <w:p w14:paraId="0A1832AF" w14:textId="77777777" w:rsidR="00A27460" w:rsidRDefault="00A311F8">
            <w:pPr>
              <w:tabs>
                <w:tab w:val="left" w:pos="319"/>
              </w:tabs>
              <w:ind w:firstLine="319"/>
              <w:jc w:val="both"/>
              <w:rPr>
                <w:color w:val="000000" w:themeColor="text1"/>
                <w:lang w:val="lt-LT"/>
              </w:rPr>
            </w:pPr>
            <w:r>
              <w:rPr>
                <w:color w:val="000000" w:themeColor="text1"/>
                <w:lang w:val="lt-LT"/>
              </w:rPr>
              <w:t xml:space="preserve">1. Reikalavimai, keliami pirkimo objektui :  </w:t>
            </w:r>
          </w:p>
          <w:p w14:paraId="5D5D0F1B" w14:textId="77777777" w:rsidR="00A27460" w:rsidRDefault="00A311F8">
            <w:pPr>
              <w:tabs>
                <w:tab w:val="left" w:pos="319"/>
              </w:tabs>
              <w:ind w:firstLine="319"/>
              <w:jc w:val="both"/>
              <w:rPr>
                <w:color w:val="000000" w:themeColor="text1"/>
                <w:lang w:val="lt-LT"/>
              </w:rPr>
            </w:pPr>
            <w:r>
              <w:rPr>
                <w:color w:val="000000" w:themeColor="text1"/>
                <w:lang w:val="lt-LT"/>
              </w:rPr>
              <w:t>1.1. Pardavėjas turi aprūpinti pirkėją vakuuminiais mėgintuvėliais su gėliu, adatomis, objektyviniais stikliukais ir kitomis reikiamomis priemonėmis.</w:t>
            </w:r>
          </w:p>
          <w:p w14:paraId="56196D1A" w14:textId="77777777" w:rsidR="00A27460" w:rsidRDefault="00A311F8">
            <w:pPr>
              <w:tabs>
                <w:tab w:val="left" w:pos="319"/>
              </w:tabs>
              <w:ind w:firstLine="319"/>
              <w:jc w:val="both"/>
              <w:rPr>
                <w:color w:val="000000" w:themeColor="text1"/>
                <w:lang w:val="lt-LT"/>
              </w:rPr>
            </w:pPr>
            <w:r>
              <w:rPr>
                <w:color w:val="000000" w:themeColor="text1"/>
                <w:lang w:val="lt-LT"/>
              </w:rPr>
              <w:t>1.2. Tyrimų atsakymai turi būti pateikiami gydančiam gydytojui nuotoliniu būdu, prisijungiant prie tiekėjo duomenų bazės atliktų tyrimų peržiūrai. Nustatytos formos dokumentai Pirkėjui pristatomi elektroniniu būdu ne vėliau kaip per 24 val. nuo tyrimo atlikimo.</w:t>
            </w:r>
          </w:p>
          <w:p w14:paraId="287B66AC" w14:textId="77777777" w:rsidR="00A27460" w:rsidRDefault="00A311F8">
            <w:pPr>
              <w:tabs>
                <w:tab w:val="left" w:pos="319"/>
              </w:tabs>
              <w:ind w:firstLine="319"/>
              <w:jc w:val="both"/>
              <w:rPr>
                <w:color w:val="000000" w:themeColor="text1"/>
                <w:lang w:val="lt-LT"/>
              </w:rPr>
            </w:pPr>
            <w:r>
              <w:rPr>
                <w:color w:val="000000" w:themeColor="text1"/>
                <w:lang w:val="lt-LT"/>
              </w:rPr>
              <w:t>1.3. Pirkėjas pirkimo sutarties galiojimo metu neįsipareigoja išpirkti viso numatyto preliminaraus paslaugų kiekio, pasilieka teisę koreguoti perkamų paslaugų kiekį , gali įsigyti mažesnį arba didesnį paslaugų kiekį  ( kiekis gali kisti +/- 20% )</w:t>
            </w:r>
          </w:p>
          <w:p w14:paraId="211EA15D" w14:textId="77777777" w:rsidR="00A27460" w:rsidRDefault="00A311F8">
            <w:pPr>
              <w:tabs>
                <w:tab w:val="left" w:pos="319"/>
              </w:tabs>
              <w:ind w:firstLine="319"/>
              <w:jc w:val="both"/>
              <w:rPr>
                <w:color w:val="000000" w:themeColor="text1"/>
                <w:lang w:val="lt-LT"/>
              </w:rPr>
            </w:pPr>
            <w:r>
              <w:rPr>
                <w:color w:val="000000" w:themeColor="text1"/>
                <w:lang w:val="lt-LT"/>
              </w:rPr>
              <w:t xml:space="preserve">1.4. Pirkėjas pasilieka teisę atsiradus poreikiui iš laimėtojo įsigyti ir kitų šiame priede nenurodytų tyrimų. Už tyrimų sąraše nenurodytus tyrimus apmoka ne didesnėmis nei tyrimo atlikimo dieną galiojančiomis šių tyrimų kainomis arba, jei tokios kainos neskelbiamos – Paslaugų tiekėjo pasiūlytomis, konkurencingomis ir rinką atitinkančiomis kainomis.  </w:t>
            </w:r>
          </w:p>
          <w:p w14:paraId="2F212E33" w14:textId="77777777" w:rsidR="00A27460" w:rsidRDefault="00A27460">
            <w:pPr>
              <w:tabs>
                <w:tab w:val="left" w:pos="319"/>
              </w:tabs>
              <w:ind w:firstLine="319"/>
              <w:jc w:val="both"/>
              <w:rPr>
                <w:color w:val="FF0000"/>
                <w:lang w:val="lt-LT"/>
              </w:rPr>
            </w:pPr>
          </w:p>
          <w:p w14:paraId="26F623F5" w14:textId="77777777" w:rsidR="00A27460" w:rsidRDefault="00A27460">
            <w:pPr>
              <w:tabs>
                <w:tab w:val="left" w:pos="319"/>
              </w:tabs>
              <w:ind w:firstLine="319"/>
              <w:jc w:val="both"/>
              <w:rPr>
                <w:color w:val="FF0000"/>
                <w:lang w:val="lt-LT"/>
              </w:rPr>
            </w:pPr>
          </w:p>
        </w:tc>
      </w:tr>
      <w:tr w:rsidR="00A27460" w14:paraId="56C902D6" w14:textId="77777777">
        <w:trPr>
          <w:cantSplit/>
          <w:trHeight w:val="3754"/>
        </w:trPr>
        <w:tc>
          <w:tcPr>
            <w:tcW w:w="9617" w:type="dxa"/>
            <w:tcBorders>
              <w:top w:val="single" w:sz="4" w:space="0" w:color="000000"/>
              <w:left w:val="single" w:sz="4" w:space="0" w:color="000000"/>
              <w:bottom w:val="single" w:sz="4" w:space="0" w:color="000000"/>
              <w:right w:val="single" w:sz="4" w:space="0" w:color="000000"/>
            </w:tcBorders>
            <w:vAlign w:val="center"/>
          </w:tcPr>
          <w:p w14:paraId="43B27AA0" w14:textId="77777777" w:rsidR="00A27460" w:rsidRDefault="00A311F8">
            <w:pPr>
              <w:tabs>
                <w:tab w:val="left" w:pos="319"/>
              </w:tabs>
              <w:ind w:firstLine="319"/>
              <w:jc w:val="both"/>
              <w:rPr>
                <w:color w:val="000000" w:themeColor="text1"/>
                <w:szCs w:val="20"/>
                <w:lang w:val="lt-LT" w:eastAsia="ar-SA"/>
              </w:rPr>
            </w:pPr>
            <w:r>
              <w:rPr>
                <w:color w:val="000000" w:themeColor="text1"/>
                <w:szCs w:val="20"/>
                <w:lang w:val="lt-LT" w:eastAsia="ar-SA"/>
              </w:rPr>
              <w:lastRenderedPageBreak/>
              <w:t>1.5. Pardavėjas laboratorinius tyrimus privalo atlikti laboratorijoje, turinčioje Valstybinės akreditavimo sveikatos priežiūros veiklai tarnybos prie SAM išduotą įstaigos asmens sveikatos priežiūros licenziją, suteikiančią teisę verstis laboratorinių tyrimų atlikimu, teikti laboratorines diagnostikos paslaugas.</w:t>
            </w:r>
          </w:p>
          <w:p w14:paraId="31171508" w14:textId="77777777" w:rsidR="00A27460" w:rsidRDefault="00A27460">
            <w:pPr>
              <w:tabs>
                <w:tab w:val="left" w:pos="319"/>
              </w:tabs>
              <w:ind w:firstLine="319"/>
              <w:jc w:val="both"/>
              <w:rPr>
                <w:color w:val="000000" w:themeColor="text1"/>
                <w:szCs w:val="20"/>
                <w:lang w:val="lt-LT" w:eastAsia="ar-SA"/>
              </w:rPr>
            </w:pPr>
          </w:p>
          <w:p w14:paraId="5D8EA3A1" w14:textId="77777777" w:rsidR="00A27460" w:rsidRDefault="00A311F8">
            <w:pPr>
              <w:tabs>
                <w:tab w:val="left" w:pos="319"/>
              </w:tabs>
              <w:ind w:firstLine="319"/>
              <w:jc w:val="both"/>
              <w:rPr>
                <w:color w:val="000000" w:themeColor="text1"/>
                <w:szCs w:val="20"/>
                <w:lang w:val="lt-LT" w:eastAsia="ar-SA"/>
              </w:rPr>
            </w:pPr>
            <w:r>
              <w:rPr>
                <w:color w:val="000000" w:themeColor="text1"/>
                <w:szCs w:val="20"/>
                <w:lang w:val="lt-LT" w:eastAsia="ar-SA"/>
              </w:rPr>
              <w:t>2. Papildoma informacija:</w:t>
            </w:r>
          </w:p>
          <w:p w14:paraId="44283B85" w14:textId="77777777" w:rsidR="00A27460" w:rsidRDefault="00A311F8">
            <w:pPr>
              <w:tabs>
                <w:tab w:val="left" w:pos="319"/>
              </w:tabs>
              <w:ind w:firstLine="319"/>
              <w:jc w:val="both"/>
              <w:rPr>
                <w:color w:val="000000" w:themeColor="text1"/>
                <w:szCs w:val="20"/>
                <w:lang w:val="lt-LT" w:eastAsia="ar-SA"/>
              </w:rPr>
            </w:pPr>
            <w:r>
              <w:rPr>
                <w:color w:val="000000" w:themeColor="text1"/>
                <w:szCs w:val="20"/>
                <w:lang w:val="lt-LT" w:eastAsia="ar-SA"/>
              </w:rPr>
              <w:t>2.1. Konkursą laimėjusios laboratorijos informacinė sistema turi turėti galimybę integruoti į VšĮ  Anykščių PCPC informacinę sistemą: Foxus ir SABIS.</w:t>
            </w:r>
          </w:p>
          <w:p w14:paraId="56802399" w14:textId="77777777" w:rsidR="00A27460" w:rsidRDefault="00A311F8">
            <w:pPr>
              <w:tabs>
                <w:tab w:val="left" w:pos="319"/>
              </w:tabs>
              <w:ind w:firstLine="319"/>
              <w:jc w:val="both"/>
              <w:rPr>
                <w:color w:val="000000" w:themeColor="text1"/>
                <w:szCs w:val="20"/>
                <w:lang w:val="lt-LT" w:eastAsia="ar-SA"/>
              </w:rPr>
            </w:pPr>
            <w:r>
              <w:rPr>
                <w:color w:val="000000" w:themeColor="text1"/>
                <w:szCs w:val="20"/>
                <w:lang w:val="lt-LT" w:eastAsia="ar-SA"/>
              </w:rPr>
              <w:t>2.2.Pirkėjas įsipareigoja apmokėti už paslaugas į Pardavėjo atsiskaitomąją sąskaitą per 30 dienų.</w:t>
            </w:r>
          </w:p>
          <w:p w14:paraId="0CE28CF6" w14:textId="77777777" w:rsidR="00A27460" w:rsidRDefault="00A311F8">
            <w:pPr>
              <w:tabs>
                <w:tab w:val="left" w:pos="319"/>
              </w:tabs>
              <w:ind w:firstLine="319"/>
              <w:jc w:val="both"/>
              <w:rPr>
                <w:color w:val="000000" w:themeColor="text1"/>
                <w:szCs w:val="20"/>
                <w:lang w:val="lt-LT" w:eastAsia="ar-SA"/>
              </w:rPr>
            </w:pPr>
            <w:r>
              <w:rPr>
                <w:color w:val="000000" w:themeColor="text1"/>
                <w:szCs w:val="20"/>
                <w:lang w:val="lt-LT" w:eastAsia="ar-SA"/>
              </w:rPr>
              <w:t>2.3. Neapmokėjus už gautas paslaugas Pirkėjas moka 0,02% nuo užsakymo vertės už kiekvieną uždelstą dieną iki tinkamo įsipareigojimo įvykdymo.</w:t>
            </w:r>
          </w:p>
          <w:p w14:paraId="6A466DD1" w14:textId="77777777" w:rsidR="00A27460" w:rsidRDefault="00A311F8">
            <w:pPr>
              <w:tabs>
                <w:tab w:val="left" w:pos="319"/>
              </w:tabs>
              <w:ind w:firstLine="319"/>
              <w:jc w:val="both"/>
              <w:rPr>
                <w:color w:val="000000" w:themeColor="text1"/>
                <w:szCs w:val="20"/>
                <w:lang w:val="lt-LT" w:eastAsia="ar-SA"/>
              </w:rPr>
            </w:pPr>
            <w:r>
              <w:rPr>
                <w:color w:val="000000" w:themeColor="text1"/>
                <w:szCs w:val="20"/>
                <w:lang w:val="lt-LT" w:eastAsia="ar-SA"/>
              </w:rPr>
              <w:t>2.4. Pardavėjui neįvykdžius arba netinkamai įvykdžius įsipareigojimus, jis įsipareigoja sumokėti Pirkėjui 0,02% delspinigius nuo užsakymo vertės už kiekvieną uždelstą dieną iki tinkamo įsipareigojimo.</w:t>
            </w:r>
          </w:p>
          <w:p w14:paraId="2AEFCA76" w14:textId="77777777" w:rsidR="00A27460" w:rsidRDefault="00A311F8">
            <w:pPr>
              <w:tabs>
                <w:tab w:val="left" w:pos="319"/>
              </w:tabs>
              <w:ind w:firstLine="319"/>
              <w:jc w:val="both"/>
              <w:rPr>
                <w:color w:val="000000" w:themeColor="text1"/>
                <w:szCs w:val="20"/>
                <w:lang w:val="lt-LT" w:eastAsia="ar-SA"/>
              </w:rPr>
            </w:pPr>
            <w:r>
              <w:rPr>
                <w:color w:val="000000" w:themeColor="text1"/>
                <w:szCs w:val="20"/>
                <w:lang w:val="lt-LT" w:eastAsia="ar-SA"/>
              </w:rPr>
              <w:t>2.5. Sutartis įsigalioja nuo sutarties pasirašymo dienos, sutartis galioja 12 mėn. arba iki visiško sutarties įvykdymo</w:t>
            </w:r>
          </w:p>
          <w:p w14:paraId="4C36DB0C" w14:textId="77777777" w:rsidR="00A27460" w:rsidRDefault="00A311F8">
            <w:pPr>
              <w:tabs>
                <w:tab w:val="left" w:pos="319"/>
              </w:tabs>
              <w:ind w:firstLine="319"/>
              <w:jc w:val="both"/>
              <w:rPr>
                <w:color w:val="000000" w:themeColor="text1"/>
                <w:szCs w:val="20"/>
                <w:lang w:val="lt-LT" w:eastAsia="ar-SA"/>
              </w:rPr>
            </w:pPr>
            <w:r>
              <w:rPr>
                <w:color w:val="000000" w:themeColor="text1"/>
                <w:szCs w:val="20"/>
                <w:lang w:val="lt-LT" w:eastAsia="ar-SA"/>
              </w:rPr>
              <w:t>2.6. Vykdant pirkimo sutartį, sąskaitos faktūros ir ataskaitos, kreditiniai ir debetiniai dokumentai teikiami naudojant informacinės sistemos “ SABIS“ priemonėmis.</w:t>
            </w:r>
          </w:p>
          <w:p w14:paraId="6F7E2E74" w14:textId="77777777" w:rsidR="00A27460" w:rsidRDefault="00A27460">
            <w:pPr>
              <w:tabs>
                <w:tab w:val="left" w:pos="319"/>
              </w:tabs>
              <w:ind w:firstLine="319"/>
              <w:jc w:val="both"/>
              <w:rPr>
                <w:color w:val="FF0000"/>
                <w:lang w:val="lt-LT"/>
              </w:rPr>
            </w:pPr>
          </w:p>
        </w:tc>
      </w:tr>
    </w:tbl>
    <w:p w14:paraId="787EBEC1" w14:textId="77777777" w:rsidR="00A27460" w:rsidRDefault="00A27460">
      <w:pPr>
        <w:widowControl w:val="0"/>
        <w:jc w:val="both"/>
        <w:rPr>
          <w:bCs/>
          <w:lang w:val="lt-LT"/>
        </w:rPr>
      </w:pPr>
    </w:p>
    <w:p w14:paraId="3168EB59" w14:textId="77777777" w:rsidR="00A27460" w:rsidRDefault="00A27460">
      <w:pPr>
        <w:widowControl w:val="0"/>
        <w:jc w:val="both"/>
        <w:rPr>
          <w:bCs/>
          <w:lang w:val="lt-LT"/>
        </w:rPr>
      </w:pPr>
    </w:p>
    <w:p w14:paraId="21198B47" w14:textId="77777777" w:rsidR="00A27460" w:rsidRDefault="00A311F8">
      <w:pPr>
        <w:widowControl w:val="0"/>
        <w:jc w:val="both"/>
        <w:rPr>
          <w:lang w:val="lt-LT"/>
        </w:rPr>
      </w:pPr>
      <w:r>
        <w:rPr>
          <w:lang w:val="lt-LT"/>
        </w:rPr>
        <w:t>Laboratorijos vedėja-medicinos biologė</w:t>
      </w:r>
      <w:r>
        <w:rPr>
          <w:bCs/>
          <w:lang w:val="lt-LT"/>
        </w:rPr>
        <w:t xml:space="preserve">                                                        Beatričia Augulienė</w:t>
      </w:r>
    </w:p>
    <w:tbl>
      <w:tblPr>
        <w:tblW w:w="9577" w:type="dxa"/>
        <w:tblLayout w:type="fixed"/>
        <w:tblLook w:val="04A0" w:firstRow="1" w:lastRow="0" w:firstColumn="1" w:lastColumn="0" w:noHBand="0" w:noVBand="1"/>
      </w:tblPr>
      <w:tblGrid>
        <w:gridCol w:w="4218"/>
        <w:gridCol w:w="285"/>
        <w:gridCol w:w="1559"/>
        <w:gridCol w:w="567"/>
        <w:gridCol w:w="2948"/>
      </w:tblGrid>
      <w:tr w:rsidR="00A27460" w14:paraId="0EDD759C" w14:textId="77777777">
        <w:trPr>
          <w:trHeight w:val="200"/>
        </w:trPr>
        <w:tc>
          <w:tcPr>
            <w:tcW w:w="4218" w:type="dxa"/>
            <w:tcBorders>
              <w:top w:val="single" w:sz="4" w:space="0" w:color="000000"/>
            </w:tcBorders>
            <w:shd w:val="clear" w:color="auto" w:fill="auto"/>
          </w:tcPr>
          <w:p w14:paraId="6C00E361" w14:textId="77777777" w:rsidR="00A27460" w:rsidRDefault="00A311F8">
            <w:pPr>
              <w:widowControl w:val="0"/>
              <w:rPr>
                <w:i/>
                <w:sz w:val="20"/>
                <w:szCs w:val="20"/>
                <w:lang w:val="lt-LT"/>
              </w:rPr>
            </w:pPr>
            <w:r>
              <w:rPr>
                <w:i/>
                <w:sz w:val="20"/>
                <w:szCs w:val="20"/>
                <w:shd w:val="clear" w:color="auto" w:fill="D9D9D9"/>
                <w:lang w:val="lt-LT"/>
              </w:rPr>
              <w:t>(Viešojo pirkimo iniciatoriaus pareigos)</w:t>
            </w:r>
          </w:p>
        </w:tc>
        <w:tc>
          <w:tcPr>
            <w:tcW w:w="285" w:type="dxa"/>
          </w:tcPr>
          <w:p w14:paraId="791FF01A" w14:textId="77777777" w:rsidR="00A27460" w:rsidRDefault="00A27460">
            <w:pPr>
              <w:widowControl w:val="0"/>
              <w:jc w:val="center"/>
              <w:rPr>
                <w:i/>
                <w:sz w:val="20"/>
                <w:szCs w:val="20"/>
                <w:lang w:val="lt-LT"/>
              </w:rPr>
            </w:pPr>
          </w:p>
        </w:tc>
        <w:tc>
          <w:tcPr>
            <w:tcW w:w="1559" w:type="dxa"/>
            <w:tcBorders>
              <w:top w:val="single" w:sz="4" w:space="0" w:color="000000"/>
            </w:tcBorders>
            <w:shd w:val="clear" w:color="auto" w:fill="auto"/>
          </w:tcPr>
          <w:p w14:paraId="594B1CFD" w14:textId="77777777" w:rsidR="00A27460" w:rsidRDefault="00A311F8">
            <w:pPr>
              <w:widowControl w:val="0"/>
              <w:jc w:val="center"/>
              <w:rPr>
                <w:i/>
                <w:sz w:val="20"/>
                <w:szCs w:val="20"/>
                <w:lang w:val="lt-LT"/>
              </w:rPr>
            </w:pPr>
            <w:r>
              <w:rPr>
                <w:i/>
                <w:sz w:val="20"/>
                <w:szCs w:val="20"/>
                <w:shd w:val="clear" w:color="auto" w:fill="D9D9D9"/>
                <w:lang w:val="lt-LT"/>
              </w:rPr>
              <w:t>(parašas)</w:t>
            </w:r>
          </w:p>
        </w:tc>
        <w:tc>
          <w:tcPr>
            <w:tcW w:w="567" w:type="dxa"/>
          </w:tcPr>
          <w:p w14:paraId="31A40661" w14:textId="77777777" w:rsidR="00A27460" w:rsidRDefault="00A27460">
            <w:pPr>
              <w:widowControl w:val="0"/>
              <w:jc w:val="center"/>
              <w:rPr>
                <w:i/>
                <w:sz w:val="20"/>
                <w:szCs w:val="20"/>
                <w:lang w:val="lt-LT"/>
              </w:rPr>
            </w:pPr>
          </w:p>
        </w:tc>
        <w:tc>
          <w:tcPr>
            <w:tcW w:w="2948" w:type="dxa"/>
            <w:tcBorders>
              <w:top w:val="single" w:sz="4" w:space="0" w:color="000000"/>
            </w:tcBorders>
            <w:shd w:val="clear" w:color="auto" w:fill="auto"/>
          </w:tcPr>
          <w:p w14:paraId="7C95835D" w14:textId="77777777" w:rsidR="00A27460" w:rsidRDefault="00A311F8">
            <w:pPr>
              <w:widowControl w:val="0"/>
              <w:jc w:val="center"/>
              <w:rPr>
                <w:i/>
                <w:sz w:val="20"/>
                <w:szCs w:val="20"/>
                <w:lang w:val="lt-LT"/>
              </w:rPr>
            </w:pPr>
            <w:r>
              <w:rPr>
                <w:i/>
                <w:sz w:val="20"/>
                <w:szCs w:val="20"/>
                <w:shd w:val="clear" w:color="auto" w:fill="D9D9D9"/>
                <w:lang w:val="lt-LT"/>
              </w:rPr>
              <w:t>(vardas ir pavardė)</w:t>
            </w:r>
          </w:p>
        </w:tc>
      </w:tr>
    </w:tbl>
    <w:p w14:paraId="60F587A9" w14:textId="77777777" w:rsidR="00A27460" w:rsidRDefault="00A27460">
      <w:pPr>
        <w:tabs>
          <w:tab w:val="left" w:pos="5540"/>
        </w:tabs>
        <w:jc w:val="both"/>
        <w:rPr>
          <w:lang w:val="lt-LT"/>
        </w:rPr>
      </w:pPr>
    </w:p>
    <w:p w14:paraId="46623BC1" w14:textId="77777777" w:rsidR="00A27460" w:rsidRDefault="00A27460">
      <w:pPr>
        <w:tabs>
          <w:tab w:val="left" w:pos="5540"/>
        </w:tabs>
        <w:jc w:val="both"/>
        <w:rPr>
          <w:lang w:val="lt-LT"/>
        </w:rPr>
      </w:pPr>
    </w:p>
    <w:p w14:paraId="419B4164" w14:textId="77777777" w:rsidR="00A27460" w:rsidRDefault="00A311F8">
      <w:pPr>
        <w:tabs>
          <w:tab w:val="left" w:pos="5540"/>
        </w:tabs>
        <w:rPr>
          <w:lang w:val="lt-LT"/>
        </w:rPr>
      </w:pPr>
      <w:r>
        <w:rPr>
          <w:lang w:val="lt-LT"/>
        </w:rPr>
        <w:t>TVIRTINA:</w:t>
      </w:r>
    </w:p>
    <w:p w14:paraId="7C2870D7" w14:textId="77777777" w:rsidR="00A27460" w:rsidRDefault="00A27460">
      <w:pPr>
        <w:tabs>
          <w:tab w:val="left" w:pos="5540"/>
        </w:tabs>
        <w:rPr>
          <w:lang w:val="lt-LT"/>
        </w:rPr>
      </w:pPr>
    </w:p>
    <w:p w14:paraId="367DEE4E" w14:textId="77777777" w:rsidR="00A27460" w:rsidRDefault="00A27460">
      <w:pPr>
        <w:widowControl w:val="0"/>
        <w:jc w:val="both"/>
        <w:rPr>
          <w:lang w:val="lt-LT"/>
        </w:rPr>
      </w:pPr>
    </w:p>
    <w:tbl>
      <w:tblPr>
        <w:tblW w:w="9577" w:type="dxa"/>
        <w:tblLayout w:type="fixed"/>
        <w:tblLook w:val="04A0" w:firstRow="1" w:lastRow="0" w:firstColumn="1" w:lastColumn="0" w:noHBand="0" w:noVBand="1"/>
      </w:tblPr>
      <w:tblGrid>
        <w:gridCol w:w="4218"/>
        <w:gridCol w:w="285"/>
        <w:gridCol w:w="1559"/>
        <w:gridCol w:w="567"/>
        <w:gridCol w:w="2948"/>
      </w:tblGrid>
      <w:tr w:rsidR="00A27460" w14:paraId="2ECC374D" w14:textId="77777777">
        <w:trPr>
          <w:trHeight w:val="71"/>
        </w:trPr>
        <w:tc>
          <w:tcPr>
            <w:tcW w:w="4218" w:type="dxa"/>
            <w:tcBorders>
              <w:top w:val="single" w:sz="4" w:space="0" w:color="000000"/>
            </w:tcBorders>
            <w:shd w:val="clear" w:color="auto" w:fill="auto"/>
          </w:tcPr>
          <w:p w14:paraId="182BE61A" w14:textId="77777777" w:rsidR="00A27460" w:rsidRDefault="00A311F8">
            <w:pPr>
              <w:widowControl w:val="0"/>
              <w:rPr>
                <w:i/>
                <w:sz w:val="20"/>
                <w:szCs w:val="20"/>
                <w:lang w:val="lt-LT"/>
              </w:rPr>
            </w:pPr>
            <w:r>
              <w:rPr>
                <w:i/>
                <w:sz w:val="20"/>
                <w:szCs w:val="20"/>
                <w:shd w:val="clear" w:color="auto" w:fill="D9D9D9"/>
                <w:lang w:val="lt-LT"/>
              </w:rPr>
              <w:t>(Vadovo pareigos)</w:t>
            </w:r>
          </w:p>
        </w:tc>
        <w:tc>
          <w:tcPr>
            <w:tcW w:w="285" w:type="dxa"/>
          </w:tcPr>
          <w:p w14:paraId="67273D06" w14:textId="77777777" w:rsidR="00A27460" w:rsidRDefault="00A27460">
            <w:pPr>
              <w:widowControl w:val="0"/>
              <w:jc w:val="center"/>
              <w:rPr>
                <w:i/>
                <w:sz w:val="20"/>
                <w:szCs w:val="20"/>
                <w:lang w:val="lt-LT"/>
              </w:rPr>
            </w:pPr>
          </w:p>
        </w:tc>
        <w:tc>
          <w:tcPr>
            <w:tcW w:w="1559" w:type="dxa"/>
            <w:tcBorders>
              <w:top w:val="single" w:sz="4" w:space="0" w:color="000000"/>
            </w:tcBorders>
            <w:shd w:val="clear" w:color="auto" w:fill="auto"/>
          </w:tcPr>
          <w:p w14:paraId="675CF741" w14:textId="77777777" w:rsidR="00A27460" w:rsidRDefault="00A311F8">
            <w:pPr>
              <w:widowControl w:val="0"/>
              <w:jc w:val="center"/>
              <w:rPr>
                <w:i/>
                <w:sz w:val="20"/>
                <w:szCs w:val="20"/>
                <w:lang w:val="lt-LT"/>
              </w:rPr>
            </w:pPr>
            <w:r>
              <w:rPr>
                <w:i/>
                <w:sz w:val="20"/>
                <w:szCs w:val="20"/>
                <w:shd w:val="clear" w:color="auto" w:fill="D9D9D9"/>
                <w:lang w:val="lt-LT"/>
              </w:rPr>
              <w:t>(parašas)</w:t>
            </w:r>
          </w:p>
        </w:tc>
        <w:tc>
          <w:tcPr>
            <w:tcW w:w="567" w:type="dxa"/>
          </w:tcPr>
          <w:p w14:paraId="74865DEA" w14:textId="77777777" w:rsidR="00A27460" w:rsidRDefault="00A27460">
            <w:pPr>
              <w:widowControl w:val="0"/>
              <w:jc w:val="center"/>
              <w:rPr>
                <w:i/>
                <w:sz w:val="20"/>
                <w:szCs w:val="20"/>
                <w:lang w:val="lt-LT"/>
              </w:rPr>
            </w:pPr>
          </w:p>
        </w:tc>
        <w:tc>
          <w:tcPr>
            <w:tcW w:w="2948" w:type="dxa"/>
            <w:tcBorders>
              <w:top w:val="single" w:sz="4" w:space="0" w:color="000000"/>
            </w:tcBorders>
            <w:shd w:val="clear" w:color="auto" w:fill="auto"/>
          </w:tcPr>
          <w:p w14:paraId="61CDCA06" w14:textId="77777777" w:rsidR="00A27460" w:rsidRDefault="00A311F8">
            <w:pPr>
              <w:widowControl w:val="0"/>
              <w:jc w:val="center"/>
              <w:rPr>
                <w:i/>
                <w:sz w:val="20"/>
                <w:szCs w:val="20"/>
                <w:lang w:val="lt-LT"/>
              </w:rPr>
            </w:pPr>
            <w:r>
              <w:rPr>
                <w:i/>
                <w:sz w:val="20"/>
                <w:szCs w:val="20"/>
                <w:shd w:val="clear" w:color="auto" w:fill="D9D9D9"/>
                <w:lang w:val="lt-LT"/>
              </w:rPr>
              <w:t>(vardas ir pavardė)</w:t>
            </w:r>
          </w:p>
        </w:tc>
      </w:tr>
    </w:tbl>
    <w:p w14:paraId="6B7246C2" w14:textId="77777777" w:rsidR="00A27460" w:rsidRDefault="00A27460">
      <w:pPr>
        <w:tabs>
          <w:tab w:val="left" w:pos="5540"/>
        </w:tabs>
        <w:rPr>
          <w:lang w:val="lt-LT"/>
        </w:rPr>
      </w:pPr>
    </w:p>
    <w:sectPr w:rsidR="00A27460">
      <w:headerReference w:type="even" r:id="rId6"/>
      <w:headerReference w:type="default" r:id="rId7"/>
      <w:headerReference w:type="first" r:id="rId8"/>
      <w:pgSz w:w="11906" w:h="16838"/>
      <w:pgMar w:top="1134"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13AC" w14:textId="77777777" w:rsidR="00183C61" w:rsidRDefault="00183C61">
      <w:r>
        <w:separator/>
      </w:r>
    </w:p>
  </w:endnote>
  <w:endnote w:type="continuationSeparator" w:id="0">
    <w:p w14:paraId="1573F3D0" w14:textId="77777777" w:rsidR="00183C61" w:rsidRDefault="0018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7143" w14:textId="77777777" w:rsidR="00183C61" w:rsidRDefault="00183C61">
      <w:r>
        <w:separator/>
      </w:r>
    </w:p>
  </w:footnote>
  <w:footnote w:type="continuationSeparator" w:id="0">
    <w:p w14:paraId="0565A09D" w14:textId="77777777" w:rsidR="00183C61" w:rsidRDefault="00183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E8F9" w14:textId="77777777" w:rsidR="00A27460" w:rsidRDefault="00A311F8">
    <w:pPr>
      <w:pStyle w:val="Antrats"/>
    </w:pPr>
    <w:r>
      <w:rPr>
        <w:noProof/>
      </w:rPr>
      <mc:AlternateContent>
        <mc:Choice Requires="wps">
          <w:drawing>
            <wp:anchor distT="0" distB="0" distL="0" distR="0" simplePos="0" relativeHeight="251658240" behindDoc="0" locked="0" layoutInCell="1" allowOverlap="1" wp14:anchorId="5275F341" wp14:editId="1201E5E0">
              <wp:simplePos x="0" y="0"/>
              <wp:positionH relativeFrom="margin">
                <wp:align>center</wp:align>
              </wp:positionH>
              <wp:positionV relativeFrom="paragraph">
                <wp:posOffset>635</wp:posOffset>
              </wp:positionV>
              <wp:extent cx="14605" cy="14605"/>
              <wp:effectExtent l="0" t="0" r="0" b="0"/>
              <wp:wrapNone/>
              <wp:docPr id="1" name="Kadras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sdt>
                          <w:sdtPr>
                            <w:id w:val="-1019550991"/>
                            <w:docPartObj>
                              <w:docPartGallery w:val="Page Numbers (Top of Page)"/>
                              <w:docPartUnique/>
                            </w:docPartObj>
                          </w:sdtPr>
                          <w:sdtContent>
                            <w:p w14:paraId="362037F1" w14:textId="77777777" w:rsidR="00A27460" w:rsidRDefault="00A311F8">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sdtContent>
                        </w:sdt>
                      </w:txbxContent>
                    </wps:txbx>
                    <wps:bodyPr lIns="0" tIns="0" rIns="0" bIns="0" anchor="t">
                      <a:spAutoFit/>
                    </wps:bodyPr>
                  </wps:wsp>
                </a:graphicData>
              </a:graphic>
            </wp:anchor>
          </w:drawing>
        </mc:Choice>
        <mc:Fallback>
          <w:pict>
            <v:shapetype w14:anchorId="5275F341" id="_x0000_t202" coordsize="21600,21600" o:spt="202" path="m,l,21600r21600,l21600,xe">
              <v:stroke joinstyle="miter"/>
              <v:path gradientshapeok="t" o:connecttype="rect"/>
            </v:shapetype>
            <v:shape id="Kadras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sdt>
                    <w:sdtPr>
                      <w:id w:val="-1019550991"/>
                      <w:docPartObj>
                        <w:docPartGallery w:val="Page Numbers (Top of Page)"/>
                        <w:docPartUnique/>
                      </w:docPartObj>
                    </w:sdtPr>
                    <w:sdtContent>
                      <w:p w14:paraId="362037F1" w14:textId="77777777" w:rsidR="00A27460" w:rsidRDefault="00A311F8">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sdtContent>
                  </w:sdt>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D11C" w14:textId="77777777" w:rsidR="00A27460" w:rsidRDefault="00A311F8">
    <w:pPr>
      <w:pStyle w:val="Antrats"/>
    </w:pPr>
    <w:r>
      <w:rPr>
        <w:noProof/>
      </w:rPr>
      <mc:AlternateContent>
        <mc:Choice Requires="wps">
          <w:drawing>
            <wp:anchor distT="0" distB="0" distL="0" distR="0" simplePos="0" relativeHeight="2" behindDoc="0" locked="0" layoutInCell="0" allowOverlap="1" wp14:anchorId="6DDC6D02" wp14:editId="3C4ECD21">
              <wp:simplePos x="0" y="0"/>
              <wp:positionH relativeFrom="margin">
                <wp:align>center</wp:align>
              </wp:positionH>
              <wp:positionV relativeFrom="paragraph">
                <wp:posOffset>635</wp:posOffset>
              </wp:positionV>
              <wp:extent cx="76835" cy="175260"/>
              <wp:effectExtent l="0" t="0" r="0" b="0"/>
              <wp:wrapNone/>
              <wp:docPr id="2" name="Kadras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sdt>
                          <w:sdtPr>
                            <w:id w:val="-1421559132"/>
                            <w:docPartObj>
                              <w:docPartGallery w:val="Page Numbers (Top of Page)"/>
                              <w:docPartUnique/>
                            </w:docPartObj>
                          </w:sdtPr>
                          <w:sdtContent>
                            <w:p w14:paraId="0ED7F623" w14:textId="77777777" w:rsidR="00A27460" w:rsidRDefault="00A311F8">
                              <w:pPr>
                                <w:pStyle w:val="Antrats"/>
                                <w:rPr>
                                  <w:rStyle w:val="Puslapionumeris"/>
                                  <w:rFonts w:ascii="Times New Roman" w:hAnsi="Times New Roman"/>
                                </w:rPr>
                              </w:pPr>
                              <w:r>
                                <w:rPr>
                                  <w:rStyle w:val="Puslapionumeris"/>
                                  <w:rFonts w:ascii="Times New Roman" w:hAnsi="Times New Roman"/>
                                </w:rPr>
                                <w:fldChar w:fldCharType="begin"/>
                              </w:r>
                              <w:r>
                                <w:rPr>
                                  <w:rStyle w:val="Puslapionumeris"/>
                                  <w:rFonts w:ascii="Times New Roman" w:hAnsi="Times New Roman"/>
                                </w:rPr>
                                <w:instrText xml:space="preserve"> PAGE </w:instrText>
                              </w:r>
                              <w:r>
                                <w:rPr>
                                  <w:rStyle w:val="Puslapionumeris"/>
                                  <w:rFonts w:ascii="Times New Roman" w:hAnsi="Times New Roman"/>
                                </w:rPr>
                                <w:fldChar w:fldCharType="separate"/>
                              </w:r>
                              <w:r>
                                <w:rPr>
                                  <w:rStyle w:val="Puslapionumeris"/>
                                  <w:rFonts w:ascii="Times New Roman" w:hAnsi="Times New Roman"/>
                                </w:rPr>
                                <w:t>2</w:t>
                              </w:r>
                              <w:r>
                                <w:rPr>
                                  <w:rStyle w:val="Puslapionumeris"/>
                                  <w:rFonts w:ascii="Times New Roman" w:hAnsi="Times New Roman"/>
                                </w:rPr>
                                <w:fldChar w:fldCharType="end"/>
                              </w:r>
                            </w:p>
                          </w:sdtContent>
                        </w:sdt>
                      </w:txbxContent>
                    </wps:txbx>
                    <wps:bodyPr lIns="0" tIns="0" rIns="0" bIns="0" anchor="t">
                      <a:spAutoFit/>
                    </wps:bodyPr>
                  </wps:wsp>
                </a:graphicData>
              </a:graphic>
            </wp:anchor>
          </w:drawing>
        </mc:Choice>
        <mc:Fallback>
          <w:pict>
            <v:shapetype w14:anchorId="6DDC6D02" id="_x0000_t202" coordsize="21600,21600" o:spt="202" path="m,l,21600r21600,l21600,xe">
              <v:stroke joinstyle="miter"/>
              <v:path gradientshapeok="t" o:connecttype="rect"/>
            </v:shapetype>
            <v:shape id="Kadras2" o:spid="_x0000_s1027" type="#_x0000_t202" style="position:absolute;margin-left:0;margin-top:.05pt;width:6.05pt;height:13.8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PpAEAAEoDAAAOAAAAZHJzL2Uyb0RvYy54bWysU8Fu2zAMvQ/oPwi6N04yNC2MOMW2IkWB&#10;YRvQ7QNkWYoFSKIgqrHz96PkOgm22zAfZJKiH/ke6e3j6Cw7qogGfMNXiyVnykvojD80/NfP/e0D&#10;Z5iE74QFrxp+UsgfdzcftkOo1Rp6sJ2KjEA81kNoeJ9SqKsKZa+cwAUE5elSQ3QikRsPVRfFQOjO&#10;VuvlclMNELsQQSpEij5Nl3xX8LVWMn3XGlVituHUWypnLGebz2q3FfUhitAb+d6G+IcunDCeip6h&#10;nkQS7C2av6CckREQdFpIcBVobaQqHIjNavkHm9deBFW4kDgYzjLh/4OV346v4UdkafwMIw0wCzIE&#10;rJGCmc+oo8tv6pTRPUl4OsumxsQkBe83Dx/vOJN0s7q/W2+KqtXl2xAxPStwLBsNjzSUopU4fsVE&#10;9Sh1TsmlEKzp9sba4sRD+8VGdhQ0wH15pm9t6MUUncvhlFrwrjCqC51spbEdmemuqLbQnUgB++JJ&#10;17wjsxFno50N4WUPtD1T/xg+vSXYm8IhY09I1EB2aGCllfflyhtx7Zesyy+w+w0AAP//AwBQSwME&#10;FAAGAAgAAAAhACttIDLZAAAAAwEAAA8AAABkcnMvZG93bnJldi54bWxMj81OwzAQhO9IvIO1SNyo&#10;Qw4UQpyqQopEBeKnwN21lySqvY68bhveHucEp9XsrGa+rVeTd+KIkYdACq4XBQgkE+xAnYLPj/bq&#10;FgQnTVa7QKjgBxlWzflZrSsbTvSOx23qRA4hrrSCPqWxkpJNj17zIoxI2fsO0euUZeykjfqUw72T&#10;ZVHcSK8Hyg29HvGhR7PfHrwCbvf8+rKOj29fd45as3nehCej1OXFtL4HkXBKf8cw42d0aDLTLhzI&#10;snAK8iNp3orZK/PcKSiXS5BNLf+zN78AAAD//wMAUEsBAi0AFAAGAAgAAAAhALaDOJL+AAAA4QEA&#10;ABMAAAAAAAAAAAAAAAAAAAAAAFtDb250ZW50X1R5cGVzXS54bWxQSwECLQAUAAYACAAAACEAOP0h&#10;/9YAAACUAQAACwAAAAAAAAAAAAAAAAAvAQAAX3JlbHMvLnJlbHNQSwECLQAUAAYACAAAACEADrf2&#10;j6QBAABKAwAADgAAAAAAAAAAAAAAAAAuAgAAZHJzL2Uyb0RvYy54bWxQSwECLQAUAAYACAAAACEA&#10;K20gMtkAAAADAQAADwAAAAAAAAAAAAAAAAD+AwAAZHJzL2Rvd25yZXYueG1sUEsFBgAAAAAEAAQA&#10;8wAAAAQFAAAAAA==&#10;" o:allowincell="f" stroked="f">
              <v:fill opacity="0"/>
              <v:textbox style="mso-fit-shape-to-text:t" inset="0,0,0,0">
                <w:txbxContent>
                  <w:sdt>
                    <w:sdtPr>
                      <w:id w:val="-1421559132"/>
                      <w:docPartObj>
                        <w:docPartGallery w:val="Page Numbers (Top of Page)"/>
                        <w:docPartUnique/>
                      </w:docPartObj>
                    </w:sdtPr>
                    <w:sdtContent>
                      <w:p w14:paraId="0ED7F623" w14:textId="77777777" w:rsidR="00A27460" w:rsidRDefault="00A311F8">
                        <w:pPr>
                          <w:pStyle w:val="Antrats"/>
                          <w:rPr>
                            <w:rStyle w:val="Puslapionumeris"/>
                            <w:rFonts w:ascii="Times New Roman" w:hAnsi="Times New Roman"/>
                          </w:rPr>
                        </w:pPr>
                        <w:r>
                          <w:rPr>
                            <w:rStyle w:val="Puslapionumeris"/>
                            <w:rFonts w:ascii="Times New Roman" w:hAnsi="Times New Roman"/>
                          </w:rPr>
                          <w:fldChar w:fldCharType="begin"/>
                        </w:r>
                        <w:r>
                          <w:rPr>
                            <w:rStyle w:val="Puslapionumeris"/>
                            <w:rFonts w:ascii="Times New Roman" w:hAnsi="Times New Roman"/>
                          </w:rPr>
                          <w:instrText xml:space="preserve"> PAGE </w:instrText>
                        </w:r>
                        <w:r>
                          <w:rPr>
                            <w:rStyle w:val="Puslapionumeris"/>
                            <w:rFonts w:ascii="Times New Roman" w:hAnsi="Times New Roman"/>
                          </w:rPr>
                          <w:fldChar w:fldCharType="separate"/>
                        </w:r>
                        <w:r>
                          <w:rPr>
                            <w:rStyle w:val="Puslapionumeris"/>
                            <w:rFonts w:ascii="Times New Roman" w:hAnsi="Times New Roman"/>
                          </w:rPr>
                          <w:t>2</w:t>
                        </w:r>
                        <w:r>
                          <w:rPr>
                            <w:rStyle w:val="Puslapionumeris"/>
                            <w:rFonts w:ascii="Times New Roman" w:hAnsi="Times New Roman"/>
                          </w:rPr>
                          <w:fldChar w:fldCharType="end"/>
                        </w:r>
                      </w:p>
                    </w:sdtContent>
                  </w:sdt>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AF9F" w14:textId="77777777" w:rsidR="00A27460" w:rsidRDefault="00A2746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vw/lzeBHpngjqng/Z0w5o1fGhORzvxB7lf7+FIP+TAk8OTq1jjpfM52oLjSBeCoN04mcpbEIQstr0GOVWMUHAg==" w:salt="V6hKdm0vb/qJ6v5B0POxhQ=="/>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60"/>
    <w:rsid w:val="00140CFE"/>
    <w:rsid w:val="00183C61"/>
    <w:rsid w:val="003B7BE3"/>
    <w:rsid w:val="007E34C9"/>
    <w:rsid w:val="008347E8"/>
    <w:rsid w:val="00A27460"/>
    <w:rsid w:val="00A311F8"/>
    <w:rsid w:val="00A852DC"/>
    <w:rsid w:val="00D5190E"/>
    <w:rsid w:val="00D55F0B"/>
    <w:rsid w:val="00E23BCE"/>
    <w:rsid w:val="00FA417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D18E662"/>
  <w15:docId w15:val="{1031ECD3-14C0-427F-A358-70B03642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basedOn w:val="Numatytasispastraiposriftas"/>
    <w:link w:val="Sraopastraipa"/>
    <w:uiPriority w:val="34"/>
    <w:qFormat/>
    <w:locked/>
    <w:rsid w:val="00D12491"/>
    <w:rPr>
      <w:rFonts w:ascii="Calibri" w:eastAsia="Calibri" w:hAnsi="Calibri" w:cs="Times New Roman"/>
      <w:kern w:val="0"/>
      <w:sz w:val="22"/>
      <w:szCs w:val="22"/>
      <w:lang w:val="lt-LT"/>
      <w14:ligatures w14:val="none"/>
    </w:rPr>
  </w:style>
  <w:style w:type="character" w:customStyle="1" w:styleId="AntratsDiagrama">
    <w:name w:val="Antraštės Diagrama"/>
    <w:basedOn w:val="Numatytasispastraiposriftas"/>
    <w:link w:val="Antrats"/>
    <w:semiHidden/>
    <w:qFormat/>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character" w:customStyle="1" w:styleId="PoratDiagrama">
    <w:name w:val="Poraštė Diagrama"/>
    <w:basedOn w:val="Numatytasispastraiposriftas"/>
    <w:link w:val="Porat"/>
    <w:uiPriority w:val="99"/>
    <w:qFormat/>
    <w:rsid w:val="00D12491"/>
    <w:rPr>
      <w:rFonts w:ascii="Times New Roman" w:eastAsia="Times New Roman" w:hAnsi="Times New Roman" w:cs="Times New Roman"/>
      <w:kern w:val="0"/>
      <w:lang w:val="en-US" w:eastAsia="en-GB"/>
      <w14:ligatures w14:val="none"/>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paragraph" w:customStyle="1" w:styleId="HeaderandFooter">
    <w:name w:val="Header and Footer"/>
    <w:basedOn w:val="prastasis"/>
    <w:qFormat/>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paragraph" w:styleId="Porat">
    <w:name w:val="footer"/>
    <w:basedOn w:val="prastasis"/>
    <w:link w:val="PoratDiagrama"/>
    <w:uiPriority w:val="99"/>
    <w:unhideWhenUsed/>
    <w:rsid w:val="00D12491"/>
    <w:pPr>
      <w:tabs>
        <w:tab w:val="center" w:pos="4513"/>
        <w:tab w:val="right" w:pos="9026"/>
      </w:tabs>
    </w:pPr>
  </w:style>
  <w:style w:type="paragraph" w:customStyle="1" w:styleId="Kadroturinys">
    <w:name w:val="Kadro turinys"/>
    <w:basedOn w:val="prastasis"/>
    <w:qFormat/>
  </w:style>
  <w:style w:type="table" w:styleId="Lentelstinklelis">
    <w:name w:val="Table Grid"/>
    <w:basedOn w:val="prastojilentel"/>
    <w:uiPriority w:val="39"/>
    <w:rsid w:val="00D4550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3022</Words>
  <Characters>1723</Characters>
  <Application>Microsoft Office Word</Application>
  <DocSecurity>8</DocSecurity>
  <Lines>14</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dc:description/>
  <cp:lastModifiedBy>Sigitas</cp:lastModifiedBy>
  <cp:revision>2</cp:revision>
  <dcterms:created xsi:type="dcterms:W3CDTF">2025-05-12T07:00:00Z</dcterms:created>
  <dcterms:modified xsi:type="dcterms:W3CDTF">2025-05-12T07:00:00Z</dcterms:modified>
  <dc:language>lt-LT</dc:language>
</cp:coreProperties>
</file>