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590B1" w14:textId="680C1712" w:rsidR="001C49DD" w:rsidRDefault="00260759" w:rsidP="00260759">
      <w:pPr>
        <w:spacing w:after="0" w:line="240" w:lineRule="auto"/>
        <w:jc w:val="right"/>
      </w:pPr>
      <w:r>
        <w:t>A</w:t>
      </w:r>
      <w:r w:rsidRPr="00FA6573">
        <w:t>tviro konkurso</w:t>
      </w:r>
      <w:r>
        <w:t xml:space="preserve"> Specialiųjų</w:t>
      </w:r>
      <w:r w:rsidRPr="00FA6573">
        <w:t xml:space="preserve"> sąlygų priedas Nr. </w:t>
      </w:r>
      <w:r>
        <w:t>1 „Techninė specifikacija“</w:t>
      </w:r>
    </w:p>
    <w:p w14:paraId="36E820A7" w14:textId="77777777" w:rsidR="00260759" w:rsidRDefault="00260759" w:rsidP="00260759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7AF14421" w14:textId="24C1D7EE" w:rsidR="004C1C74" w:rsidRPr="00CE760C" w:rsidRDefault="004C1C74" w:rsidP="004C1C7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E760C">
        <w:rPr>
          <w:rFonts w:cstheme="minorHAnsi"/>
          <w:b/>
          <w:bCs/>
          <w:sz w:val="24"/>
          <w:szCs w:val="24"/>
        </w:rPr>
        <w:t xml:space="preserve">ELEKTRINIŲ TRAUKINIŲ EJ575 </w:t>
      </w:r>
    </w:p>
    <w:p w14:paraId="14CFA7C4" w14:textId="13F9B81B" w:rsidR="004C1C74" w:rsidRPr="004E4934" w:rsidRDefault="004C1C74" w:rsidP="004C1C7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E760C">
        <w:rPr>
          <w:rFonts w:cstheme="minorHAnsi"/>
          <w:b/>
          <w:bCs/>
          <w:sz w:val="24"/>
          <w:szCs w:val="24"/>
        </w:rPr>
        <w:t xml:space="preserve">TRAUKOS VEŽIMĖLIŲ </w:t>
      </w:r>
      <w:r w:rsidR="0052771B" w:rsidRPr="00CE760C">
        <w:rPr>
          <w:rFonts w:cstheme="minorHAnsi"/>
          <w:b/>
          <w:bCs/>
          <w:sz w:val="24"/>
          <w:szCs w:val="24"/>
        </w:rPr>
        <w:t>KAPITALINI</w:t>
      </w:r>
      <w:r w:rsidR="003A2036" w:rsidRPr="00CE760C">
        <w:rPr>
          <w:rFonts w:cstheme="minorHAnsi"/>
          <w:b/>
          <w:bCs/>
          <w:sz w:val="24"/>
          <w:szCs w:val="24"/>
        </w:rPr>
        <w:t>O</w:t>
      </w:r>
      <w:r w:rsidRPr="00CE760C">
        <w:rPr>
          <w:rFonts w:cstheme="minorHAnsi"/>
          <w:b/>
          <w:bCs/>
          <w:sz w:val="24"/>
          <w:szCs w:val="24"/>
        </w:rPr>
        <w:t xml:space="preserve"> REMONTO </w:t>
      </w:r>
      <w:r w:rsidR="0052771B" w:rsidRPr="00CE760C">
        <w:rPr>
          <w:rFonts w:cstheme="minorHAnsi"/>
          <w:b/>
          <w:bCs/>
          <w:sz w:val="24"/>
          <w:szCs w:val="24"/>
        </w:rPr>
        <w:t>KR</w:t>
      </w:r>
    </w:p>
    <w:p w14:paraId="7D63D4C1" w14:textId="77777777" w:rsidR="004C1C74" w:rsidRPr="00CE760C" w:rsidRDefault="004C1C74" w:rsidP="004C1C7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E760C">
        <w:rPr>
          <w:rFonts w:cstheme="minorHAnsi"/>
          <w:b/>
          <w:bCs/>
          <w:sz w:val="24"/>
          <w:szCs w:val="24"/>
        </w:rPr>
        <w:t xml:space="preserve">TECHNINĖ SPECIFIKACIJA </w:t>
      </w:r>
    </w:p>
    <w:p w14:paraId="66E12E9A" w14:textId="77777777" w:rsidR="00E92BEE" w:rsidRPr="00CE760C" w:rsidRDefault="00E92BEE" w:rsidP="00514B9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AEC5D34" w14:textId="77777777" w:rsidR="004C1C74" w:rsidRPr="00CE760C" w:rsidRDefault="004C1C74" w:rsidP="004C5EB0">
      <w:pPr>
        <w:numPr>
          <w:ilvl w:val="0"/>
          <w:numId w:val="5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CE760C">
        <w:rPr>
          <w:rFonts w:cstheme="minorHAnsi"/>
          <w:b/>
          <w:sz w:val="24"/>
          <w:szCs w:val="24"/>
        </w:rPr>
        <w:t>PIRKIMO OBJEKTAS</w:t>
      </w:r>
    </w:p>
    <w:p w14:paraId="38C08362" w14:textId="6E18A119" w:rsidR="004C1C74" w:rsidRPr="00CE760C" w:rsidRDefault="004C1C74" w:rsidP="004C5EB0">
      <w:pPr>
        <w:spacing w:line="240" w:lineRule="auto"/>
        <w:jc w:val="both"/>
        <w:rPr>
          <w:rFonts w:cstheme="minorHAnsi"/>
          <w:bCs/>
          <w:spacing w:val="6"/>
          <w:sz w:val="24"/>
          <w:szCs w:val="24"/>
        </w:rPr>
      </w:pPr>
      <w:r w:rsidRPr="00CE760C">
        <w:rPr>
          <w:rFonts w:cstheme="minorHAnsi"/>
          <w:sz w:val="24"/>
          <w:szCs w:val="24"/>
        </w:rPr>
        <w:t xml:space="preserve">Elektrinių traukinių EJ575 traukos vežimėlių </w:t>
      </w:r>
      <w:r w:rsidR="0052771B" w:rsidRPr="00CE760C">
        <w:rPr>
          <w:rFonts w:cstheme="minorHAnsi"/>
          <w:sz w:val="24"/>
          <w:szCs w:val="24"/>
        </w:rPr>
        <w:t>kapitalinis</w:t>
      </w:r>
      <w:r w:rsidRPr="00CE760C">
        <w:rPr>
          <w:rFonts w:cstheme="minorHAnsi"/>
          <w:sz w:val="24"/>
          <w:szCs w:val="24"/>
        </w:rPr>
        <w:t xml:space="preserve"> remontas </w:t>
      </w:r>
      <w:r w:rsidR="0052771B" w:rsidRPr="00CE760C">
        <w:rPr>
          <w:rFonts w:cstheme="minorHAnsi"/>
          <w:sz w:val="24"/>
          <w:szCs w:val="24"/>
        </w:rPr>
        <w:t>KR</w:t>
      </w:r>
      <w:r w:rsidR="003A2036" w:rsidRPr="00CE760C">
        <w:rPr>
          <w:rFonts w:cstheme="minorHAnsi"/>
          <w:sz w:val="24"/>
          <w:szCs w:val="24"/>
        </w:rPr>
        <w:t xml:space="preserve">, </w:t>
      </w:r>
      <w:r w:rsidRPr="00CE760C">
        <w:rPr>
          <w:rFonts w:cstheme="minorHAnsi"/>
          <w:bCs/>
          <w:spacing w:val="6"/>
          <w:sz w:val="24"/>
          <w:szCs w:val="24"/>
        </w:rPr>
        <w:t>BVPŽ kodas:</w:t>
      </w:r>
      <w:r w:rsidR="006344A7" w:rsidRPr="00CE760C">
        <w:rPr>
          <w:rFonts w:cstheme="minorHAnsi"/>
          <w:bCs/>
          <w:spacing w:val="6"/>
          <w:sz w:val="24"/>
          <w:szCs w:val="24"/>
        </w:rPr>
        <w:t xml:space="preserve"> 50222000-7</w:t>
      </w:r>
      <w:r w:rsidRPr="00CE760C">
        <w:rPr>
          <w:rFonts w:cstheme="minorHAnsi"/>
          <w:bCs/>
          <w:spacing w:val="6"/>
          <w:sz w:val="24"/>
          <w:szCs w:val="24"/>
        </w:rPr>
        <w:t xml:space="preserve"> </w:t>
      </w:r>
    </w:p>
    <w:p w14:paraId="78F04E19" w14:textId="77777777" w:rsidR="004C1C74" w:rsidRPr="00CE760C" w:rsidRDefault="004C1C74" w:rsidP="004C5EB0">
      <w:pPr>
        <w:pStyle w:val="Footer"/>
        <w:numPr>
          <w:ilvl w:val="0"/>
          <w:numId w:val="5"/>
        </w:numPr>
        <w:tabs>
          <w:tab w:val="clear" w:pos="720"/>
          <w:tab w:val="clear" w:pos="4680"/>
          <w:tab w:val="clear" w:pos="9360"/>
          <w:tab w:val="left" w:pos="426"/>
        </w:tabs>
        <w:ind w:left="0" w:firstLine="0"/>
        <w:rPr>
          <w:rFonts w:asciiTheme="minorHAnsi" w:hAnsiTheme="minorHAnsi" w:cstheme="minorHAnsi"/>
          <w:b/>
          <w:bCs/>
          <w:spacing w:val="6"/>
        </w:rPr>
      </w:pPr>
      <w:r w:rsidRPr="00CE760C">
        <w:rPr>
          <w:rFonts w:asciiTheme="minorHAnsi" w:hAnsiTheme="minorHAnsi" w:cstheme="minorHAnsi"/>
          <w:b/>
          <w:bCs/>
          <w:spacing w:val="6"/>
        </w:rPr>
        <w:t>TECHNINĖS SPECIFIKACIJOS SUDARYMO TIKSLAS IR PASKIRTIS</w:t>
      </w:r>
    </w:p>
    <w:p w14:paraId="35F102DA" w14:textId="41E92C40" w:rsidR="004C1C74" w:rsidRPr="00CE760C" w:rsidRDefault="004C1C74" w:rsidP="004C5EB0">
      <w:pPr>
        <w:pStyle w:val="Footer"/>
        <w:jc w:val="both"/>
        <w:rPr>
          <w:rFonts w:asciiTheme="minorHAnsi" w:hAnsiTheme="minorHAnsi" w:cstheme="minorHAnsi"/>
          <w:bCs/>
          <w:spacing w:val="6"/>
        </w:rPr>
      </w:pPr>
      <w:r w:rsidRPr="00CE760C">
        <w:rPr>
          <w:rFonts w:asciiTheme="minorHAnsi" w:hAnsiTheme="minorHAnsi" w:cstheme="minorHAnsi"/>
        </w:rPr>
        <w:t xml:space="preserve">Elektrinių traukinių EJ575 traukos vežimėlių planinio </w:t>
      </w:r>
      <w:r w:rsidR="0052771B" w:rsidRPr="00CE760C">
        <w:rPr>
          <w:rFonts w:asciiTheme="minorHAnsi" w:hAnsiTheme="minorHAnsi" w:cstheme="minorHAnsi"/>
        </w:rPr>
        <w:t>kapitalinio</w:t>
      </w:r>
      <w:r w:rsidRPr="00CE760C">
        <w:rPr>
          <w:rFonts w:asciiTheme="minorHAnsi" w:hAnsiTheme="minorHAnsi" w:cstheme="minorHAnsi"/>
        </w:rPr>
        <w:t xml:space="preserve"> remonto</w:t>
      </w:r>
      <w:r w:rsidR="009701FE" w:rsidRPr="00CE760C">
        <w:rPr>
          <w:rFonts w:asciiTheme="minorHAnsi" w:hAnsiTheme="minorHAnsi" w:cstheme="minorHAnsi"/>
        </w:rPr>
        <w:t xml:space="preserve"> </w:t>
      </w:r>
      <w:r w:rsidR="0052771B" w:rsidRPr="00CE760C">
        <w:rPr>
          <w:rFonts w:asciiTheme="minorHAnsi" w:hAnsiTheme="minorHAnsi" w:cstheme="minorHAnsi"/>
        </w:rPr>
        <w:t>KR (kas 1 0</w:t>
      </w:r>
      <w:r w:rsidRPr="00CE760C">
        <w:rPr>
          <w:rFonts w:asciiTheme="minorHAnsi" w:hAnsiTheme="minorHAnsi" w:cstheme="minorHAnsi"/>
        </w:rPr>
        <w:t>00 000 km</w:t>
      </w:r>
      <w:r w:rsidR="003A2036" w:rsidRPr="00CE760C">
        <w:rPr>
          <w:rFonts w:asciiTheme="minorHAnsi" w:hAnsiTheme="minorHAnsi" w:cstheme="minorHAnsi"/>
        </w:rPr>
        <w:t xml:space="preserve"> ridos</w:t>
      </w:r>
      <w:r w:rsidRPr="00CE760C">
        <w:rPr>
          <w:rFonts w:asciiTheme="minorHAnsi" w:hAnsiTheme="minorHAnsi" w:cstheme="minorHAnsi"/>
        </w:rPr>
        <w:t>) paslaug</w:t>
      </w:r>
      <w:r w:rsidR="003A2036" w:rsidRPr="00CE760C">
        <w:rPr>
          <w:rFonts w:asciiTheme="minorHAnsi" w:hAnsiTheme="minorHAnsi" w:cstheme="minorHAnsi"/>
        </w:rPr>
        <w:t>ų</w:t>
      </w:r>
      <w:r w:rsidR="0052771B" w:rsidRPr="00CE760C">
        <w:rPr>
          <w:rFonts w:asciiTheme="minorHAnsi" w:hAnsiTheme="minorHAnsi" w:cstheme="minorHAnsi"/>
        </w:rPr>
        <w:t xml:space="preserve"> pirk</w:t>
      </w:r>
      <w:r w:rsidRPr="00CE760C">
        <w:rPr>
          <w:rFonts w:asciiTheme="minorHAnsi" w:hAnsiTheme="minorHAnsi" w:cstheme="minorHAnsi"/>
        </w:rPr>
        <w:t>imas</w:t>
      </w:r>
      <w:r w:rsidRPr="00CE760C">
        <w:rPr>
          <w:rFonts w:asciiTheme="minorHAnsi" w:hAnsiTheme="minorHAnsi" w:cstheme="minorHAnsi"/>
          <w:bCs/>
          <w:spacing w:val="6"/>
        </w:rPr>
        <w:t>.</w:t>
      </w:r>
    </w:p>
    <w:p w14:paraId="7A074314" w14:textId="77777777" w:rsidR="004C1C74" w:rsidRPr="00CE760C" w:rsidRDefault="004C1C74" w:rsidP="004C5EB0">
      <w:pPr>
        <w:pStyle w:val="Footer"/>
        <w:rPr>
          <w:rFonts w:asciiTheme="minorHAnsi" w:hAnsiTheme="minorHAnsi" w:cstheme="minorHAnsi"/>
          <w:bCs/>
          <w:spacing w:val="6"/>
        </w:rPr>
      </w:pPr>
    </w:p>
    <w:p w14:paraId="03A546F6" w14:textId="5AFD1EF8" w:rsidR="004C1C74" w:rsidRPr="00CE760C" w:rsidRDefault="004C1C74" w:rsidP="004C5EB0">
      <w:pPr>
        <w:pStyle w:val="Footer"/>
        <w:numPr>
          <w:ilvl w:val="0"/>
          <w:numId w:val="5"/>
        </w:numPr>
        <w:tabs>
          <w:tab w:val="clear" w:pos="720"/>
          <w:tab w:val="clear" w:pos="4680"/>
          <w:tab w:val="clear" w:pos="9360"/>
          <w:tab w:val="num" w:pos="0"/>
          <w:tab w:val="left" w:pos="426"/>
        </w:tabs>
        <w:ind w:left="0" w:firstLine="0"/>
        <w:rPr>
          <w:rFonts w:asciiTheme="minorHAnsi" w:hAnsiTheme="minorHAnsi" w:cstheme="minorHAnsi"/>
          <w:b/>
          <w:bCs/>
          <w:spacing w:val="6"/>
        </w:rPr>
      </w:pPr>
      <w:r w:rsidRPr="00CE760C">
        <w:rPr>
          <w:rFonts w:asciiTheme="minorHAnsi" w:hAnsiTheme="minorHAnsi" w:cstheme="minorHAnsi"/>
          <w:b/>
          <w:bCs/>
          <w:spacing w:val="6"/>
        </w:rPr>
        <w:t>TECHNINIAI REIKALAVIMAI, KURIUOS TURI ATITIKTI PERKAMOS PASLAUGOS</w:t>
      </w:r>
    </w:p>
    <w:p w14:paraId="76A00608" w14:textId="77777777" w:rsidR="004C1C74" w:rsidRPr="00CE760C" w:rsidRDefault="004C1C74" w:rsidP="004C5EB0">
      <w:pPr>
        <w:pStyle w:val="Footer"/>
        <w:numPr>
          <w:ilvl w:val="1"/>
          <w:numId w:val="5"/>
        </w:numPr>
        <w:tabs>
          <w:tab w:val="clear" w:pos="4680"/>
          <w:tab w:val="clear" w:pos="9360"/>
          <w:tab w:val="num" w:pos="0"/>
        </w:tabs>
        <w:rPr>
          <w:rFonts w:asciiTheme="minorHAnsi" w:hAnsiTheme="minorHAnsi" w:cstheme="minorHAnsi"/>
          <w:b/>
          <w:bCs/>
          <w:spacing w:val="6"/>
        </w:rPr>
      </w:pPr>
      <w:r w:rsidRPr="00CE760C">
        <w:rPr>
          <w:rFonts w:asciiTheme="minorHAnsi" w:hAnsiTheme="minorHAnsi" w:cstheme="minorHAnsi"/>
          <w:b/>
          <w:bCs/>
          <w:spacing w:val="6"/>
        </w:rPr>
        <w:t>3.1. STANDARTAS, TECHNINIS REGLAMENTAS AR NORMATYVAS</w:t>
      </w:r>
    </w:p>
    <w:p w14:paraId="741469B9" w14:textId="77777777" w:rsidR="004C1C74" w:rsidRPr="00CE760C" w:rsidRDefault="004C1C74" w:rsidP="004C5EB0">
      <w:pPr>
        <w:pStyle w:val="Footer"/>
        <w:jc w:val="both"/>
        <w:rPr>
          <w:rFonts w:asciiTheme="minorHAnsi" w:hAnsiTheme="minorHAnsi" w:cstheme="minorHAnsi"/>
        </w:rPr>
      </w:pPr>
      <w:r w:rsidRPr="00CE760C">
        <w:rPr>
          <w:rFonts w:asciiTheme="minorHAnsi" w:hAnsiTheme="minorHAnsi" w:cstheme="minorHAnsi"/>
        </w:rPr>
        <w:t xml:space="preserve">3.1.1. Elektrinių traukinių EJ575 eksploatavimo instrukcija; </w:t>
      </w:r>
    </w:p>
    <w:p w14:paraId="0F11C91B" w14:textId="5D88868C" w:rsidR="004C1C74" w:rsidRPr="00CE760C" w:rsidRDefault="00F46DA2" w:rsidP="004C5EB0">
      <w:pPr>
        <w:pStyle w:val="Footer"/>
        <w:rPr>
          <w:rFonts w:asciiTheme="minorHAnsi" w:hAnsiTheme="minorHAnsi" w:cstheme="minorHAnsi"/>
        </w:rPr>
      </w:pPr>
      <w:r w:rsidRPr="00CE760C">
        <w:rPr>
          <w:rFonts w:asciiTheme="minorHAnsi" w:hAnsiTheme="minorHAnsi" w:cstheme="minorHAnsi"/>
        </w:rPr>
        <w:t>3.1.2</w:t>
      </w:r>
      <w:r w:rsidR="004C1C74" w:rsidRPr="00CE760C">
        <w:rPr>
          <w:rFonts w:asciiTheme="minorHAnsi" w:hAnsiTheme="minorHAnsi" w:cstheme="minorHAnsi"/>
        </w:rPr>
        <w:t xml:space="preserve">. Elektrinio traukinio EJ575 motorinio vagono 211 traukos vežimėlių techninės priežiūros ir remonto instrukcija </w:t>
      </w:r>
      <w:proofErr w:type="spellStart"/>
      <w:r w:rsidR="004C1C74" w:rsidRPr="00CE760C">
        <w:rPr>
          <w:rFonts w:asciiTheme="minorHAnsi" w:hAnsiTheme="minorHAnsi" w:cstheme="minorHAnsi"/>
        </w:rPr>
        <w:t>Lo</w:t>
      </w:r>
      <w:proofErr w:type="spellEnd"/>
      <w:r w:rsidR="004C1C74" w:rsidRPr="00CE760C">
        <w:rPr>
          <w:rFonts w:asciiTheme="minorHAnsi" w:hAnsiTheme="minorHAnsi" w:cstheme="minorHAnsi"/>
        </w:rPr>
        <w:t xml:space="preserve"> 2008-14; </w:t>
      </w:r>
    </w:p>
    <w:p w14:paraId="385CBC1E" w14:textId="22639A85" w:rsidR="004C1C74" w:rsidRPr="00CE760C" w:rsidRDefault="00F46DA2" w:rsidP="004C5EB0">
      <w:pPr>
        <w:pStyle w:val="Footer"/>
        <w:rPr>
          <w:rFonts w:asciiTheme="minorHAnsi" w:hAnsiTheme="minorHAnsi" w:cstheme="minorHAnsi"/>
        </w:rPr>
      </w:pPr>
      <w:r w:rsidRPr="00CE760C">
        <w:rPr>
          <w:rFonts w:asciiTheme="minorHAnsi" w:hAnsiTheme="minorHAnsi" w:cstheme="minorHAnsi"/>
        </w:rPr>
        <w:t>3.1.3</w:t>
      </w:r>
      <w:r w:rsidR="004C1C74" w:rsidRPr="00CE760C">
        <w:rPr>
          <w:rFonts w:asciiTheme="minorHAnsi" w:hAnsiTheme="minorHAnsi" w:cstheme="minorHAnsi"/>
        </w:rPr>
        <w:t>. Elektrinio traukinio EJ575 motorinio vagono 211 sumontuotų ratų Ø920 su stabdžių disku techninės priežiūros instrukcija Nr.22-189;</w:t>
      </w:r>
    </w:p>
    <w:p w14:paraId="58A9A449" w14:textId="7E73F9B0" w:rsidR="004C1C74" w:rsidRPr="00CE760C" w:rsidRDefault="00F46DA2" w:rsidP="004C5EB0">
      <w:pPr>
        <w:pStyle w:val="Footer"/>
        <w:rPr>
          <w:rFonts w:asciiTheme="minorHAnsi" w:hAnsiTheme="minorHAnsi" w:cstheme="minorHAnsi"/>
        </w:rPr>
      </w:pPr>
      <w:r w:rsidRPr="00CE760C">
        <w:rPr>
          <w:rFonts w:asciiTheme="minorHAnsi" w:hAnsiTheme="minorHAnsi" w:cstheme="minorHAnsi"/>
        </w:rPr>
        <w:t>3.1.4</w:t>
      </w:r>
      <w:r w:rsidR="004C1C74" w:rsidRPr="00CE760C">
        <w:rPr>
          <w:rFonts w:asciiTheme="minorHAnsi" w:hAnsiTheme="minorHAnsi" w:cstheme="minorHAnsi"/>
        </w:rPr>
        <w:t>. Elektrinio traukinio EJ575 motorinio vagono 211 sumontuoto rato Ø920 brėžinys Nr.455.8.117.000.40;</w:t>
      </w:r>
    </w:p>
    <w:p w14:paraId="7F10791B" w14:textId="0A1876CE" w:rsidR="004C1C74" w:rsidRPr="00CE760C" w:rsidRDefault="004E791E" w:rsidP="004C5EB0">
      <w:pPr>
        <w:pStyle w:val="Foot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3.1.5</w:t>
      </w:r>
      <w:r w:rsidR="004C1C74" w:rsidRPr="00CE760C">
        <w:rPr>
          <w:rFonts w:asciiTheme="minorHAnsi" w:hAnsiTheme="minorHAnsi" w:cstheme="minorHAnsi"/>
        </w:rPr>
        <w:t>. 1520mm pločio vėžės traukos riedmenų aširačių formavimo, remonto ir techninės priežiūros instrukcija T/108.</w:t>
      </w:r>
    </w:p>
    <w:p w14:paraId="3602F2ED" w14:textId="77777777" w:rsidR="004C1C74" w:rsidRPr="00CE760C" w:rsidRDefault="004C1C74" w:rsidP="004C5EB0">
      <w:pPr>
        <w:pStyle w:val="Footer"/>
        <w:jc w:val="both"/>
        <w:rPr>
          <w:rFonts w:asciiTheme="minorHAnsi" w:hAnsiTheme="minorHAnsi" w:cstheme="minorHAnsi"/>
        </w:rPr>
      </w:pPr>
    </w:p>
    <w:p w14:paraId="2A2E3A27" w14:textId="77777777" w:rsidR="004C1C74" w:rsidRPr="00CE760C" w:rsidRDefault="004C1C74" w:rsidP="004C5EB0">
      <w:pPr>
        <w:pStyle w:val="Footer"/>
        <w:tabs>
          <w:tab w:val="left" w:pos="360"/>
          <w:tab w:val="left" w:pos="1320"/>
        </w:tabs>
        <w:rPr>
          <w:rFonts w:asciiTheme="minorHAnsi" w:hAnsiTheme="minorHAnsi" w:cstheme="minorHAnsi"/>
          <w:b/>
          <w:bCs/>
          <w:spacing w:val="6"/>
        </w:rPr>
      </w:pPr>
      <w:r w:rsidRPr="00CE760C">
        <w:rPr>
          <w:rFonts w:asciiTheme="minorHAnsi" w:hAnsiTheme="minorHAnsi" w:cstheme="minorHAnsi"/>
          <w:b/>
          <w:bCs/>
          <w:spacing w:val="6"/>
        </w:rPr>
        <w:t>3.2. PIRKIMO OBJEKTO FUNKCINĖS SAVYBĖS IR KIEKIS</w:t>
      </w:r>
    </w:p>
    <w:p w14:paraId="4A79ABA8" w14:textId="295369F2" w:rsidR="004C1C74" w:rsidRPr="00CE760C" w:rsidRDefault="004C1C74" w:rsidP="00484687">
      <w:pPr>
        <w:pStyle w:val="Footer"/>
        <w:jc w:val="both"/>
        <w:rPr>
          <w:rFonts w:asciiTheme="minorHAnsi" w:hAnsiTheme="minorHAnsi" w:cstheme="minorHAnsi"/>
          <w:color w:val="auto"/>
        </w:rPr>
      </w:pPr>
      <w:r w:rsidRPr="00CE760C">
        <w:rPr>
          <w:rFonts w:asciiTheme="minorHAnsi" w:hAnsiTheme="minorHAnsi" w:cstheme="minorHAnsi"/>
        </w:rPr>
        <w:t xml:space="preserve">3.2.1. Elektrinio traukinio EJ575 traukos vežimėlių planinis </w:t>
      </w:r>
      <w:r w:rsidR="0052771B" w:rsidRPr="00CE760C">
        <w:rPr>
          <w:rFonts w:asciiTheme="minorHAnsi" w:hAnsiTheme="minorHAnsi" w:cstheme="minorHAnsi"/>
        </w:rPr>
        <w:t>kapitalin</w:t>
      </w:r>
      <w:r w:rsidRPr="00CE760C">
        <w:rPr>
          <w:rFonts w:asciiTheme="minorHAnsi" w:hAnsiTheme="minorHAnsi" w:cstheme="minorHAnsi"/>
        </w:rPr>
        <w:t xml:space="preserve">is remontas </w:t>
      </w:r>
      <w:r w:rsidR="0052771B" w:rsidRPr="00CE760C">
        <w:rPr>
          <w:rFonts w:asciiTheme="minorHAnsi" w:hAnsiTheme="minorHAnsi" w:cstheme="minorHAnsi"/>
        </w:rPr>
        <w:t>KR</w:t>
      </w:r>
      <w:r w:rsidR="003A2036" w:rsidRPr="00CE760C">
        <w:rPr>
          <w:rFonts w:asciiTheme="minorHAnsi" w:hAnsiTheme="minorHAnsi" w:cstheme="minorHAnsi"/>
        </w:rPr>
        <w:t xml:space="preserve"> </w:t>
      </w:r>
      <w:r w:rsidR="0052771B" w:rsidRPr="00CE760C">
        <w:rPr>
          <w:rFonts w:asciiTheme="minorHAnsi" w:hAnsiTheme="minorHAnsi" w:cstheme="minorHAnsi"/>
        </w:rPr>
        <w:t xml:space="preserve">(kas </w:t>
      </w:r>
      <w:r w:rsidR="0052771B" w:rsidRPr="00CE760C">
        <w:rPr>
          <w:rFonts w:asciiTheme="minorHAnsi" w:hAnsiTheme="minorHAnsi" w:cstheme="minorHAnsi"/>
          <w:color w:val="auto"/>
        </w:rPr>
        <w:t>1 0</w:t>
      </w:r>
      <w:r w:rsidRPr="00CE760C">
        <w:rPr>
          <w:rFonts w:asciiTheme="minorHAnsi" w:hAnsiTheme="minorHAnsi" w:cstheme="minorHAnsi"/>
          <w:color w:val="auto"/>
        </w:rPr>
        <w:t>00 000  km</w:t>
      </w:r>
      <w:r w:rsidR="003A2036" w:rsidRPr="00CE760C">
        <w:rPr>
          <w:rFonts w:asciiTheme="minorHAnsi" w:hAnsiTheme="minorHAnsi" w:cstheme="minorHAnsi"/>
          <w:color w:val="auto"/>
        </w:rPr>
        <w:t xml:space="preserve"> </w:t>
      </w:r>
      <w:r w:rsidRPr="00CE760C">
        <w:rPr>
          <w:rFonts w:asciiTheme="minorHAnsi" w:hAnsiTheme="minorHAnsi" w:cstheme="minorHAnsi"/>
          <w:color w:val="auto"/>
        </w:rPr>
        <w:t>ridos</w:t>
      </w:r>
      <w:r w:rsidR="003A2036" w:rsidRPr="00CE760C">
        <w:rPr>
          <w:rFonts w:asciiTheme="minorHAnsi" w:hAnsiTheme="minorHAnsi" w:cstheme="minorHAnsi"/>
          <w:color w:val="auto"/>
        </w:rPr>
        <w:t xml:space="preserve">) </w:t>
      </w:r>
      <w:r w:rsidRPr="00CE760C">
        <w:rPr>
          <w:rFonts w:asciiTheme="minorHAnsi" w:hAnsiTheme="minorHAnsi" w:cstheme="minorHAnsi"/>
          <w:color w:val="auto"/>
        </w:rPr>
        <w:t xml:space="preserve">atliekamas </w:t>
      </w:r>
      <w:r w:rsidR="00CA5FCF" w:rsidRPr="00CE760C">
        <w:rPr>
          <w:rFonts w:asciiTheme="minorHAnsi" w:hAnsiTheme="minorHAnsi" w:cstheme="minorHAnsi"/>
          <w:color w:val="auto"/>
        </w:rPr>
        <w:t>vadovaujantis</w:t>
      </w:r>
      <w:r w:rsidRPr="00CE760C">
        <w:rPr>
          <w:rFonts w:asciiTheme="minorHAnsi" w:hAnsiTheme="minorHAnsi" w:cstheme="minorHAnsi"/>
          <w:color w:val="auto"/>
        </w:rPr>
        <w:t xml:space="preserve"> 3.1.</w:t>
      </w:r>
      <w:r w:rsidR="009079B5" w:rsidRPr="00CE760C">
        <w:rPr>
          <w:rFonts w:asciiTheme="minorHAnsi" w:hAnsiTheme="minorHAnsi" w:cstheme="minorHAnsi"/>
          <w:color w:val="auto"/>
        </w:rPr>
        <w:t xml:space="preserve"> </w:t>
      </w:r>
      <w:r w:rsidR="00CA5FCF" w:rsidRPr="00CE760C">
        <w:rPr>
          <w:rFonts w:asciiTheme="minorHAnsi" w:hAnsiTheme="minorHAnsi" w:cstheme="minorHAnsi"/>
          <w:color w:val="auto"/>
        </w:rPr>
        <w:t>punkt</w:t>
      </w:r>
      <w:r w:rsidRPr="00CE760C">
        <w:rPr>
          <w:rFonts w:asciiTheme="minorHAnsi" w:hAnsiTheme="minorHAnsi" w:cstheme="minorHAnsi"/>
          <w:color w:val="auto"/>
        </w:rPr>
        <w:t>e nurodyt</w:t>
      </w:r>
      <w:r w:rsidR="00CA5FCF" w:rsidRPr="00CE760C">
        <w:rPr>
          <w:rFonts w:asciiTheme="minorHAnsi" w:hAnsiTheme="minorHAnsi" w:cstheme="minorHAnsi"/>
          <w:color w:val="auto"/>
        </w:rPr>
        <w:t xml:space="preserve">ais </w:t>
      </w:r>
      <w:r w:rsidRPr="00CE760C">
        <w:rPr>
          <w:rFonts w:asciiTheme="minorHAnsi" w:hAnsiTheme="minorHAnsi" w:cstheme="minorHAnsi"/>
          <w:color w:val="auto"/>
        </w:rPr>
        <w:t>technin</w:t>
      </w:r>
      <w:r w:rsidR="00CA5FCF" w:rsidRPr="00CE760C">
        <w:rPr>
          <w:rFonts w:asciiTheme="minorHAnsi" w:hAnsiTheme="minorHAnsi" w:cstheme="minorHAnsi"/>
          <w:color w:val="auto"/>
        </w:rPr>
        <w:t>iais</w:t>
      </w:r>
      <w:r w:rsidRPr="00CE760C">
        <w:rPr>
          <w:rFonts w:asciiTheme="minorHAnsi" w:hAnsiTheme="minorHAnsi" w:cstheme="minorHAnsi"/>
          <w:color w:val="auto"/>
        </w:rPr>
        <w:t xml:space="preserve"> reikalavim</w:t>
      </w:r>
      <w:r w:rsidR="00CA5FCF" w:rsidRPr="00CE760C">
        <w:rPr>
          <w:rFonts w:asciiTheme="minorHAnsi" w:hAnsiTheme="minorHAnsi" w:cstheme="minorHAnsi"/>
          <w:color w:val="auto"/>
        </w:rPr>
        <w:t>ais</w:t>
      </w:r>
      <w:r w:rsidRPr="00CE760C">
        <w:rPr>
          <w:rFonts w:asciiTheme="minorHAnsi" w:hAnsiTheme="minorHAnsi" w:cstheme="minorHAnsi"/>
          <w:color w:val="auto"/>
        </w:rPr>
        <w:t>;</w:t>
      </w:r>
    </w:p>
    <w:p w14:paraId="38BB1C6E" w14:textId="2E51579E" w:rsidR="004C1C74" w:rsidRPr="00CE760C" w:rsidRDefault="004C1C74" w:rsidP="00484687">
      <w:pPr>
        <w:pStyle w:val="Footer"/>
        <w:jc w:val="both"/>
        <w:rPr>
          <w:rFonts w:asciiTheme="minorHAnsi" w:hAnsiTheme="minorHAnsi" w:cstheme="minorHAnsi"/>
          <w:color w:val="auto"/>
        </w:rPr>
      </w:pPr>
      <w:r w:rsidRPr="00CE760C">
        <w:rPr>
          <w:rFonts w:asciiTheme="minorHAnsi" w:hAnsiTheme="minorHAnsi" w:cstheme="minorHAnsi"/>
          <w:color w:val="auto"/>
        </w:rPr>
        <w:t>3.2.2. Elektrinio traukinio EJ575 tr</w:t>
      </w:r>
      <w:r w:rsidR="00B9431A" w:rsidRPr="00CE760C">
        <w:rPr>
          <w:rFonts w:asciiTheme="minorHAnsi" w:hAnsiTheme="minorHAnsi" w:cstheme="minorHAnsi"/>
          <w:color w:val="auto"/>
        </w:rPr>
        <w:t xml:space="preserve">aukos vežimėlių komplektuojančios įrangos </w:t>
      </w:r>
      <w:r w:rsidRPr="00CE760C">
        <w:rPr>
          <w:rFonts w:asciiTheme="minorHAnsi" w:hAnsiTheme="minorHAnsi" w:cstheme="minorHAnsi"/>
          <w:color w:val="auto"/>
        </w:rPr>
        <w:t>(aširačių, traukos reduktorių, elektros traukos variklių</w:t>
      </w:r>
      <w:r w:rsidR="00CA5FCF" w:rsidRPr="00CE760C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CE760C">
        <w:rPr>
          <w:rFonts w:asciiTheme="minorHAnsi" w:hAnsiTheme="minorHAnsi" w:cstheme="minorHAnsi"/>
          <w:color w:val="auto"/>
        </w:rPr>
        <w:t>ašidėžių</w:t>
      </w:r>
      <w:proofErr w:type="spellEnd"/>
      <w:r w:rsidRPr="00CE760C">
        <w:rPr>
          <w:rFonts w:asciiTheme="minorHAnsi" w:hAnsiTheme="minorHAnsi" w:cstheme="minorHAnsi"/>
          <w:color w:val="auto"/>
        </w:rPr>
        <w:t xml:space="preserve"> mazgų, stabdžių </w:t>
      </w:r>
      <w:r w:rsidR="000B2264">
        <w:rPr>
          <w:rFonts w:asciiTheme="minorHAnsi" w:hAnsiTheme="minorHAnsi" w:cstheme="minorHAnsi"/>
          <w:color w:val="auto"/>
        </w:rPr>
        <w:t xml:space="preserve">cilindrų bei </w:t>
      </w:r>
      <w:r w:rsidRPr="00CE760C">
        <w:rPr>
          <w:rFonts w:asciiTheme="minorHAnsi" w:hAnsiTheme="minorHAnsi" w:cstheme="minorHAnsi"/>
          <w:color w:val="auto"/>
        </w:rPr>
        <w:t>diskų ir t.t) remontas atliekamas vadovaujantis elektrinių tra</w:t>
      </w:r>
      <w:r w:rsidR="002F49DB" w:rsidRPr="00CE760C">
        <w:rPr>
          <w:rFonts w:asciiTheme="minorHAnsi" w:hAnsiTheme="minorHAnsi" w:cstheme="minorHAnsi"/>
          <w:color w:val="auto"/>
        </w:rPr>
        <w:t xml:space="preserve">ukinių EJ575 ir komplektuojančios įrangos </w:t>
      </w:r>
      <w:r w:rsidRPr="00CE760C">
        <w:rPr>
          <w:rFonts w:asciiTheme="minorHAnsi" w:hAnsiTheme="minorHAnsi" w:cstheme="minorHAnsi"/>
          <w:color w:val="auto"/>
        </w:rPr>
        <w:t xml:space="preserve">gamintojų </w:t>
      </w:r>
      <w:r w:rsidR="002F49DB" w:rsidRPr="00CE760C">
        <w:rPr>
          <w:rFonts w:asciiTheme="minorHAnsi" w:hAnsiTheme="minorHAnsi" w:cstheme="minorHAnsi"/>
          <w:color w:val="auto"/>
        </w:rPr>
        <w:t xml:space="preserve">atitinkamomis </w:t>
      </w:r>
      <w:r w:rsidRPr="00CE760C">
        <w:rPr>
          <w:rFonts w:asciiTheme="minorHAnsi" w:hAnsiTheme="minorHAnsi" w:cstheme="minorHAnsi"/>
          <w:color w:val="auto"/>
        </w:rPr>
        <w:t xml:space="preserve">techninės priežiūros ir remonto instrukcijomis. </w:t>
      </w:r>
    </w:p>
    <w:p w14:paraId="28019B0D" w14:textId="5F90F500" w:rsidR="00B9431A" w:rsidRPr="00CE760C" w:rsidRDefault="00B9431A" w:rsidP="00B9431A">
      <w:pPr>
        <w:pStyle w:val="Footer"/>
        <w:jc w:val="both"/>
        <w:rPr>
          <w:rFonts w:asciiTheme="minorHAnsi" w:hAnsiTheme="minorHAnsi" w:cstheme="minorHAnsi"/>
          <w:color w:val="auto"/>
        </w:rPr>
      </w:pPr>
      <w:r w:rsidRPr="00CE760C">
        <w:rPr>
          <w:rFonts w:asciiTheme="minorHAnsi" w:hAnsiTheme="minorHAnsi" w:cstheme="minorHAnsi"/>
          <w:color w:val="auto"/>
        </w:rPr>
        <w:t xml:space="preserve">3.2.3. </w:t>
      </w:r>
      <w:r w:rsidR="00CA5FCF" w:rsidRPr="00CE760C">
        <w:rPr>
          <w:rFonts w:asciiTheme="minorHAnsi" w:hAnsiTheme="minorHAnsi" w:cstheme="minorHAnsi"/>
          <w:color w:val="auto"/>
        </w:rPr>
        <w:t>Atli</w:t>
      </w:r>
      <w:r w:rsidRPr="00CE760C">
        <w:rPr>
          <w:rFonts w:asciiTheme="minorHAnsi" w:hAnsiTheme="minorHAnsi" w:cstheme="minorHAnsi"/>
          <w:color w:val="auto"/>
        </w:rPr>
        <w:t xml:space="preserve">kus </w:t>
      </w:r>
      <w:r w:rsidR="00CA5FCF" w:rsidRPr="00CE760C">
        <w:rPr>
          <w:rFonts w:asciiTheme="minorHAnsi" w:hAnsiTheme="minorHAnsi" w:cstheme="minorHAnsi"/>
          <w:color w:val="auto"/>
        </w:rPr>
        <w:t>remonto darbus</w:t>
      </w:r>
      <w:r w:rsidRPr="00CE760C">
        <w:rPr>
          <w:rFonts w:asciiTheme="minorHAnsi" w:hAnsiTheme="minorHAnsi" w:cstheme="minorHAnsi"/>
          <w:color w:val="auto"/>
        </w:rPr>
        <w:t xml:space="preserve">, </w:t>
      </w:r>
      <w:r w:rsidR="00E4648B">
        <w:rPr>
          <w:rFonts w:asciiTheme="minorHAnsi" w:hAnsiTheme="minorHAnsi" w:cstheme="minorHAnsi"/>
          <w:color w:val="auto"/>
        </w:rPr>
        <w:t>Paslaugų teikėj</w:t>
      </w:r>
      <w:r w:rsidRPr="00CE760C">
        <w:rPr>
          <w:rFonts w:asciiTheme="minorHAnsi" w:hAnsiTheme="minorHAnsi" w:cstheme="minorHAnsi"/>
          <w:color w:val="auto"/>
        </w:rPr>
        <w:t xml:space="preserve">as </w:t>
      </w:r>
      <w:r w:rsidR="00CA5FCF" w:rsidRPr="00CE760C">
        <w:rPr>
          <w:rFonts w:asciiTheme="minorHAnsi" w:hAnsiTheme="minorHAnsi" w:cstheme="minorHAnsi"/>
          <w:color w:val="auto"/>
        </w:rPr>
        <w:t xml:space="preserve">suremontuotus vežimėlius ir jų </w:t>
      </w:r>
      <w:r w:rsidRPr="00CE760C">
        <w:rPr>
          <w:rFonts w:asciiTheme="minorHAnsi" w:hAnsiTheme="minorHAnsi" w:cstheme="minorHAnsi"/>
          <w:color w:val="auto"/>
        </w:rPr>
        <w:t xml:space="preserve">įrangą </w:t>
      </w:r>
      <w:r w:rsidR="00CA5FCF" w:rsidRPr="00CE760C">
        <w:rPr>
          <w:rFonts w:asciiTheme="minorHAnsi" w:hAnsiTheme="minorHAnsi" w:cstheme="minorHAnsi"/>
          <w:color w:val="auto"/>
        </w:rPr>
        <w:t xml:space="preserve">išbando </w:t>
      </w:r>
      <w:r w:rsidRPr="00CE760C">
        <w:rPr>
          <w:rFonts w:asciiTheme="minorHAnsi" w:hAnsiTheme="minorHAnsi" w:cstheme="minorHAnsi"/>
          <w:color w:val="auto"/>
        </w:rPr>
        <w:t>vadovaujantis 3.1. punkte nurodytais techniniais reikalavimais</w:t>
      </w:r>
      <w:r w:rsidRPr="00CE760C" w:rsidDel="009F330D">
        <w:rPr>
          <w:rFonts w:asciiTheme="minorHAnsi" w:hAnsiTheme="minorHAnsi" w:cstheme="minorHAnsi"/>
          <w:color w:val="auto"/>
        </w:rPr>
        <w:t xml:space="preserve"> </w:t>
      </w:r>
      <w:r w:rsidRPr="00CE760C">
        <w:rPr>
          <w:rFonts w:asciiTheme="minorHAnsi" w:hAnsiTheme="minorHAnsi" w:cstheme="minorHAnsi"/>
          <w:color w:val="auto"/>
        </w:rPr>
        <w:t>(jei to reikalauja</w:t>
      </w:r>
      <w:r w:rsidR="002F49DB" w:rsidRPr="00CE760C">
        <w:rPr>
          <w:rFonts w:asciiTheme="minorHAnsi" w:hAnsiTheme="minorHAnsi" w:cstheme="minorHAnsi"/>
          <w:color w:val="auto"/>
        </w:rPr>
        <w:t>ma</w:t>
      </w:r>
      <w:r w:rsidRPr="00CE760C">
        <w:rPr>
          <w:rFonts w:asciiTheme="minorHAnsi" w:hAnsiTheme="minorHAnsi" w:cstheme="minorHAnsi"/>
          <w:color w:val="auto"/>
        </w:rPr>
        <w:t>) ir pateikia bandymo protokolus.</w:t>
      </w:r>
    </w:p>
    <w:p w14:paraId="0E352872" w14:textId="1BF74375" w:rsidR="00B9431A" w:rsidRPr="00CE760C" w:rsidRDefault="008C7511" w:rsidP="00B9431A">
      <w:pPr>
        <w:pStyle w:val="Footer"/>
        <w:jc w:val="both"/>
        <w:rPr>
          <w:rFonts w:asciiTheme="minorHAnsi" w:hAnsiTheme="minorHAnsi" w:cstheme="minorHAnsi"/>
          <w:color w:val="auto"/>
        </w:rPr>
      </w:pPr>
      <w:r w:rsidRPr="00CE760C">
        <w:rPr>
          <w:rFonts w:asciiTheme="minorHAnsi" w:hAnsiTheme="minorHAnsi" w:cstheme="minorHAnsi"/>
          <w:color w:val="auto"/>
        </w:rPr>
        <w:t>3.2.</w:t>
      </w:r>
      <w:r w:rsidR="00354D1E" w:rsidRPr="00CE760C">
        <w:rPr>
          <w:rFonts w:asciiTheme="minorHAnsi" w:hAnsiTheme="minorHAnsi" w:cstheme="minorHAnsi"/>
          <w:color w:val="auto"/>
        </w:rPr>
        <w:t>4</w:t>
      </w:r>
      <w:r w:rsidR="001B436D" w:rsidRPr="00CE760C">
        <w:rPr>
          <w:rFonts w:asciiTheme="minorHAnsi" w:hAnsiTheme="minorHAnsi" w:cstheme="minorHAnsi"/>
          <w:color w:val="auto"/>
        </w:rPr>
        <w:t xml:space="preserve">. </w:t>
      </w:r>
      <w:r w:rsidR="00285EEB" w:rsidRPr="00CE760C">
        <w:rPr>
          <w:rFonts w:asciiTheme="minorHAnsi" w:hAnsiTheme="minorHAnsi" w:cstheme="minorHAnsi"/>
          <w:color w:val="auto"/>
        </w:rPr>
        <w:t>Elektrinio traukinio EJ575 t</w:t>
      </w:r>
      <w:r w:rsidR="001B436D" w:rsidRPr="00CE760C">
        <w:rPr>
          <w:rFonts w:asciiTheme="minorHAnsi" w:hAnsiTheme="minorHAnsi" w:cstheme="minorHAnsi"/>
          <w:color w:val="auto"/>
        </w:rPr>
        <w:t xml:space="preserve">raukos vežimėliai, </w:t>
      </w:r>
      <w:r w:rsidR="00285EEB" w:rsidRPr="00CE760C">
        <w:rPr>
          <w:rFonts w:asciiTheme="minorHAnsi" w:hAnsiTheme="minorHAnsi" w:cstheme="minorHAnsi"/>
          <w:color w:val="auto"/>
        </w:rPr>
        <w:t xml:space="preserve">jų </w:t>
      </w:r>
      <w:r w:rsidR="001B436D" w:rsidRPr="00CE760C">
        <w:rPr>
          <w:rFonts w:asciiTheme="minorHAnsi" w:hAnsiTheme="minorHAnsi" w:cstheme="minorHAnsi"/>
          <w:color w:val="auto"/>
        </w:rPr>
        <w:t xml:space="preserve">aširačiai bei </w:t>
      </w:r>
      <w:r w:rsidR="00484687" w:rsidRPr="00CE760C">
        <w:rPr>
          <w:rFonts w:asciiTheme="minorHAnsi" w:hAnsiTheme="minorHAnsi" w:cstheme="minorHAnsi"/>
          <w:color w:val="auto"/>
        </w:rPr>
        <w:t xml:space="preserve">vežimėlių </w:t>
      </w:r>
      <w:r w:rsidR="001B436D" w:rsidRPr="00CE760C">
        <w:rPr>
          <w:rFonts w:asciiTheme="minorHAnsi" w:hAnsiTheme="minorHAnsi" w:cstheme="minorHAnsi"/>
          <w:color w:val="auto"/>
        </w:rPr>
        <w:t>kita įranga</w:t>
      </w:r>
      <w:r w:rsidR="00484687" w:rsidRPr="00CE760C">
        <w:rPr>
          <w:rFonts w:asciiTheme="minorHAnsi" w:hAnsiTheme="minorHAnsi" w:cstheme="minorHAnsi"/>
          <w:color w:val="auto"/>
        </w:rPr>
        <w:t xml:space="preserve"> tur</w:t>
      </w:r>
      <w:r w:rsidR="001B436D" w:rsidRPr="00CE760C">
        <w:rPr>
          <w:rFonts w:asciiTheme="minorHAnsi" w:hAnsiTheme="minorHAnsi" w:cstheme="minorHAnsi"/>
          <w:color w:val="auto"/>
        </w:rPr>
        <w:t>i būti atitinkamai įspauduoti/</w:t>
      </w:r>
      <w:r w:rsidR="00484687" w:rsidRPr="00CE760C">
        <w:rPr>
          <w:rFonts w:asciiTheme="minorHAnsi" w:hAnsiTheme="minorHAnsi" w:cstheme="minorHAnsi"/>
          <w:color w:val="auto"/>
        </w:rPr>
        <w:t xml:space="preserve">pažymėti </w:t>
      </w:r>
      <w:r w:rsidR="001B436D" w:rsidRPr="00CE760C">
        <w:rPr>
          <w:rFonts w:asciiTheme="minorHAnsi" w:hAnsiTheme="minorHAnsi" w:cstheme="minorHAnsi"/>
          <w:color w:val="auto"/>
        </w:rPr>
        <w:t xml:space="preserve">kontroliniais bei remonto </w:t>
      </w:r>
      <w:r w:rsidR="00285EEB" w:rsidRPr="00CE760C">
        <w:rPr>
          <w:rFonts w:asciiTheme="minorHAnsi" w:hAnsiTheme="minorHAnsi" w:cstheme="minorHAnsi"/>
          <w:color w:val="auto"/>
        </w:rPr>
        <w:t xml:space="preserve">įspaudais ir </w:t>
      </w:r>
      <w:r w:rsidR="001B436D" w:rsidRPr="00CE760C">
        <w:rPr>
          <w:rFonts w:asciiTheme="minorHAnsi" w:hAnsiTheme="minorHAnsi" w:cstheme="minorHAnsi"/>
          <w:color w:val="auto"/>
        </w:rPr>
        <w:t xml:space="preserve">žymėjimais </w:t>
      </w:r>
      <w:r w:rsidR="00484687" w:rsidRPr="00CE760C">
        <w:rPr>
          <w:rFonts w:asciiTheme="minorHAnsi" w:hAnsiTheme="minorHAnsi" w:cstheme="minorHAnsi"/>
          <w:color w:val="auto"/>
        </w:rPr>
        <w:t>pagal gamyklos gamintojos ir norminės dokumentacijos reikalavimus. Įspaudai ir žymėjimai turi būti aiškia</w:t>
      </w:r>
      <w:r w:rsidR="00B9431A" w:rsidRPr="00CE760C">
        <w:rPr>
          <w:rFonts w:asciiTheme="minorHAnsi" w:hAnsiTheme="minorHAnsi" w:cstheme="minorHAnsi"/>
          <w:color w:val="auto"/>
        </w:rPr>
        <w:t xml:space="preserve">i matomi ir įskaitomi bei </w:t>
      </w:r>
      <w:r w:rsidR="00DA369B">
        <w:rPr>
          <w:rFonts w:asciiTheme="minorHAnsi" w:hAnsiTheme="minorHAnsi" w:cstheme="minorHAnsi"/>
          <w:color w:val="auto"/>
        </w:rPr>
        <w:t>pagal juos turi būti galima</w:t>
      </w:r>
      <w:r w:rsidR="00DA369B" w:rsidRPr="00CE760C">
        <w:rPr>
          <w:rFonts w:asciiTheme="minorHAnsi" w:hAnsiTheme="minorHAnsi" w:cstheme="minorHAnsi"/>
          <w:color w:val="auto"/>
        </w:rPr>
        <w:t xml:space="preserve"> </w:t>
      </w:r>
      <w:r w:rsidR="00B9431A" w:rsidRPr="00CE760C">
        <w:rPr>
          <w:rFonts w:asciiTheme="minorHAnsi" w:hAnsiTheme="minorHAnsi" w:cstheme="minorHAnsi"/>
          <w:color w:val="auto"/>
        </w:rPr>
        <w:t xml:space="preserve">identifikuoti paslaugą atlikusią įmonę ir nustatyti remonto atlikimo datą; </w:t>
      </w:r>
    </w:p>
    <w:p w14:paraId="7002ADD3" w14:textId="77777777" w:rsidR="002F49DB" w:rsidRPr="00CE760C" w:rsidRDefault="00484687" w:rsidP="002F49DB">
      <w:pPr>
        <w:pStyle w:val="Footer"/>
        <w:jc w:val="both"/>
        <w:rPr>
          <w:rFonts w:asciiTheme="minorHAnsi" w:hAnsiTheme="minorHAnsi" w:cstheme="minorHAnsi"/>
          <w:color w:val="auto"/>
        </w:rPr>
      </w:pPr>
      <w:r w:rsidRPr="00CE760C">
        <w:rPr>
          <w:rFonts w:asciiTheme="minorHAnsi" w:hAnsiTheme="minorHAnsi" w:cstheme="minorHAnsi"/>
          <w:color w:val="auto"/>
        </w:rPr>
        <w:t>3.2.</w:t>
      </w:r>
      <w:r w:rsidR="00354D1E" w:rsidRPr="00CE760C">
        <w:rPr>
          <w:rFonts w:asciiTheme="minorHAnsi" w:hAnsiTheme="minorHAnsi" w:cstheme="minorHAnsi"/>
          <w:color w:val="auto"/>
        </w:rPr>
        <w:t>5</w:t>
      </w:r>
      <w:r w:rsidR="001B436D" w:rsidRPr="00CE760C">
        <w:rPr>
          <w:rFonts w:asciiTheme="minorHAnsi" w:hAnsiTheme="minorHAnsi" w:cstheme="minorHAnsi"/>
          <w:color w:val="auto"/>
        </w:rPr>
        <w:t xml:space="preserve">. </w:t>
      </w:r>
      <w:r w:rsidR="00285EEB" w:rsidRPr="00CE760C">
        <w:rPr>
          <w:rFonts w:asciiTheme="minorHAnsi" w:hAnsiTheme="minorHAnsi" w:cstheme="minorHAnsi"/>
          <w:color w:val="auto"/>
        </w:rPr>
        <w:t>Elektrinio traukinio EJ575 t</w:t>
      </w:r>
      <w:r w:rsidR="001B436D" w:rsidRPr="00CE760C">
        <w:rPr>
          <w:rFonts w:asciiTheme="minorHAnsi" w:hAnsiTheme="minorHAnsi" w:cstheme="minorHAnsi"/>
          <w:color w:val="auto"/>
        </w:rPr>
        <w:t>raukos vežimėlių</w:t>
      </w:r>
      <w:r w:rsidRPr="00CE760C">
        <w:rPr>
          <w:rFonts w:asciiTheme="minorHAnsi" w:hAnsiTheme="minorHAnsi" w:cstheme="minorHAnsi"/>
          <w:color w:val="auto"/>
        </w:rPr>
        <w:t xml:space="preserve"> </w:t>
      </w:r>
      <w:r w:rsidR="001B436D" w:rsidRPr="00CE760C">
        <w:rPr>
          <w:rFonts w:asciiTheme="minorHAnsi" w:hAnsiTheme="minorHAnsi" w:cstheme="minorHAnsi"/>
          <w:color w:val="auto"/>
        </w:rPr>
        <w:t xml:space="preserve">ir jų įrangos dažomi paviršiai </w:t>
      </w:r>
      <w:r w:rsidRPr="00CE760C">
        <w:rPr>
          <w:rFonts w:asciiTheme="minorHAnsi" w:hAnsiTheme="minorHAnsi" w:cstheme="minorHAnsi"/>
          <w:color w:val="auto"/>
        </w:rPr>
        <w:t xml:space="preserve">turi būti nudažyti </w:t>
      </w:r>
      <w:r w:rsidR="00B9431A" w:rsidRPr="00CE760C">
        <w:rPr>
          <w:rFonts w:asciiTheme="minorHAnsi" w:hAnsiTheme="minorHAnsi" w:cstheme="minorHAnsi"/>
          <w:color w:val="auto"/>
        </w:rPr>
        <w:t xml:space="preserve">nustatyta spalva </w:t>
      </w:r>
      <w:r w:rsidRPr="00CE760C">
        <w:rPr>
          <w:rFonts w:asciiTheme="minorHAnsi" w:hAnsiTheme="minorHAnsi" w:cstheme="minorHAnsi"/>
          <w:color w:val="auto"/>
        </w:rPr>
        <w:t>(pagrindinė spalva RAL 7011).</w:t>
      </w:r>
    </w:p>
    <w:p w14:paraId="0A568185" w14:textId="019B05B2" w:rsidR="00B9431A" w:rsidRPr="00CE760C" w:rsidRDefault="002F49DB" w:rsidP="002F49DB">
      <w:pPr>
        <w:pStyle w:val="Footer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CE760C">
        <w:rPr>
          <w:rFonts w:asciiTheme="minorHAnsi" w:hAnsiTheme="minorHAnsi" w:cstheme="minorHAnsi"/>
        </w:rPr>
        <w:t xml:space="preserve">3.2.6. Elektrinių traukinių EJ575 traukos vežimėliai </w:t>
      </w:r>
      <w:r w:rsidR="00B9431A" w:rsidRPr="00CE760C">
        <w:rPr>
          <w:rFonts w:asciiTheme="minorHAnsi" w:hAnsiTheme="minorHAnsi" w:cstheme="minorHAnsi"/>
          <w:color w:val="auto"/>
        </w:rPr>
        <w:t xml:space="preserve">transportavimui bei saugojimui turi būti </w:t>
      </w:r>
      <w:r w:rsidRPr="00CE760C">
        <w:rPr>
          <w:rFonts w:asciiTheme="minorHAnsi" w:hAnsiTheme="minorHAnsi" w:cstheme="minorHAnsi"/>
          <w:color w:val="auto"/>
        </w:rPr>
        <w:t xml:space="preserve">parengti pagal atitinkamus reikalavimus. Jų suleidimo paviršiai, vamzdynų ir </w:t>
      </w:r>
      <w:proofErr w:type="spellStart"/>
      <w:r w:rsidRPr="00CE760C">
        <w:rPr>
          <w:rFonts w:asciiTheme="minorHAnsi" w:hAnsiTheme="minorHAnsi" w:cstheme="minorHAnsi"/>
          <w:color w:val="auto"/>
        </w:rPr>
        <w:t>flanšiniai</w:t>
      </w:r>
      <w:proofErr w:type="spellEnd"/>
      <w:r w:rsidRPr="00CE760C">
        <w:rPr>
          <w:rFonts w:asciiTheme="minorHAnsi" w:hAnsiTheme="minorHAnsi" w:cstheme="minorHAnsi"/>
          <w:color w:val="auto"/>
        </w:rPr>
        <w:t xml:space="preserve"> pajungimai turi būti apsaugoti nuo išorinio poveikio (</w:t>
      </w:r>
      <w:r w:rsidR="00B9431A" w:rsidRPr="00CE760C">
        <w:rPr>
          <w:rFonts w:asciiTheme="minorHAnsi" w:hAnsiTheme="minorHAnsi" w:cstheme="minorHAnsi"/>
          <w:color w:val="auto"/>
        </w:rPr>
        <w:t>uždengti technologiniais kamščiais</w:t>
      </w:r>
      <w:r w:rsidRPr="00CE760C">
        <w:rPr>
          <w:rFonts w:asciiTheme="minorHAnsi" w:hAnsiTheme="minorHAnsi" w:cstheme="minorHAnsi"/>
          <w:color w:val="auto"/>
        </w:rPr>
        <w:t xml:space="preserve">, </w:t>
      </w:r>
      <w:r w:rsidR="00B9431A" w:rsidRPr="00CE760C">
        <w:rPr>
          <w:rFonts w:asciiTheme="minorHAnsi" w:hAnsiTheme="minorHAnsi" w:cstheme="minorHAnsi"/>
          <w:color w:val="auto"/>
        </w:rPr>
        <w:t>dangčiais</w:t>
      </w:r>
      <w:r w:rsidRPr="00CE760C">
        <w:rPr>
          <w:rFonts w:asciiTheme="minorHAnsi" w:hAnsiTheme="minorHAnsi" w:cstheme="minorHAnsi"/>
          <w:color w:val="auto"/>
        </w:rPr>
        <w:t xml:space="preserve"> ir t.t.</w:t>
      </w:r>
      <w:r w:rsidR="00B9431A" w:rsidRPr="00CE760C">
        <w:rPr>
          <w:rFonts w:asciiTheme="minorHAnsi" w:hAnsiTheme="minorHAnsi" w:cstheme="minorHAnsi"/>
          <w:color w:val="auto"/>
        </w:rPr>
        <w:t>).</w:t>
      </w:r>
    </w:p>
    <w:p w14:paraId="67202E3E" w14:textId="3336211B" w:rsidR="00B9431A" w:rsidRPr="00CE760C" w:rsidRDefault="00484687" w:rsidP="002F49DB">
      <w:pPr>
        <w:pStyle w:val="Footer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CE760C">
        <w:rPr>
          <w:rFonts w:asciiTheme="minorHAnsi" w:hAnsiTheme="minorHAnsi" w:cstheme="minorHAnsi"/>
        </w:rPr>
        <w:t>3</w:t>
      </w:r>
      <w:r w:rsidR="008C7511" w:rsidRPr="00CE760C">
        <w:rPr>
          <w:rFonts w:asciiTheme="minorHAnsi" w:hAnsiTheme="minorHAnsi" w:cstheme="minorHAnsi"/>
        </w:rPr>
        <w:t>.2.</w:t>
      </w:r>
      <w:r w:rsidR="002F49DB" w:rsidRPr="00CE760C">
        <w:rPr>
          <w:rFonts w:asciiTheme="minorHAnsi" w:hAnsiTheme="minorHAnsi" w:cstheme="minorHAnsi"/>
        </w:rPr>
        <w:t>7</w:t>
      </w:r>
      <w:r w:rsidR="008D2E39" w:rsidRPr="00CE760C">
        <w:rPr>
          <w:rFonts w:asciiTheme="minorHAnsi" w:hAnsiTheme="minorHAnsi" w:cstheme="minorHAnsi"/>
        </w:rPr>
        <w:t xml:space="preserve">. </w:t>
      </w:r>
      <w:r w:rsidR="00285EEB" w:rsidRPr="00CE760C">
        <w:rPr>
          <w:rFonts w:asciiTheme="minorHAnsi" w:hAnsiTheme="minorHAnsi" w:cstheme="minorHAnsi"/>
        </w:rPr>
        <w:t>Elektrinio traukinio EJ575 t</w:t>
      </w:r>
      <w:r w:rsidR="008D2E39" w:rsidRPr="00CE760C">
        <w:rPr>
          <w:rFonts w:asciiTheme="minorHAnsi" w:hAnsiTheme="minorHAnsi" w:cstheme="minorHAnsi"/>
        </w:rPr>
        <w:t xml:space="preserve">raukos vežimėlių </w:t>
      </w:r>
      <w:r w:rsidR="00285EEB" w:rsidRPr="00CE760C">
        <w:rPr>
          <w:rFonts w:asciiTheme="minorHAnsi" w:hAnsiTheme="minorHAnsi" w:cstheme="minorHAnsi"/>
        </w:rPr>
        <w:t xml:space="preserve">remonto </w:t>
      </w:r>
      <w:r w:rsidR="00B9431A" w:rsidRPr="00CE760C">
        <w:rPr>
          <w:rFonts w:asciiTheme="minorHAnsi" w:hAnsiTheme="minorHAnsi" w:cstheme="minorHAnsi"/>
          <w:color w:val="auto"/>
        </w:rPr>
        <w:t>kiekio poreikiai, atlikimo ir garantiniai terminai nurodomi 1. priede.</w:t>
      </w:r>
    </w:p>
    <w:p w14:paraId="589AFE2D" w14:textId="77777777" w:rsidR="00B9431A" w:rsidRDefault="00B9431A" w:rsidP="00B9431A">
      <w:pPr>
        <w:pStyle w:val="Footer"/>
        <w:jc w:val="both"/>
        <w:rPr>
          <w:rFonts w:asciiTheme="minorHAnsi" w:hAnsiTheme="minorHAnsi" w:cstheme="minorHAnsi"/>
          <w:b/>
        </w:rPr>
      </w:pPr>
    </w:p>
    <w:p w14:paraId="40149FDC" w14:textId="2E663531" w:rsidR="00514B93" w:rsidRPr="00CE760C" w:rsidRDefault="004C5EB0" w:rsidP="00484687">
      <w:pPr>
        <w:pStyle w:val="Footer"/>
        <w:jc w:val="both"/>
        <w:rPr>
          <w:rFonts w:asciiTheme="minorHAnsi" w:hAnsiTheme="minorHAnsi" w:cstheme="minorHAnsi"/>
          <w:b/>
        </w:rPr>
      </w:pPr>
      <w:r w:rsidRPr="00CE760C">
        <w:rPr>
          <w:rFonts w:asciiTheme="minorHAnsi" w:hAnsiTheme="minorHAnsi" w:cstheme="minorHAnsi"/>
          <w:b/>
        </w:rPr>
        <w:t xml:space="preserve">3.3. </w:t>
      </w:r>
      <w:r w:rsidR="00514B93" w:rsidRPr="00CE760C">
        <w:rPr>
          <w:rFonts w:asciiTheme="minorHAnsi" w:hAnsiTheme="minorHAnsi" w:cstheme="minorHAnsi"/>
          <w:b/>
        </w:rPr>
        <w:t>KITOS PIRKIMO OBJEKTO SAVYBĖS</w:t>
      </w:r>
    </w:p>
    <w:p w14:paraId="7245853F" w14:textId="63F18E68" w:rsidR="00514B93" w:rsidRPr="00CE760C" w:rsidRDefault="00514B93" w:rsidP="00B9431A">
      <w:pPr>
        <w:tabs>
          <w:tab w:val="left" w:pos="120"/>
          <w:tab w:val="left" w:pos="426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CE760C">
        <w:rPr>
          <w:rFonts w:cstheme="minorHAnsi"/>
          <w:sz w:val="24"/>
          <w:szCs w:val="24"/>
        </w:rPr>
        <w:lastRenderedPageBreak/>
        <w:t xml:space="preserve">3.3.1. Elektrinių traukinių EJ575 traukos vežimėlių remontui </w:t>
      </w:r>
      <w:r w:rsidRPr="00CE760C">
        <w:rPr>
          <w:rFonts w:cstheme="minorHAnsi"/>
          <w:bCs/>
          <w:sz w:val="24"/>
          <w:szCs w:val="24"/>
        </w:rPr>
        <w:t xml:space="preserve">turi būti naudojamos naujos originalios </w:t>
      </w:r>
      <w:r w:rsidR="006344A7" w:rsidRPr="00CE760C">
        <w:rPr>
          <w:rFonts w:cstheme="minorHAnsi"/>
          <w:bCs/>
          <w:sz w:val="24"/>
          <w:szCs w:val="24"/>
        </w:rPr>
        <w:t>arba lygiavertės</w:t>
      </w:r>
      <w:r w:rsidR="00285EEB" w:rsidRPr="00CE760C">
        <w:rPr>
          <w:rFonts w:cstheme="minorHAnsi"/>
          <w:bCs/>
          <w:sz w:val="24"/>
          <w:szCs w:val="24"/>
        </w:rPr>
        <w:t xml:space="preserve"> detalės</w:t>
      </w:r>
      <w:r w:rsidRPr="00CE760C">
        <w:rPr>
          <w:rFonts w:cstheme="minorHAnsi"/>
          <w:bCs/>
          <w:sz w:val="24"/>
          <w:szCs w:val="24"/>
        </w:rPr>
        <w:t xml:space="preserve">, kurių savybės (techniniai parametrai, eksploatavimo laikas ir kokybė) turi atitikti </w:t>
      </w:r>
      <w:r w:rsidR="00B9431A" w:rsidRPr="00CE760C">
        <w:rPr>
          <w:rFonts w:cstheme="minorHAnsi"/>
          <w:sz w:val="24"/>
          <w:szCs w:val="24"/>
        </w:rPr>
        <w:t>3.1. punkte nurodytus techninius reikalavimus</w:t>
      </w:r>
      <w:r w:rsidR="000B2264">
        <w:rPr>
          <w:rFonts w:cstheme="minorHAnsi"/>
          <w:sz w:val="24"/>
          <w:szCs w:val="24"/>
        </w:rPr>
        <w:t>. Visos guminės detalės turi būti</w:t>
      </w:r>
      <w:r w:rsidR="00FE7E9C" w:rsidRPr="00CE760C">
        <w:rPr>
          <w:rFonts w:cstheme="minorHAnsi"/>
          <w:sz w:val="24"/>
          <w:szCs w:val="24"/>
        </w:rPr>
        <w:t xml:space="preserve"> </w:t>
      </w:r>
      <w:r w:rsidR="000B2264">
        <w:rPr>
          <w:rFonts w:cstheme="minorHAnsi"/>
          <w:bCs/>
          <w:sz w:val="24"/>
          <w:szCs w:val="24"/>
        </w:rPr>
        <w:t>pagamintos</w:t>
      </w:r>
      <w:r w:rsidR="00FE7E9C" w:rsidRPr="00CE760C">
        <w:rPr>
          <w:rFonts w:cstheme="minorHAnsi"/>
          <w:bCs/>
          <w:sz w:val="24"/>
          <w:szCs w:val="24"/>
        </w:rPr>
        <w:t xml:space="preserve"> ne anksčiau kaip </w:t>
      </w:r>
      <w:r w:rsidR="008D2E39" w:rsidRPr="00CE760C">
        <w:rPr>
          <w:rFonts w:cstheme="minorHAnsi"/>
          <w:bCs/>
          <w:sz w:val="24"/>
          <w:szCs w:val="24"/>
        </w:rPr>
        <w:t xml:space="preserve">prieš </w:t>
      </w:r>
      <w:r w:rsidR="00FE7E9C" w:rsidRPr="00CE760C">
        <w:rPr>
          <w:rFonts w:cstheme="minorHAnsi"/>
          <w:bCs/>
          <w:sz w:val="24"/>
          <w:szCs w:val="24"/>
        </w:rPr>
        <w:t>12 mėn</w:t>
      </w:r>
      <w:r w:rsidR="001B436D" w:rsidRPr="00CE760C">
        <w:rPr>
          <w:rFonts w:cstheme="minorHAnsi"/>
          <w:bCs/>
          <w:sz w:val="24"/>
          <w:szCs w:val="24"/>
        </w:rPr>
        <w:t>.</w:t>
      </w:r>
    </w:p>
    <w:p w14:paraId="1DC052C7" w14:textId="5309E607" w:rsidR="00CE760C" w:rsidRPr="00CE760C" w:rsidRDefault="00CE760C" w:rsidP="00CE760C">
      <w:pPr>
        <w:pStyle w:val="Footer"/>
        <w:jc w:val="both"/>
        <w:rPr>
          <w:rFonts w:asciiTheme="minorHAnsi" w:hAnsiTheme="minorHAnsi" w:cstheme="minorHAnsi"/>
          <w:bCs/>
        </w:rPr>
      </w:pPr>
      <w:r w:rsidRPr="00CE760C">
        <w:rPr>
          <w:rFonts w:asciiTheme="minorHAnsi" w:hAnsiTheme="minorHAnsi" w:cstheme="minorHAnsi"/>
        </w:rPr>
        <w:t>3.3.2. Traukos vežimėlių aširačių naujų ratų ir stabdžių diskų eksploatavimo terminas iki visiško nusidėvėjimo (pagal normalų dilimą ir aptekinimą) turi būti ne mažesnis kaip 1 000 000 km ridos.</w:t>
      </w:r>
    </w:p>
    <w:p w14:paraId="0ED7B1B1" w14:textId="3CA83D0A" w:rsidR="00514B93" w:rsidRPr="00CE760C" w:rsidRDefault="00CE760C" w:rsidP="00484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E760C">
        <w:rPr>
          <w:rFonts w:cstheme="minorHAnsi"/>
          <w:bCs/>
          <w:sz w:val="24"/>
          <w:szCs w:val="24"/>
        </w:rPr>
        <w:t>3.3.3</w:t>
      </w:r>
      <w:r w:rsidR="00514B93" w:rsidRPr="00CE760C">
        <w:rPr>
          <w:rFonts w:cstheme="minorHAnsi"/>
          <w:bCs/>
          <w:sz w:val="24"/>
          <w:szCs w:val="24"/>
        </w:rPr>
        <w:t xml:space="preserve">. </w:t>
      </w:r>
      <w:r w:rsidR="00514B93" w:rsidRPr="00CE760C">
        <w:rPr>
          <w:rFonts w:cstheme="minorHAnsi"/>
          <w:sz w:val="24"/>
          <w:szCs w:val="24"/>
        </w:rPr>
        <w:t>Elektrinių traukinių EJ575 traukos vežimėlių remonto metu negali būti atliekami jokie remontuojamų objektų modernizavimai be suderinimo su Užsakovu.</w:t>
      </w:r>
    </w:p>
    <w:p w14:paraId="03C88163" w14:textId="3032369B" w:rsidR="00514B93" w:rsidRPr="00CE760C" w:rsidRDefault="00CE760C" w:rsidP="00484687">
      <w:pPr>
        <w:tabs>
          <w:tab w:val="left" w:pos="317"/>
          <w:tab w:val="left" w:pos="1185"/>
        </w:tabs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CE760C">
        <w:rPr>
          <w:rFonts w:cstheme="minorHAnsi"/>
          <w:sz w:val="24"/>
          <w:szCs w:val="24"/>
        </w:rPr>
        <w:t>3.3.4</w:t>
      </w:r>
      <w:r w:rsidR="00514B93" w:rsidRPr="00CE760C">
        <w:rPr>
          <w:rFonts w:cstheme="minorHAnsi"/>
          <w:sz w:val="24"/>
          <w:szCs w:val="24"/>
        </w:rPr>
        <w:t xml:space="preserve">. </w:t>
      </w:r>
      <w:r w:rsidR="00B9431A" w:rsidRPr="00CE760C">
        <w:rPr>
          <w:rFonts w:cstheme="minorHAnsi"/>
          <w:sz w:val="24"/>
          <w:szCs w:val="24"/>
        </w:rPr>
        <w:t xml:space="preserve">Elektrinių traukinių EJ575 traukos vežimėlių </w:t>
      </w:r>
      <w:r w:rsidR="00514B93" w:rsidRPr="00CE760C">
        <w:rPr>
          <w:rFonts w:cstheme="minorHAnsi"/>
          <w:sz w:val="24"/>
          <w:szCs w:val="24"/>
        </w:rPr>
        <w:t xml:space="preserve">remontui naudojant lygiavertes detales ir mazgus </w:t>
      </w:r>
      <w:r w:rsidR="00E4648B">
        <w:rPr>
          <w:rFonts w:cstheme="minorHAnsi"/>
          <w:sz w:val="24"/>
          <w:szCs w:val="24"/>
        </w:rPr>
        <w:t>Paslaugų teikėj</w:t>
      </w:r>
      <w:r w:rsidR="00514B93" w:rsidRPr="00CE760C">
        <w:rPr>
          <w:rFonts w:cstheme="minorHAnsi"/>
          <w:sz w:val="24"/>
          <w:szCs w:val="24"/>
        </w:rPr>
        <w:t xml:space="preserve">as tai </w:t>
      </w:r>
      <w:r w:rsidR="00514B93" w:rsidRPr="00CE760C">
        <w:rPr>
          <w:rFonts w:cstheme="minorHAnsi"/>
          <w:iCs/>
          <w:sz w:val="24"/>
          <w:szCs w:val="24"/>
        </w:rPr>
        <w:t xml:space="preserve">privalo suderinti su Užsakovu bei pateikti tai įrodančius dokumentus ir </w:t>
      </w:r>
      <w:r w:rsidR="00514B93" w:rsidRPr="00CE760C">
        <w:rPr>
          <w:rFonts w:cstheme="minorHAnsi"/>
          <w:sz w:val="24"/>
          <w:szCs w:val="24"/>
        </w:rPr>
        <w:t xml:space="preserve">elektrinių traukinių EJ575 </w:t>
      </w:r>
      <w:r w:rsidR="00514B93" w:rsidRPr="00CE760C">
        <w:rPr>
          <w:rFonts w:cstheme="minorHAnsi"/>
          <w:iCs/>
          <w:sz w:val="24"/>
          <w:szCs w:val="24"/>
        </w:rPr>
        <w:t xml:space="preserve">arba </w:t>
      </w:r>
      <w:r w:rsidR="00514B93" w:rsidRPr="00CE760C">
        <w:rPr>
          <w:rFonts w:cstheme="minorHAnsi"/>
          <w:sz w:val="24"/>
          <w:szCs w:val="24"/>
        </w:rPr>
        <w:t xml:space="preserve">traukos vežimėlių </w:t>
      </w:r>
      <w:r w:rsidR="00B9431A" w:rsidRPr="00CE760C">
        <w:rPr>
          <w:rFonts w:cstheme="minorHAnsi"/>
          <w:sz w:val="24"/>
          <w:szCs w:val="24"/>
        </w:rPr>
        <w:t xml:space="preserve">ir/ar įrangos </w:t>
      </w:r>
      <w:r w:rsidR="00514B93" w:rsidRPr="00CE760C">
        <w:rPr>
          <w:rFonts w:cstheme="minorHAnsi"/>
          <w:iCs/>
          <w:sz w:val="24"/>
          <w:szCs w:val="24"/>
        </w:rPr>
        <w:t xml:space="preserve">gamyklos-gamintojos raštišką patvirtinimą, kad siūlomos lygiavertės prekės </w:t>
      </w:r>
      <w:r w:rsidR="00514B93" w:rsidRPr="00CE760C">
        <w:rPr>
          <w:rFonts w:cstheme="minorHAnsi"/>
          <w:bCs/>
          <w:sz w:val="24"/>
          <w:szCs w:val="24"/>
        </w:rPr>
        <w:t xml:space="preserve">atitinka </w:t>
      </w:r>
      <w:r w:rsidR="00514B93" w:rsidRPr="00CE760C">
        <w:rPr>
          <w:rFonts w:cstheme="minorHAnsi"/>
          <w:sz w:val="24"/>
          <w:szCs w:val="24"/>
        </w:rPr>
        <w:t xml:space="preserve">gamybos techninius reikalavimus ir </w:t>
      </w:r>
      <w:r w:rsidR="00514B93" w:rsidRPr="00CE760C">
        <w:rPr>
          <w:rFonts w:cstheme="minorHAnsi"/>
          <w:iCs/>
          <w:sz w:val="24"/>
          <w:szCs w:val="24"/>
        </w:rPr>
        <w:t>tinka jų remontui. Pateikiami dokumentai turi būti originalo kalba su vertimu į lietuvių kalbą (iš anglų, vokiečių, rusų ir lenkų kalbų versti nereikia).</w:t>
      </w:r>
    </w:p>
    <w:p w14:paraId="7A734BD2" w14:textId="03AA01EA" w:rsidR="004C1C74" w:rsidRPr="00CE760C" w:rsidRDefault="00484687" w:rsidP="00484687">
      <w:pPr>
        <w:spacing w:after="0" w:line="240" w:lineRule="auto"/>
        <w:jc w:val="both"/>
        <w:rPr>
          <w:rFonts w:cstheme="minorHAnsi"/>
          <w:sz w:val="24"/>
          <w:szCs w:val="24"/>
          <w:lang w:eastAsia="lt-LT"/>
        </w:rPr>
      </w:pPr>
      <w:r w:rsidRPr="003705B5">
        <w:rPr>
          <w:rFonts w:cstheme="minorHAnsi"/>
          <w:sz w:val="24"/>
          <w:szCs w:val="24"/>
        </w:rPr>
        <w:t>3.3.</w:t>
      </w:r>
      <w:r w:rsidR="00CE760C" w:rsidRPr="003705B5">
        <w:rPr>
          <w:rFonts w:cstheme="minorHAnsi"/>
          <w:sz w:val="24"/>
          <w:szCs w:val="24"/>
        </w:rPr>
        <w:t>5</w:t>
      </w:r>
      <w:r w:rsidR="004C1C74" w:rsidRPr="003705B5">
        <w:rPr>
          <w:rFonts w:cstheme="minorHAnsi"/>
          <w:sz w:val="24"/>
          <w:szCs w:val="24"/>
        </w:rPr>
        <w:t>.</w:t>
      </w:r>
      <w:r w:rsidR="004C1C74" w:rsidRPr="00CE760C">
        <w:rPr>
          <w:rFonts w:cstheme="minorHAnsi"/>
          <w:sz w:val="24"/>
          <w:szCs w:val="24"/>
        </w:rPr>
        <w:t xml:space="preserve"> </w:t>
      </w:r>
      <w:r w:rsidR="00B9431A" w:rsidRPr="00CE760C">
        <w:rPr>
          <w:rFonts w:cstheme="minorHAnsi"/>
          <w:sz w:val="24"/>
          <w:szCs w:val="24"/>
        </w:rPr>
        <w:t>Elektrinių traukinių EJ575 t</w:t>
      </w:r>
      <w:r w:rsidR="004C1C74" w:rsidRPr="00CE760C">
        <w:rPr>
          <w:rFonts w:cstheme="minorHAnsi"/>
          <w:sz w:val="24"/>
          <w:szCs w:val="24"/>
        </w:rPr>
        <w:t>raukos vežimėlių transportavimą į ir iš remonto bazės (</w:t>
      </w:r>
      <w:r w:rsidR="004C1C74" w:rsidRPr="00CE760C">
        <w:rPr>
          <w:rFonts w:cstheme="minorHAnsi"/>
          <w:sz w:val="24"/>
          <w:szCs w:val="24"/>
          <w:lang w:eastAsia="lt-LT"/>
        </w:rPr>
        <w:t xml:space="preserve">įpakavimas, krovimas, tvirtinimas ir t.t) iki Užsakovo (adresu: Pramonės g. 78, Vilnius) bei paruošimą </w:t>
      </w:r>
      <w:r w:rsidR="00E4648B">
        <w:rPr>
          <w:rFonts w:cstheme="minorHAnsi"/>
          <w:sz w:val="24"/>
          <w:szCs w:val="24"/>
          <w:lang w:eastAsia="lt-LT"/>
        </w:rPr>
        <w:t>Paslaugų teikėj</w:t>
      </w:r>
      <w:r w:rsidR="004C1C74" w:rsidRPr="00CE760C">
        <w:rPr>
          <w:rFonts w:cstheme="minorHAnsi"/>
          <w:sz w:val="24"/>
          <w:szCs w:val="24"/>
          <w:lang w:eastAsia="lt-LT"/>
        </w:rPr>
        <w:t>as organizuoja ir vykdo savo jėgomis</w:t>
      </w:r>
      <w:r w:rsidR="006344A7" w:rsidRPr="00CE760C">
        <w:rPr>
          <w:rFonts w:cstheme="minorHAnsi"/>
          <w:sz w:val="24"/>
          <w:szCs w:val="24"/>
          <w:lang w:eastAsia="lt-LT"/>
        </w:rPr>
        <w:t xml:space="preserve"> ir lėšomis</w:t>
      </w:r>
      <w:r w:rsidR="004C1C74" w:rsidRPr="00CE760C">
        <w:rPr>
          <w:rFonts w:cstheme="minorHAnsi"/>
          <w:sz w:val="24"/>
          <w:szCs w:val="24"/>
          <w:lang w:eastAsia="lt-LT"/>
        </w:rPr>
        <w:t xml:space="preserve">. </w:t>
      </w:r>
    </w:p>
    <w:p w14:paraId="37697AF8" w14:textId="41755C52" w:rsidR="00B9431A" w:rsidRPr="00E4648B" w:rsidRDefault="00CE760C" w:rsidP="00E4648B">
      <w:pPr>
        <w:spacing w:after="0" w:line="240" w:lineRule="auto"/>
        <w:jc w:val="both"/>
        <w:rPr>
          <w:rFonts w:cstheme="minorHAnsi"/>
          <w:sz w:val="24"/>
          <w:szCs w:val="24"/>
          <w:lang w:eastAsia="lt-LT"/>
        </w:rPr>
      </w:pPr>
      <w:r w:rsidRPr="00E4648B">
        <w:rPr>
          <w:rFonts w:cstheme="minorHAnsi"/>
          <w:sz w:val="24"/>
          <w:szCs w:val="24"/>
          <w:lang w:eastAsia="lt-LT"/>
        </w:rPr>
        <w:t>3.3.6</w:t>
      </w:r>
      <w:r w:rsidR="00B9431A" w:rsidRPr="00E4648B">
        <w:rPr>
          <w:rFonts w:cstheme="minorHAnsi"/>
          <w:sz w:val="24"/>
          <w:szCs w:val="24"/>
          <w:lang w:eastAsia="lt-LT"/>
        </w:rPr>
        <w:t xml:space="preserve">. </w:t>
      </w:r>
      <w:r w:rsidR="0031168E" w:rsidRPr="00E4648B">
        <w:rPr>
          <w:rFonts w:cstheme="minorHAnsi"/>
          <w:sz w:val="24"/>
          <w:szCs w:val="24"/>
          <w:lang w:eastAsia="lt-LT"/>
        </w:rPr>
        <w:t>Elektrinių traukinių EJ575 traukos vežimėlių remontą</w:t>
      </w:r>
      <w:r w:rsidR="00B9431A" w:rsidRPr="00E4648B">
        <w:rPr>
          <w:rFonts w:cstheme="minorHAnsi"/>
          <w:sz w:val="24"/>
          <w:szCs w:val="24"/>
          <w:lang w:eastAsia="lt-LT"/>
        </w:rPr>
        <w:t xml:space="preserve"> </w:t>
      </w:r>
      <w:r w:rsidR="00E4648B">
        <w:rPr>
          <w:rFonts w:cstheme="minorHAnsi"/>
          <w:sz w:val="24"/>
          <w:szCs w:val="24"/>
          <w:lang w:eastAsia="lt-LT"/>
        </w:rPr>
        <w:t>Paslaugų teikėj</w:t>
      </w:r>
      <w:r w:rsidR="00B9431A" w:rsidRPr="00E4648B">
        <w:rPr>
          <w:rFonts w:cstheme="minorHAnsi"/>
          <w:sz w:val="24"/>
          <w:szCs w:val="24"/>
          <w:lang w:eastAsia="lt-LT"/>
        </w:rPr>
        <w:t xml:space="preserve">as atlieka savo gamybinėje bazėje, savo </w:t>
      </w:r>
      <w:r w:rsidR="00D573FA">
        <w:rPr>
          <w:rFonts w:cstheme="minorHAnsi"/>
          <w:sz w:val="24"/>
          <w:szCs w:val="24"/>
          <w:lang w:eastAsia="lt-LT"/>
        </w:rPr>
        <w:t xml:space="preserve">ar savo pasitelktų Paslaugų subteikėjų </w:t>
      </w:r>
      <w:r w:rsidR="00B9431A" w:rsidRPr="00E4648B">
        <w:rPr>
          <w:rFonts w:cstheme="minorHAnsi"/>
          <w:sz w:val="24"/>
          <w:szCs w:val="24"/>
          <w:lang w:eastAsia="lt-LT"/>
        </w:rPr>
        <w:t xml:space="preserve">detalėmis ir medžiagomis bei jėgomis. </w:t>
      </w:r>
    </w:p>
    <w:p w14:paraId="3E8034EA" w14:textId="437DBEF3" w:rsidR="001E487A" w:rsidRPr="00CE760C" w:rsidRDefault="001E487A" w:rsidP="00E4648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4648B">
        <w:rPr>
          <w:rFonts w:cstheme="minorHAnsi"/>
          <w:sz w:val="24"/>
          <w:szCs w:val="24"/>
          <w:lang w:eastAsia="lt-LT"/>
        </w:rPr>
        <w:t>3.3.</w:t>
      </w:r>
      <w:r w:rsidR="00CE760C" w:rsidRPr="00E4648B">
        <w:rPr>
          <w:rFonts w:cstheme="minorHAnsi"/>
          <w:sz w:val="24"/>
          <w:szCs w:val="24"/>
          <w:lang w:eastAsia="lt-LT"/>
        </w:rPr>
        <w:t>7</w:t>
      </w:r>
      <w:r w:rsidRPr="00E4648B">
        <w:rPr>
          <w:rFonts w:cstheme="minorHAnsi"/>
          <w:sz w:val="24"/>
          <w:szCs w:val="24"/>
          <w:lang w:eastAsia="lt-LT"/>
        </w:rPr>
        <w:t>.</w:t>
      </w:r>
      <w:r w:rsidRPr="00CE760C">
        <w:rPr>
          <w:rFonts w:cstheme="minorHAnsi"/>
          <w:sz w:val="24"/>
          <w:szCs w:val="24"/>
          <w:lang w:eastAsia="lt-LT"/>
        </w:rPr>
        <w:t xml:space="preserve"> Elektrinių</w:t>
      </w:r>
      <w:r w:rsidRPr="00CE760C">
        <w:rPr>
          <w:rFonts w:cstheme="minorHAnsi"/>
          <w:sz w:val="24"/>
          <w:szCs w:val="24"/>
        </w:rPr>
        <w:t xml:space="preserve"> traukinių EJ575 traukos vežimėlių </w:t>
      </w:r>
      <w:r w:rsidR="0031168E" w:rsidRPr="00CE760C">
        <w:rPr>
          <w:rFonts w:cstheme="minorHAnsi"/>
          <w:sz w:val="24"/>
          <w:szCs w:val="24"/>
        </w:rPr>
        <w:t xml:space="preserve">demontavimą iš riedmens ir </w:t>
      </w:r>
      <w:r w:rsidRPr="00CE760C">
        <w:rPr>
          <w:rFonts w:cstheme="minorHAnsi"/>
          <w:sz w:val="24"/>
          <w:szCs w:val="24"/>
        </w:rPr>
        <w:t>sumontavimą į riedmenį atlieka Užsakovas savo remonto bazėje, savo lėšomis ir sąskaita;</w:t>
      </w:r>
    </w:p>
    <w:p w14:paraId="6637F33A" w14:textId="4E638896" w:rsidR="001E487A" w:rsidRPr="00CE760C" w:rsidRDefault="00CE760C" w:rsidP="0031168E">
      <w:pPr>
        <w:tabs>
          <w:tab w:val="left" w:pos="0"/>
          <w:tab w:val="left" w:pos="120"/>
          <w:tab w:val="left" w:pos="426"/>
        </w:tabs>
        <w:spacing w:after="0"/>
        <w:jc w:val="both"/>
        <w:rPr>
          <w:rFonts w:cstheme="minorHAnsi"/>
          <w:iCs/>
          <w:sz w:val="24"/>
          <w:szCs w:val="24"/>
        </w:rPr>
      </w:pPr>
      <w:r w:rsidRPr="00CE760C">
        <w:rPr>
          <w:rFonts w:cstheme="minorHAnsi"/>
          <w:sz w:val="24"/>
          <w:szCs w:val="24"/>
        </w:rPr>
        <w:t>3.3.8</w:t>
      </w:r>
      <w:r w:rsidR="001E487A" w:rsidRPr="00CE760C">
        <w:rPr>
          <w:rFonts w:cstheme="minorHAnsi"/>
          <w:sz w:val="24"/>
          <w:szCs w:val="24"/>
        </w:rPr>
        <w:t xml:space="preserve">. Paslaugų metu nustatomų papildomų darbų ar dalių kainą </w:t>
      </w:r>
      <w:r w:rsidR="00E4648B">
        <w:rPr>
          <w:rFonts w:cstheme="minorHAnsi"/>
          <w:sz w:val="24"/>
          <w:szCs w:val="24"/>
        </w:rPr>
        <w:t>Paslaugų teikėj</w:t>
      </w:r>
      <w:r w:rsidR="001E487A" w:rsidRPr="00CE760C">
        <w:rPr>
          <w:rFonts w:cstheme="minorHAnsi"/>
          <w:sz w:val="24"/>
          <w:szCs w:val="24"/>
        </w:rPr>
        <w:t xml:space="preserve">as </w:t>
      </w:r>
      <w:r w:rsidR="001E487A" w:rsidRPr="00CE760C">
        <w:rPr>
          <w:rFonts w:cstheme="minorHAnsi"/>
          <w:iCs/>
          <w:sz w:val="24"/>
          <w:szCs w:val="24"/>
        </w:rPr>
        <w:t xml:space="preserve">privalo suderinti su Užsakovu pateikiant </w:t>
      </w:r>
      <w:r w:rsidR="001E487A" w:rsidRPr="00CE760C">
        <w:rPr>
          <w:rFonts w:cstheme="minorHAnsi"/>
          <w:sz w:val="24"/>
          <w:szCs w:val="24"/>
        </w:rPr>
        <w:t xml:space="preserve">papildomų darbų ar dalių </w:t>
      </w:r>
      <w:r w:rsidR="00900A09">
        <w:rPr>
          <w:rFonts w:cstheme="minorHAnsi"/>
          <w:sz w:val="24"/>
          <w:szCs w:val="24"/>
        </w:rPr>
        <w:t>sąmatą</w:t>
      </w:r>
      <w:r w:rsidR="001E487A" w:rsidRPr="00CE760C">
        <w:rPr>
          <w:rFonts w:cstheme="minorHAnsi"/>
          <w:sz w:val="24"/>
          <w:szCs w:val="24"/>
        </w:rPr>
        <w:t xml:space="preserve">-pasiūlymą. </w:t>
      </w:r>
      <w:r w:rsidR="001E487A" w:rsidRPr="00CE760C">
        <w:rPr>
          <w:rFonts w:cstheme="minorHAnsi"/>
          <w:iCs/>
          <w:sz w:val="24"/>
          <w:szCs w:val="24"/>
        </w:rPr>
        <w:t>Pateikiami dokumentai turi būti originalo kalba su vertimu į lietuvių kalbą (iš anglų, vokiečių, rusų ir lenkų kalbų versti nereikia).</w:t>
      </w:r>
    </w:p>
    <w:p w14:paraId="6E601492" w14:textId="7E94CAAB" w:rsidR="0031168E" w:rsidRPr="00CE760C" w:rsidRDefault="00CE760C" w:rsidP="0031168E">
      <w:pPr>
        <w:tabs>
          <w:tab w:val="left" w:pos="0"/>
          <w:tab w:val="left" w:pos="120"/>
          <w:tab w:val="left" w:pos="426"/>
        </w:tabs>
        <w:spacing w:after="0"/>
        <w:jc w:val="both"/>
        <w:rPr>
          <w:rFonts w:cstheme="minorHAnsi"/>
          <w:sz w:val="24"/>
          <w:szCs w:val="24"/>
        </w:rPr>
      </w:pPr>
      <w:r w:rsidRPr="00CE760C">
        <w:rPr>
          <w:rFonts w:cstheme="minorHAnsi"/>
          <w:sz w:val="24"/>
          <w:szCs w:val="24"/>
        </w:rPr>
        <w:t>3.3.9</w:t>
      </w:r>
      <w:r w:rsidR="0031168E" w:rsidRPr="00CE760C">
        <w:rPr>
          <w:rFonts w:cstheme="minorHAnsi"/>
          <w:sz w:val="24"/>
          <w:szCs w:val="24"/>
        </w:rPr>
        <w:t xml:space="preserve">. </w:t>
      </w:r>
      <w:r w:rsidR="00E4648B">
        <w:rPr>
          <w:rFonts w:cstheme="minorHAnsi"/>
          <w:sz w:val="24"/>
          <w:szCs w:val="24"/>
        </w:rPr>
        <w:t>Paslaugų teikėj</w:t>
      </w:r>
      <w:r w:rsidR="0031168E" w:rsidRPr="00CE760C">
        <w:rPr>
          <w:rFonts w:cstheme="minorHAnsi"/>
          <w:sz w:val="24"/>
          <w:szCs w:val="24"/>
        </w:rPr>
        <w:t xml:space="preserve">as privalo išsaugoti paslaugos metu pakeistas papildomas dalis iki paslaugų perdavimo Užsakovui. Užsakovui pareikalavus, paslaugų teikėjas privalo jam perduoti pakeistas detales. </w:t>
      </w:r>
    </w:p>
    <w:p w14:paraId="7B86CCF3" w14:textId="2706AE31" w:rsidR="001E487A" w:rsidRPr="00CE760C" w:rsidRDefault="001E487A" w:rsidP="0031168E">
      <w:pPr>
        <w:tabs>
          <w:tab w:val="left" w:pos="0"/>
          <w:tab w:val="left" w:pos="120"/>
          <w:tab w:val="left" w:pos="426"/>
        </w:tabs>
        <w:spacing w:after="0"/>
        <w:jc w:val="both"/>
        <w:rPr>
          <w:rFonts w:cstheme="minorHAnsi"/>
          <w:sz w:val="24"/>
          <w:szCs w:val="24"/>
        </w:rPr>
      </w:pPr>
      <w:r w:rsidRPr="00CE760C">
        <w:rPr>
          <w:rFonts w:cstheme="minorHAnsi"/>
          <w:sz w:val="24"/>
          <w:szCs w:val="24"/>
        </w:rPr>
        <w:t>3.3.</w:t>
      </w:r>
      <w:r w:rsidR="00CE760C" w:rsidRPr="00CE760C">
        <w:rPr>
          <w:rFonts w:cstheme="minorHAnsi"/>
          <w:sz w:val="24"/>
          <w:szCs w:val="24"/>
        </w:rPr>
        <w:t>10</w:t>
      </w:r>
      <w:r w:rsidR="002F49DB" w:rsidRPr="00CE760C">
        <w:rPr>
          <w:rFonts w:cstheme="minorHAnsi"/>
          <w:sz w:val="24"/>
          <w:szCs w:val="24"/>
        </w:rPr>
        <w:t xml:space="preserve">. Dėl </w:t>
      </w:r>
      <w:r w:rsidRPr="00CE760C">
        <w:rPr>
          <w:rFonts w:cstheme="minorHAnsi"/>
          <w:sz w:val="24"/>
          <w:szCs w:val="24"/>
        </w:rPr>
        <w:t xml:space="preserve">papildomų remonto paslaugų atlikimo tikslingumo pagal </w:t>
      </w:r>
      <w:r w:rsidR="00E4648B">
        <w:rPr>
          <w:rFonts w:cstheme="minorHAnsi"/>
          <w:sz w:val="24"/>
          <w:szCs w:val="24"/>
        </w:rPr>
        <w:t>Paslaugų teikėj</w:t>
      </w:r>
      <w:r w:rsidRPr="00CE760C">
        <w:rPr>
          <w:rFonts w:cstheme="minorHAnsi"/>
          <w:sz w:val="24"/>
          <w:szCs w:val="24"/>
        </w:rPr>
        <w:t>o pateiktas įrangos būklės nustatymo išvadas sprendimą priima Užsakovas.</w:t>
      </w:r>
    </w:p>
    <w:p w14:paraId="7D718F9E" w14:textId="0CDDC9E9" w:rsidR="001E487A" w:rsidRPr="00CE760C" w:rsidRDefault="001E487A" w:rsidP="0031168E">
      <w:pPr>
        <w:tabs>
          <w:tab w:val="left" w:pos="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CE760C">
        <w:rPr>
          <w:rFonts w:cstheme="minorHAnsi"/>
          <w:sz w:val="24"/>
          <w:szCs w:val="24"/>
          <w:lang w:eastAsia="lt-LT"/>
        </w:rPr>
        <w:t>3.3.1</w:t>
      </w:r>
      <w:r w:rsidR="00CE760C" w:rsidRPr="00CE760C">
        <w:rPr>
          <w:rFonts w:cstheme="minorHAnsi"/>
          <w:sz w:val="24"/>
          <w:szCs w:val="24"/>
          <w:lang w:eastAsia="lt-LT"/>
        </w:rPr>
        <w:t>1</w:t>
      </w:r>
      <w:r w:rsidRPr="00CE760C">
        <w:rPr>
          <w:rFonts w:cstheme="minorHAnsi"/>
          <w:sz w:val="24"/>
          <w:szCs w:val="24"/>
          <w:lang w:eastAsia="lt-LT"/>
        </w:rPr>
        <w:t xml:space="preserve">. </w:t>
      </w:r>
      <w:r w:rsidR="00E4648B">
        <w:rPr>
          <w:rFonts w:cstheme="minorHAnsi"/>
          <w:sz w:val="24"/>
          <w:szCs w:val="24"/>
          <w:lang w:eastAsia="lt-LT"/>
        </w:rPr>
        <w:t>Paslaugų teikėj</w:t>
      </w:r>
      <w:r w:rsidRPr="00CE760C">
        <w:rPr>
          <w:rFonts w:cstheme="minorHAnsi"/>
          <w:sz w:val="24"/>
          <w:szCs w:val="24"/>
        </w:rPr>
        <w:t>as turi sudaryti sąlygas savo gamybinėje bazėje tikrinti atliekamų remonto darbų kokybę Užsakovo atstovams.</w:t>
      </w:r>
    </w:p>
    <w:p w14:paraId="2215BFBD" w14:textId="77777777" w:rsidR="00B9431A" w:rsidRPr="00CE760C" w:rsidRDefault="00B9431A" w:rsidP="00484687">
      <w:pPr>
        <w:spacing w:after="0" w:line="240" w:lineRule="auto"/>
        <w:jc w:val="both"/>
        <w:rPr>
          <w:rFonts w:cstheme="minorHAnsi"/>
          <w:sz w:val="24"/>
          <w:szCs w:val="24"/>
          <w:lang w:eastAsia="lt-LT"/>
        </w:rPr>
      </w:pPr>
    </w:p>
    <w:p w14:paraId="6E367D14" w14:textId="77777777" w:rsidR="00CA5FCF" w:rsidRPr="00CE760C" w:rsidRDefault="00CA5FCF" w:rsidP="00CA5FCF">
      <w:pPr>
        <w:pStyle w:val="ListParagraph"/>
        <w:numPr>
          <w:ilvl w:val="0"/>
          <w:numId w:val="7"/>
        </w:numPr>
        <w:tabs>
          <w:tab w:val="left" w:pos="12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E760C">
        <w:rPr>
          <w:rFonts w:asciiTheme="minorHAnsi" w:hAnsiTheme="minorHAnsi" w:cstheme="minorHAnsi"/>
          <w:b/>
          <w:sz w:val="24"/>
          <w:szCs w:val="24"/>
        </w:rPr>
        <w:t>DOKUMENTAI, REIKALAUJAMI PIRKIMO OBJEKTO TECHNINIŲ SAVYBIŲ IR KOKYBĖS PATVIRTINIMUI</w:t>
      </w:r>
    </w:p>
    <w:p w14:paraId="170BDB55" w14:textId="768C3576" w:rsidR="00CA5FCF" w:rsidRPr="00CE760C" w:rsidRDefault="00CA5FCF" w:rsidP="00841056">
      <w:pPr>
        <w:spacing w:after="0" w:line="240" w:lineRule="auto"/>
        <w:ind w:left="709" w:hanging="709"/>
        <w:rPr>
          <w:rFonts w:cstheme="minorHAnsi"/>
          <w:b/>
          <w:sz w:val="24"/>
          <w:szCs w:val="24"/>
        </w:rPr>
      </w:pPr>
      <w:r w:rsidRPr="00CE760C">
        <w:rPr>
          <w:rFonts w:cstheme="minorHAnsi"/>
          <w:b/>
          <w:sz w:val="24"/>
          <w:szCs w:val="24"/>
        </w:rPr>
        <w:t>4.1. DOKUMENTAI, REIKALAUJAMI PRISTATYTI SU PREKĖMIS, PERDUODANT ATLIKTAS PASLAUGAS AR DARBUS</w:t>
      </w:r>
    </w:p>
    <w:p w14:paraId="3CEA0D11" w14:textId="23EA455C" w:rsidR="00CA5FCF" w:rsidRPr="00CE760C" w:rsidRDefault="00CA5FCF" w:rsidP="00CA5FCF">
      <w:pPr>
        <w:spacing w:after="0"/>
        <w:rPr>
          <w:rFonts w:cstheme="minorHAnsi"/>
          <w:sz w:val="24"/>
          <w:szCs w:val="24"/>
        </w:rPr>
      </w:pPr>
      <w:r w:rsidRPr="00CE760C">
        <w:rPr>
          <w:rFonts w:cstheme="minorHAnsi"/>
          <w:sz w:val="24"/>
          <w:szCs w:val="24"/>
        </w:rPr>
        <w:t>4.</w:t>
      </w:r>
      <w:r w:rsidR="00841056">
        <w:rPr>
          <w:rFonts w:cstheme="minorHAnsi"/>
          <w:sz w:val="24"/>
          <w:szCs w:val="24"/>
        </w:rPr>
        <w:t>1</w:t>
      </w:r>
      <w:r w:rsidRPr="00CE760C">
        <w:rPr>
          <w:rFonts w:cstheme="minorHAnsi"/>
          <w:sz w:val="24"/>
          <w:szCs w:val="24"/>
        </w:rPr>
        <w:t xml:space="preserve">.1. Atliktų elektrinio traukinio EJ575 traukos vežimėlių </w:t>
      </w:r>
      <w:r w:rsidR="00E4648B">
        <w:rPr>
          <w:rFonts w:cstheme="minorHAnsi"/>
          <w:sz w:val="24"/>
          <w:szCs w:val="24"/>
        </w:rPr>
        <w:t>paslaugų teikėj</w:t>
      </w:r>
      <w:r w:rsidRPr="00CE760C">
        <w:rPr>
          <w:rFonts w:cstheme="minorHAnsi"/>
          <w:sz w:val="24"/>
          <w:szCs w:val="24"/>
        </w:rPr>
        <w:t xml:space="preserve">o išduoti protokolai (sertifikatai, deklaracijos arba techniniai pasai su atžymomis apie atliktus remonto darbus); </w:t>
      </w:r>
    </w:p>
    <w:p w14:paraId="7A042010" w14:textId="071CEAF4" w:rsidR="00CA5FCF" w:rsidRPr="00CE760C" w:rsidRDefault="00CA5FCF" w:rsidP="00CA5FCF">
      <w:pPr>
        <w:spacing w:after="0"/>
        <w:rPr>
          <w:rFonts w:cstheme="minorHAnsi"/>
          <w:sz w:val="24"/>
          <w:szCs w:val="24"/>
        </w:rPr>
      </w:pPr>
      <w:r w:rsidRPr="00CE760C">
        <w:rPr>
          <w:rFonts w:cstheme="minorHAnsi"/>
          <w:sz w:val="24"/>
          <w:szCs w:val="24"/>
        </w:rPr>
        <w:t>4.</w:t>
      </w:r>
      <w:r w:rsidR="00841056">
        <w:rPr>
          <w:rFonts w:cstheme="minorHAnsi"/>
          <w:sz w:val="24"/>
          <w:szCs w:val="24"/>
        </w:rPr>
        <w:t>1</w:t>
      </w:r>
      <w:r w:rsidRPr="00CE760C">
        <w:rPr>
          <w:rFonts w:cstheme="minorHAnsi"/>
          <w:sz w:val="24"/>
          <w:szCs w:val="24"/>
        </w:rPr>
        <w:t>.2. Atliktų matavimų ir bandymų protokolai (pažymos, aktai);</w:t>
      </w:r>
    </w:p>
    <w:p w14:paraId="1AFDF540" w14:textId="249F87A7" w:rsidR="00CA5FCF" w:rsidRPr="00CE760C" w:rsidRDefault="00CA5FCF" w:rsidP="00CA5FCF">
      <w:pPr>
        <w:spacing w:after="0"/>
        <w:rPr>
          <w:rFonts w:cstheme="minorHAnsi"/>
          <w:sz w:val="24"/>
          <w:szCs w:val="24"/>
        </w:rPr>
      </w:pPr>
      <w:r w:rsidRPr="00CE760C">
        <w:rPr>
          <w:rFonts w:cstheme="minorHAnsi"/>
          <w:sz w:val="24"/>
          <w:szCs w:val="24"/>
        </w:rPr>
        <w:t>4.</w:t>
      </w:r>
      <w:r w:rsidR="00841056">
        <w:rPr>
          <w:rFonts w:cstheme="minorHAnsi"/>
          <w:sz w:val="24"/>
          <w:szCs w:val="24"/>
        </w:rPr>
        <w:t>1</w:t>
      </w:r>
      <w:r w:rsidRPr="00CE760C">
        <w:rPr>
          <w:rFonts w:cstheme="minorHAnsi"/>
          <w:sz w:val="24"/>
          <w:szCs w:val="24"/>
        </w:rPr>
        <w:t>.3. Panaudotų pagrindinių medžiagų, detalių ir/ar mazgų kokybės sertifikat</w:t>
      </w:r>
      <w:r w:rsidR="00841056">
        <w:rPr>
          <w:rFonts w:cstheme="minorHAnsi"/>
          <w:sz w:val="24"/>
          <w:szCs w:val="24"/>
        </w:rPr>
        <w:t>ai</w:t>
      </w:r>
      <w:r w:rsidRPr="00CE760C">
        <w:rPr>
          <w:rFonts w:cstheme="minorHAnsi"/>
          <w:sz w:val="24"/>
          <w:szCs w:val="24"/>
        </w:rPr>
        <w:t>.</w:t>
      </w:r>
    </w:p>
    <w:p w14:paraId="391891AA" w14:textId="77777777" w:rsidR="00CA5FCF" w:rsidRPr="00CE760C" w:rsidRDefault="00CA5FCF" w:rsidP="00CA5FCF">
      <w:pPr>
        <w:spacing w:after="0"/>
        <w:rPr>
          <w:rFonts w:cstheme="minorHAnsi"/>
          <w:sz w:val="24"/>
          <w:szCs w:val="24"/>
        </w:rPr>
        <w:sectPr w:rsidR="00CA5FCF" w:rsidRPr="00CE760C" w:rsidSect="00CE760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680" w:right="680" w:bottom="680" w:left="1588" w:header="567" w:footer="567" w:gutter="0"/>
          <w:cols w:space="1296"/>
          <w:docGrid w:linePitch="360"/>
        </w:sectPr>
      </w:pPr>
    </w:p>
    <w:p w14:paraId="31073608" w14:textId="77777777" w:rsidR="00CA5FCF" w:rsidRPr="00793939" w:rsidRDefault="00CA5FCF" w:rsidP="00CA5FCF">
      <w:pPr>
        <w:tabs>
          <w:tab w:val="left" w:pos="3735"/>
        </w:tabs>
        <w:spacing w:after="0" w:line="240" w:lineRule="auto"/>
        <w:jc w:val="right"/>
        <w:rPr>
          <w:szCs w:val="24"/>
        </w:rPr>
      </w:pPr>
      <w:r>
        <w:rPr>
          <w:szCs w:val="24"/>
        </w:rPr>
        <w:lastRenderedPageBreak/>
        <w:t>P</w:t>
      </w:r>
      <w:r w:rsidRPr="00793939">
        <w:rPr>
          <w:szCs w:val="24"/>
        </w:rPr>
        <w:t>riedas</w:t>
      </w:r>
      <w:r>
        <w:rPr>
          <w:szCs w:val="24"/>
        </w:rPr>
        <w:t xml:space="preserve"> 1</w:t>
      </w:r>
    </w:p>
    <w:p w14:paraId="7CB09C5B" w14:textId="77777777" w:rsidR="00CA5FCF" w:rsidRPr="00793939" w:rsidRDefault="00CA5FCF" w:rsidP="00CA5FCF">
      <w:pPr>
        <w:tabs>
          <w:tab w:val="left" w:pos="3735"/>
        </w:tabs>
        <w:spacing w:after="0" w:line="240" w:lineRule="auto"/>
        <w:jc w:val="right"/>
        <w:rPr>
          <w:szCs w:val="24"/>
        </w:rPr>
      </w:pPr>
    </w:p>
    <w:p w14:paraId="1E6B4BE4" w14:textId="77777777" w:rsidR="00CA5FCF" w:rsidRPr="00793939" w:rsidRDefault="00CA5FCF" w:rsidP="00CA5FCF">
      <w:pPr>
        <w:spacing w:after="0" w:line="240" w:lineRule="auto"/>
        <w:jc w:val="center"/>
        <w:rPr>
          <w:b/>
          <w:szCs w:val="24"/>
        </w:rPr>
      </w:pPr>
      <w:r w:rsidRPr="00793939">
        <w:rPr>
          <w:b/>
          <w:szCs w:val="24"/>
        </w:rPr>
        <w:t>PASLAUGŲ SĄRAŠAS, SUTEIKIMO TERMINAS IR GARANTINIAI TERMINAI</w:t>
      </w:r>
    </w:p>
    <w:p w14:paraId="154B34FC" w14:textId="0B7DD4E5" w:rsidR="00CA5FCF" w:rsidRPr="00793939" w:rsidRDefault="00CA5FCF" w:rsidP="00CA5FCF">
      <w:pPr>
        <w:spacing w:after="0" w:line="240" w:lineRule="auto"/>
        <w:rPr>
          <w:b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2469" w:type="dxa"/>
        <w:tblLayout w:type="fixed"/>
        <w:tblLook w:val="04A0" w:firstRow="1" w:lastRow="0" w:firstColumn="1" w:lastColumn="0" w:noHBand="0" w:noVBand="1"/>
      </w:tblPr>
      <w:tblGrid>
        <w:gridCol w:w="671"/>
        <w:gridCol w:w="4641"/>
        <w:gridCol w:w="918"/>
        <w:gridCol w:w="1702"/>
        <w:gridCol w:w="1420"/>
        <w:gridCol w:w="3117"/>
      </w:tblGrid>
      <w:tr w:rsidR="00446853" w:rsidRPr="00793939" w14:paraId="39DA9956" w14:textId="77777777" w:rsidTr="00446853">
        <w:trPr>
          <w:trHeight w:val="255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C6225" w14:textId="77777777" w:rsidR="00446853" w:rsidRPr="00793939" w:rsidRDefault="00446853" w:rsidP="00421F23">
            <w:pPr>
              <w:spacing w:after="0" w:line="240" w:lineRule="auto"/>
              <w:jc w:val="center"/>
              <w:rPr>
                <w:b/>
                <w:szCs w:val="24"/>
                <w:lang w:eastAsia="lt-LT"/>
              </w:rPr>
            </w:pPr>
            <w:r w:rsidRPr="00793939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4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DA92" w14:textId="77777777" w:rsidR="00446853" w:rsidRPr="00793939" w:rsidRDefault="00446853" w:rsidP="00421F23">
            <w:pPr>
              <w:spacing w:after="0" w:line="240" w:lineRule="auto"/>
              <w:jc w:val="center"/>
              <w:rPr>
                <w:b/>
                <w:szCs w:val="24"/>
                <w:lang w:eastAsia="lt-LT"/>
              </w:rPr>
            </w:pPr>
            <w:r w:rsidRPr="00793939">
              <w:rPr>
                <w:b/>
                <w:szCs w:val="24"/>
              </w:rPr>
              <w:t>Paslaugos pavadinimas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51EA4" w14:textId="77777777" w:rsidR="00446853" w:rsidRPr="00793939" w:rsidRDefault="00446853" w:rsidP="00421F2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14DD5">
              <w:rPr>
                <w:b/>
                <w:bCs/>
                <w:szCs w:val="24"/>
              </w:rPr>
              <w:t>Preliminarus kiekis</w:t>
            </w:r>
            <w:r w:rsidRPr="00793939">
              <w:rPr>
                <w:b/>
                <w:bCs/>
                <w:szCs w:val="24"/>
              </w:rPr>
              <w:t>, vnt.</w:t>
            </w:r>
          </w:p>
          <w:p w14:paraId="5106BE33" w14:textId="5E025EAF" w:rsidR="00446853" w:rsidRPr="00793939" w:rsidRDefault="00446853" w:rsidP="001F760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B817B" w14:textId="77777777" w:rsidR="00446853" w:rsidRPr="00793939" w:rsidRDefault="00446853" w:rsidP="00421F2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93939">
              <w:rPr>
                <w:b/>
                <w:bCs/>
                <w:szCs w:val="24"/>
              </w:rPr>
              <w:t>Garantinis terminas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302D4" w14:textId="77777777" w:rsidR="00446853" w:rsidRPr="00793939" w:rsidRDefault="00446853" w:rsidP="00421F2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93939">
              <w:rPr>
                <w:b/>
                <w:bCs/>
                <w:szCs w:val="24"/>
              </w:rPr>
              <w:t>Atlikimo terminas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0733B" w14:textId="77777777" w:rsidR="00446853" w:rsidRPr="00793939" w:rsidRDefault="00446853" w:rsidP="00421F2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93939">
              <w:rPr>
                <w:b/>
                <w:bCs/>
                <w:szCs w:val="24"/>
              </w:rPr>
              <w:t>Pagrindiniai techniniai reikalavimai pagal TS 3.1 punktą</w:t>
            </w:r>
          </w:p>
        </w:tc>
      </w:tr>
      <w:tr w:rsidR="00446853" w:rsidRPr="00793939" w14:paraId="0E990921" w14:textId="77777777" w:rsidTr="00446853">
        <w:trPr>
          <w:trHeight w:val="285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5741" w14:textId="77777777" w:rsidR="00446853" w:rsidRPr="00793939" w:rsidRDefault="00446853" w:rsidP="00421F23">
            <w:pPr>
              <w:spacing w:after="0" w:line="240" w:lineRule="auto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4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1861" w14:textId="77777777" w:rsidR="00446853" w:rsidRPr="00793939" w:rsidRDefault="00446853" w:rsidP="00421F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0AD1" w14:textId="727AA0BB" w:rsidR="00446853" w:rsidRPr="00793939" w:rsidRDefault="00446853" w:rsidP="00421F2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F558" w14:textId="77777777" w:rsidR="00446853" w:rsidRPr="00793939" w:rsidRDefault="00446853" w:rsidP="00421F2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E725" w14:textId="77777777" w:rsidR="00446853" w:rsidRPr="00793939" w:rsidRDefault="00446853" w:rsidP="00421F2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366F" w14:textId="77777777" w:rsidR="00446853" w:rsidRPr="00793939" w:rsidRDefault="00446853" w:rsidP="00421F2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4E4934" w:rsidRPr="00793939" w14:paraId="6983E150" w14:textId="77777777" w:rsidTr="00446853">
        <w:trPr>
          <w:trHeight w:val="285"/>
        </w:trPr>
        <w:tc>
          <w:tcPr>
            <w:tcW w:w="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F70E" w14:textId="77777777" w:rsidR="004E4934" w:rsidRPr="00841056" w:rsidRDefault="004E4934" w:rsidP="00421F23">
            <w:pPr>
              <w:spacing w:after="0" w:line="240" w:lineRule="auto"/>
              <w:jc w:val="center"/>
              <w:rPr>
                <w:b/>
                <w:i/>
                <w:iCs/>
                <w:szCs w:val="24"/>
                <w:lang w:eastAsia="lt-LT"/>
              </w:rPr>
            </w:pPr>
            <w:r w:rsidRPr="00841056">
              <w:rPr>
                <w:b/>
                <w:i/>
                <w:iCs/>
                <w:szCs w:val="24"/>
                <w:lang w:eastAsia="lt-LT"/>
              </w:rPr>
              <w:t>1</w:t>
            </w:r>
          </w:p>
        </w:tc>
        <w:tc>
          <w:tcPr>
            <w:tcW w:w="4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932D" w14:textId="77777777" w:rsidR="004E4934" w:rsidRPr="00841056" w:rsidRDefault="004E4934" w:rsidP="00421F23">
            <w:pPr>
              <w:spacing w:after="0" w:line="240" w:lineRule="auto"/>
              <w:jc w:val="center"/>
              <w:rPr>
                <w:b/>
                <w:i/>
                <w:iCs/>
                <w:szCs w:val="24"/>
              </w:rPr>
            </w:pPr>
            <w:r w:rsidRPr="00841056">
              <w:rPr>
                <w:b/>
                <w:i/>
                <w:iCs/>
                <w:szCs w:val="24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CF1" w14:textId="77777777" w:rsidR="004E4934" w:rsidRPr="00841056" w:rsidRDefault="004E4934" w:rsidP="00421F23">
            <w:pPr>
              <w:spacing w:after="0" w:line="240" w:lineRule="auto"/>
              <w:jc w:val="center"/>
              <w:rPr>
                <w:b/>
                <w:bCs/>
                <w:i/>
                <w:iCs/>
                <w:szCs w:val="24"/>
              </w:rPr>
            </w:pPr>
            <w:r w:rsidRPr="00841056">
              <w:rPr>
                <w:b/>
                <w:bCs/>
                <w:i/>
                <w:iCs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B7D1" w14:textId="77777777" w:rsidR="004E4934" w:rsidRPr="00841056" w:rsidRDefault="004E4934" w:rsidP="00421F23">
            <w:pPr>
              <w:spacing w:after="0" w:line="240" w:lineRule="auto"/>
              <w:jc w:val="center"/>
              <w:rPr>
                <w:b/>
                <w:bCs/>
                <w:i/>
                <w:iCs/>
                <w:szCs w:val="24"/>
              </w:rPr>
            </w:pPr>
            <w:r w:rsidRPr="00841056">
              <w:rPr>
                <w:b/>
                <w:bCs/>
                <w:i/>
                <w:iCs/>
                <w:szCs w:val="24"/>
              </w:rPr>
              <w:t>7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9D41" w14:textId="77777777" w:rsidR="004E4934" w:rsidRPr="00841056" w:rsidRDefault="004E4934" w:rsidP="00421F23">
            <w:pPr>
              <w:spacing w:after="0" w:line="240" w:lineRule="auto"/>
              <w:jc w:val="center"/>
              <w:rPr>
                <w:b/>
                <w:bCs/>
                <w:i/>
                <w:iCs/>
                <w:szCs w:val="24"/>
              </w:rPr>
            </w:pPr>
            <w:r w:rsidRPr="00841056">
              <w:rPr>
                <w:b/>
                <w:bCs/>
                <w:i/>
                <w:iCs/>
                <w:szCs w:val="24"/>
              </w:rPr>
              <w:t>8</w:t>
            </w: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F4C" w14:textId="77777777" w:rsidR="004E4934" w:rsidRPr="00841056" w:rsidRDefault="004E4934" w:rsidP="00421F23">
            <w:pPr>
              <w:spacing w:after="0" w:line="240" w:lineRule="auto"/>
              <w:jc w:val="center"/>
              <w:rPr>
                <w:b/>
                <w:bCs/>
                <w:i/>
                <w:iCs/>
                <w:szCs w:val="24"/>
              </w:rPr>
            </w:pPr>
            <w:r w:rsidRPr="00841056">
              <w:rPr>
                <w:b/>
                <w:bCs/>
                <w:i/>
                <w:iCs/>
                <w:szCs w:val="24"/>
              </w:rPr>
              <w:t>9</w:t>
            </w:r>
          </w:p>
        </w:tc>
      </w:tr>
      <w:tr w:rsidR="004E4934" w:rsidRPr="00DA7209" w14:paraId="5255965A" w14:textId="77777777" w:rsidTr="00446853">
        <w:trPr>
          <w:trHeight w:val="52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F131" w14:textId="58FBB189" w:rsidR="004E4934" w:rsidRPr="00C455E1" w:rsidRDefault="004E4934" w:rsidP="00EC6CC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lt-LT"/>
              </w:rPr>
            </w:pPr>
            <w:r>
              <w:rPr>
                <w:rFonts w:cstheme="minorHAnsi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CD2C" w14:textId="2A769704" w:rsidR="004E4934" w:rsidRPr="00C455E1" w:rsidRDefault="004E4934" w:rsidP="00EC6CC4">
            <w:pPr>
              <w:spacing w:after="0" w:line="240" w:lineRule="auto"/>
              <w:rPr>
                <w:rFonts w:cstheme="minorHAnsi"/>
                <w:sz w:val="24"/>
                <w:szCs w:val="24"/>
                <w:lang w:eastAsia="lt-LT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EJ575 traukos vežimėlio kapitalinis</w:t>
            </w:r>
            <w:r w:rsidRPr="00C455E1">
              <w:rPr>
                <w:rFonts w:cstheme="minorHAnsi"/>
                <w:color w:val="000000"/>
                <w:sz w:val="24"/>
                <w:szCs w:val="24"/>
              </w:rPr>
              <w:t xml:space="preserve"> remontas </w:t>
            </w:r>
            <w:r>
              <w:rPr>
                <w:rFonts w:cstheme="minorHAnsi"/>
                <w:color w:val="000000"/>
                <w:sz w:val="24"/>
                <w:szCs w:val="24"/>
              </w:rPr>
              <w:t>KR-1</w:t>
            </w:r>
            <w:r w:rsidRPr="00C455E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>(kas 1 000 000 km)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1229" w14:textId="37B7B4F0" w:rsidR="004E4934" w:rsidRPr="00C455E1" w:rsidRDefault="004E4934" w:rsidP="00EC6CC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96C3" w14:textId="615BA742" w:rsidR="004E4934" w:rsidRPr="00C455E1" w:rsidRDefault="004E4934" w:rsidP="00EC6CC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="00446853">
              <w:rPr>
                <w:rFonts w:cstheme="minorHAnsi"/>
                <w:sz w:val="24"/>
                <w:szCs w:val="24"/>
              </w:rPr>
              <w:t>*</w:t>
            </w:r>
            <w:r w:rsidRPr="00C455E1">
              <w:rPr>
                <w:rFonts w:cstheme="minorHAnsi"/>
                <w:sz w:val="24"/>
                <w:szCs w:val="24"/>
              </w:rPr>
              <w:t xml:space="preserve"> mėn.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6419" w14:textId="1C762947" w:rsidR="004E4934" w:rsidRPr="00C455E1" w:rsidRDefault="004E4934" w:rsidP="00EC6CC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Pr="00C455E1">
              <w:rPr>
                <w:rFonts w:cstheme="minorHAnsi"/>
                <w:sz w:val="24"/>
                <w:szCs w:val="24"/>
              </w:rPr>
              <w:t xml:space="preserve">0 </w:t>
            </w:r>
            <w:proofErr w:type="spellStart"/>
            <w:r w:rsidRPr="00C455E1">
              <w:rPr>
                <w:rFonts w:cstheme="minorHAnsi"/>
                <w:sz w:val="24"/>
                <w:szCs w:val="24"/>
              </w:rPr>
              <w:t>k.d</w:t>
            </w:r>
            <w:proofErr w:type="spellEnd"/>
            <w:r w:rsidRPr="00C455E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E1D5" w14:textId="16AF076C" w:rsidR="004E4934" w:rsidRPr="00C455E1" w:rsidRDefault="004E4934" w:rsidP="00EC6CC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3.1.2</w:t>
            </w:r>
            <w:r w:rsidRPr="00C455E1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841056" w:rsidRPr="00DA7209" w14:paraId="2A30ADC0" w14:textId="77777777" w:rsidTr="00446853">
        <w:trPr>
          <w:trHeight w:val="40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CE9" w14:textId="28866E07" w:rsidR="00841056" w:rsidRPr="00C455E1" w:rsidRDefault="00841056" w:rsidP="00421F2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lt-LT"/>
              </w:rPr>
            </w:pPr>
            <w:r>
              <w:rPr>
                <w:rFonts w:cstheme="minorHAnsi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1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D567" w14:textId="7E6F1135" w:rsidR="00841056" w:rsidRPr="00C455E1" w:rsidRDefault="00841056" w:rsidP="00421F2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Papildomi darbai:</w:t>
            </w:r>
          </w:p>
        </w:tc>
      </w:tr>
      <w:tr w:rsidR="004E4934" w:rsidRPr="00DA7209" w14:paraId="168EEFC2" w14:textId="77777777" w:rsidTr="00446853">
        <w:trPr>
          <w:trHeight w:val="33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DE33" w14:textId="77191CF2" w:rsidR="004E4934" w:rsidRPr="00C455E1" w:rsidRDefault="004E4934" w:rsidP="00967BE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lt-LT"/>
              </w:rPr>
            </w:pPr>
            <w:r>
              <w:rPr>
                <w:lang w:eastAsia="lt-LT"/>
              </w:rPr>
              <w:t>2.1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2CC3" w14:textId="7D8A67F8" w:rsidR="004E4934" w:rsidRPr="00C455E1" w:rsidRDefault="004E4934" w:rsidP="00967BE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E02E4">
              <w:t>Varančiojo krumpliaračio pakeitimas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ED55" w14:textId="0452383E" w:rsidR="004E4934" w:rsidRPr="00F46DA2" w:rsidRDefault="004E4934" w:rsidP="00967BE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46DA2"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5770" w14:textId="365316ED" w:rsidR="004E4934" w:rsidRPr="00C455E1" w:rsidRDefault="004E4934" w:rsidP="00967BE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600 000 km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56ED" w14:textId="7203791F" w:rsidR="004E4934" w:rsidRPr="00C455E1" w:rsidRDefault="004E4934" w:rsidP="00967BE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AA06" w14:textId="2EC97E25" w:rsidR="004E4934" w:rsidRPr="00C455E1" w:rsidRDefault="004E4934" w:rsidP="00967BE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3.1.2</w:t>
            </w:r>
            <w:r w:rsidRPr="00C455E1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E4934" w:rsidRPr="00DA7209" w14:paraId="58CF6EE1" w14:textId="77777777" w:rsidTr="00446853">
        <w:trPr>
          <w:trHeight w:val="60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D93B" w14:textId="38E02DC6" w:rsidR="004E4934" w:rsidRPr="00C455E1" w:rsidRDefault="004E4934" w:rsidP="00967BE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lt-LT"/>
              </w:rPr>
            </w:pPr>
            <w:r>
              <w:rPr>
                <w:lang w:eastAsia="lt-LT"/>
              </w:rPr>
              <w:t>2.2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A48B" w14:textId="08D6A88C" w:rsidR="004E4934" w:rsidRPr="00C455E1" w:rsidRDefault="004E4934" w:rsidP="00967BEA">
            <w:pPr>
              <w:spacing w:after="0" w:line="240" w:lineRule="auto"/>
              <w:rPr>
                <w:rFonts w:cstheme="minorHAnsi"/>
                <w:sz w:val="24"/>
                <w:szCs w:val="24"/>
                <w:lang w:eastAsia="lt-LT"/>
              </w:rPr>
            </w:pPr>
            <w:r>
              <w:t>Reduktoriaus krumpliaračio Lo507058=1</w:t>
            </w:r>
            <w:r w:rsidRPr="002E02E4">
              <w:t xml:space="preserve"> pakeitimas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48EE" w14:textId="35E3C2A4" w:rsidR="004E4934" w:rsidRPr="00F46DA2" w:rsidRDefault="004E4934" w:rsidP="00967BE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46DA2"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69A9" w14:textId="070CAC6E" w:rsidR="004E4934" w:rsidRPr="00C455E1" w:rsidRDefault="004E4934" w:rsidP="00967BE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600 000 km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3DA0" w14:textId="0A4A7E4B" w:rsidR="004E4934" w:rsidRPr="00C455E1" w:rsidRDefault="004E4934" w:rsidP="00967BE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1D09" w14:textId="7D0D2B12" w:rsidR="004E4934" w:rsidRPr="00C455E1" w:rsidRDefault="004E4934" w:rsidP="00967BE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3.1.2</w:t>
            </w:r>
            <w:r w:rsidRPr="00C455E1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E4934" w:rsidRPr="00DA7209" w14:paraId="47C05595" w14:textId="77777777" w:rsidTr="00446853">
        <w:trPr>
          <w:trHeight w:val="33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FA15" w14:textId="01C337D0" w:rsidR="004E4934" w:rsidRPr="00C455E1" w:rsidRDefault="004E4934" w:rsidP="00967BE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lt-LT"/>
              </w:rPr>
            </w:pPr>
            <w:r>
              <w:rPr>
                <w:lang w:eastAsia="lt-LT"/>
              </w:rPr>
              <w:t>2.3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DC149" w14:textId="77777777" w:rsidR="004E4934" w:rsidRPr="00C455E1" w:rsidRDefault="004E4934" w:rsidP="00967BEA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E02E4">
              <w:t>Aširačio varomojo krumpliaračio pakeitimas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D634" w14:textId="77777777" w:rsidR="004E4934" w:rsidRPr="00F46DA2" w:rsidRDefault="004E4934" w:rsidP="00967BE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46DA2"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8D50" w14:textId="77777777" w:rsidR="004E4934" w:rsidRPr="00C455E1" w:rsidRDefault="004E4934" w:rsidP="00967BE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800 000 km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DB9B" w14:textId="77777777" w:rsidR="004E4934" w:rsidRPr="00C455E1" w:rsidRDefault="004E4934" w:rsidP="00967BE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7CDC" w14:textId="77777777" w:rsidR="004E4934" w:rsidRPr="00C455E1" w:rsidRDefault="004E4934" w:rsidP="00967BE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3.1.2</w:t>
            </w:r>
            <w:r w:rsidRPr="00C455E1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E4934" w:rsidRPr="00DA7209" w14:paraId="6E52CB74" w14:textId="77777777" w:rsidTr="00446853">
        <w:trPr>
          <w:trHeight w:val="27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B764" w14:textId="52F702E1" w:rsidR="004E4934" w:rsidRPr="00C455E1" w:rsidRDefault="004E4934" w:rsidP="00F46DA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lt-LT"/>
              </w:rPr>
            </w:pPr>
            <w:r>
              <w:rPr>
                <w:lang w:eastAsia="lt-LT"/>
              </w:rPr>
              <w:t>2.</w:t>
            </w:r>
            <w:r w:rsidRPr="002E02E4">
              <w:rPr>
                <w:lang w:eastAsia="lt-LT"/>
              </w:rPr>
              <w:t>4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513D" w14:textId="77777777" w:rsidR="004E4934" w:rsidRPr="00C455E1" w:rsidRDefault="004E4934" w:rsidP="00F46DA2">
            <w:pPr>
              <w:spacing w:after="0" w:line="240" w:lineRule="auto"/>
              <w:rPr>
                <w:rFonts w:cstheme="minorHAnsi"/>
                <w:sz w:val="24"/>
                <w:szCs w:val="24"/>
                <w:lang w:eastAsia="lt-LT"/>
              </w:rPr>
            </w:pPr>
            <w:r>
              <w:t>Tuščiavidurio</w:t>
            </w:r>
            <w:r w:rsidRPr="002E02E4">
              <w:t xml:space="preserve"> velen</w:t>
            </w:r>
            <w:r>
              <w:t>o</w:t>
            </w:r>
            <w:r w:rsidRPr="002E02E4">
              <w:t xml:space="preserve"> </w:t>
            </w:r>
            <w:r>
              <w:t xml:space="preserve">Lo509260 </w:t>
            </w:r>
            <w:r w:rsidRPr="002E02E4">
              <w:t>pa</w:t>
            </w:r>
            <w:r>
              <w:t>keiti</w:t>
            </w:r>
            <w:r w:rsidRPr="002E02E4">
              <w:t xml:space="preserve">mas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9029" w14:textId="77777777" w:rsidR="004E4934" w:rsidRPr="00F46DA2" w:rsidRDefault="004E4934" w:rsidP="00F46DA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46DA2"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C480" w14:textId="7E9A55E5" w:rsidR="004E4934" w:rsidRPr="00C455E1" w:rsidRDefault="004E4934" w:rsidP="00F46DA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Pr="00C455E1">
              <w:rPr>
                <w:rFonts w:cstheme="minorHAnsi"/>
                <w:sz w:val="24"/>
                <w:szCs w:val="24"/>
              </w:rPr>
              <w:t xml:space="preserve"> mėn.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4602" w14:textId="66DBC99A" w:rsidR="004E4934" w:rsidRPr="00C455E1" w:rsidRDefault="004E4934" w:rsidP="00F46DA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7698" w14:textId="412DDA0B" w:rsidR="004E4934" w:rsidRPr="00C455E1" w:rsidRDefault="004E4934" w:rsidP="00F46DA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3.1.2</w:t>
            </w:r>
            <w:r w:rsidRPr="00C455E1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E4934" w:rsidRPr="00DA7209" w14:paraId="0D4A946C" w14:textId="77777777" w:rsidTr="00446853">
        <w:trPr>
          <w:trHeight w:val="27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FE9E" w14:textId="1AD95D6B" w:rsidR="004E4934" w:rsidRDefault="004E4934" w:rsidP="002F264E">
            <w:pPr>
              <w:spacing w:after="0" w:line="240" w:lineRule="auto"/>
              <w:jc w:val="center"/>
              <w:rPr>
                <w:lang w:eastAsia="lt-LT"/>
              </w:rPr>
            </w:pPr>
            <w:r w:rsidRPr="002F264E">
              <w:rPr>
                <w:rFonts w:ascii="Calibri" w:eastAsia="Calibri" w:hAnsi="Calibri" w:cs="Times New Roman"/>
                <w:lang w:eastAsia="lt-LT"/>
              </w:rPr>
              <w:t>2.5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3D388" w14:textId="1FE19529" w:rsidR="004E4934" w:rsidRDefault="004E4934" w:rsidP="002F264E">
            <w:pPr>
              <w:spacing w:after="0" w:line="240" w:lineRule="auto"/>
            </w:pPr>
            <w:r w:rsidRPr="002F264E">
              <w:rPr>
                <w:rFonts w:ascii="Calibri" w:eastAsia="Calibri" w:hAnsi="Calibri" w:cs="Times New Roman"/>
              </w:rPr>
              <w:t xml:space="preserve">Aširačio ašies pakeitimas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E3F7" w14:textId="2C23FDB8" w:rsidR="004E4934" w:rsidRPr="00F46DA2" w:rsidRDefault="004E4934" w:rsidP="002F264E">
            <w:pPr>
              <w:spacing w:after="0" w:line="240" w:lineRule="auto"/>
              <w:jc w:val="center"/>
              <w:rPr>
                <w:b/>
              </w:rPr>
            </w:pPr>
            <w:r w:rsidRPr="002F264E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0061" w14:textId="1DA5351B" w:rsidR="004E4934" w:rsidRDefault="004E4934" w:rsidP="002F264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102 mėn.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75C5" w14:textId="77777777" w:rsidR="004E4934" w:rsidRPr="00C455E1" w:rsidRDefault="004E4934" w:rsidP="002F264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F7C9" w14:textId="77777777" w:rsidR="004E4934" w:rsidRDefault="004E4934" w:rsidP="002F264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E4934" w:rsidRPr="00DA7209" w14:paraId="7FA23B06" w14:textId="77777777" w:rsidTr="00446853">
        <w:trPr>
          <w:trHeight w:val="56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C8C7" w14:textId="122CEBB9" w:rsidR="004E4934" w:rsidRPr="00C455E1" w:rsidRDefault="004E4934" w:rsidP="00F46DA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lt-LT"/>
              </w:rPr>
            </w:pPr>
            <w:r>
              <w:rPr>
                <w:lang w:eastAsia="lt-LT"/>
              </w:rPr>
              <w:t>2.6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59C0" w14:textId="181E1854" w:rsidR="004E4934" w:rsidRPr="00C455E1" w:rsidRDefault="004E4934" w:rsidP="00F46DA2">
            <w:pPr>
              <w:spacing w:after="0" w:line="240" w:lineRule="auto"/>
              <w:rPr>
                <w:rFonts w:cstheme="minorHAnsi"/>
                <w:sz w:val="24"/>
                <w:szCs w:val="24"/>
                <w:lang w:eastAsia="lt-LT"/>
              </w:rPr>
            </w:pPr>
            <w:r>
              <w:t xml:space="preserve">Traukos el. variklio MLU4246 K/6 pajungimo kabelio </w:t>
            </w:r>
            <w:r w:rsidRPr="002E02E4">
              <w:t>pakeitimas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0454" w14:textId="77777777" w:rsidR="004E4934" w:rsidRPr="00F46DA2" w:rsidRDefault="004E4934" w:rsidP="00F46DA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46DA2"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6A76" w14:textId="4285725B" w:rsidR="004E4934" w:rsidRPr="00C455E1" w:rsidRDefault="004E4934" w:rsidP="00F46DA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Pr="00C455E1">
              <w:rPr>
                <w:rFonts w:cstheme="minorHAnsi"/>
                <w:sz w:val="24"/>
                <w:szCs w:val="24"/>
              </w:rPr>
              <w:t xml:space="preserve"> mėn.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2B3A" w14:textId="18D2084B" w:rsidR="004E4934" w:rsidRPr="00C455E1" w:rsidRDefault="004E4934" w:rsidP="00F46DA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1B61" w14:textId="4445A484" w:rsidR="004E4934" w:rsidRPr="00C455E1" w:rsidRDefault="004E4934" w:rsidP="00F46DA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3.1.2</w:t>
            </w:r>
            <w:r w:rsidRPr="00C455E1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E4934" w:rsidRPr="00DA7209" w14:paraId="571F793C" w14:textId="77777777" w:rsidTr="00446853">
        <w:trPr>
          <w:trHeight w:val="6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A51A" w14:textId="3E48573C" w:rsidR="004E4934" w:rsidRPr="00C455E1" w:rsidRDefault="004E4934" w:rsidP="00F46DA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lt-LT"/>
              </w:rPr>
            </w:pPr>
            <w:r>
              <w:rPr>
                <w:lang w:eastAsia="lt-LT"/>
              </w:rPr>
              <w:t>2.7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977B" w14:textId="459C6768" w:rsidR="004E4934" w:rsidRPr="00C455E1" w:rsidRDefault="004E4934" w:rsidP="00F46D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E02E4">
              <w:t xml:space="preserve">Spyruoklės </w:t>
            </w:r>
            <w:r>
              <w:t>Lo338 460b</w:t>
            </w:r>
            <w:r w:rsidRPr="002E02E4">
              <w:t xml:space="preserve"> pakeitimas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3D00" w14:textId="26D11FD0" w:rsidR="004E4934" w:rsidRPr="00F46DA2" w:rsidRDefault="004E4934" w:rsidP="00F46DA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46DA2"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227F" w14:textId="26274CE5" w:rsidR="004E4934" w:rsidRPr="00C455E1" w:rsidRDefault="004E4934" w:rsidP="00F46DA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m</w:t>
            </w:r>
            <w:r w:rsidRPr="00C455E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6604" w14:textId="4C94D593" w:rsidR="004E4934" w:rsidRPr="00C455E1" w:rsidRDefault="004E4934" w:rsidP="00F46DA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4EF2" w14:textId="2F48B770" w:rsidR="004E4934" w:rsidRPr="00C455E1" w:rsidRDefault="004E4934" w:rsidP="00F46DA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3.1.2</w:t>
            </w:r>
            <w:r w:rsidRPr="00C455E1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1BB6679A" w14:textId="755D1DB8" w:rsidR="00CA5FCF" w:rsidRDefault="00CA5FCF" w:rsidP="00CA5F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4A1575" w14:textId="0525D57E" w:rsidR="00446853" w:rsidRDefault="00446853" w:rsidP="00CA5F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7BE7CA" w14:textId="0777FFE3" w:rsidR="00446853" w:rsidRDefault="00446853" w:rsidP="00CA5F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A0503A" w14:textId="1E3293B8" w:rsidR="00446853" w:rsidRDefault="00446853" w:rsidP="00CA5F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59BABC" w14:textId="2E5D7D50" w:rsidR="00446853" w:rsidRDefault="00446853" w:rsidP="00CA5F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9D36AF" w14:textId="5147C27F" w:rsidR="00446853" w:rsidRDefault="00446853" w:rsidP="00CA5F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FD63B1" w14:textId="3BE66A2C" w:rsidR="00446853" w:rsidRDefault="00446853" w:rsidP="00CA5F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83F0E8" w14:textId="0DBD9C5F" w:rsidR="00446853" w:rsidRDefault="00446853" w:rsidP="00CA5F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24A2CE" w14:textId="1E869ED1" w:rsidR="00446853" w:rsidRDefault="00446853" w:rsidP="00CA5F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877392" w14:textId="406971FE" w:rsidR="00446853" w:rsidRDefault="00446853" w:rsidP="00CA5F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4701D4" w14:textId="471DF2B7" w:rsidR="00446853" w:rsidRDefault="00446853" w:rsidP="00CA5F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F52202" w14:textId="71268429" w:rsidR="00446853" w:rsidRDefault="00446853" w:rsidP="00CA5F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A90623" w14:textId="085D66A0" w:rsidR="00446853" w:rsidRDefault="00446853" w:rsidP="00CA5F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36CFFC" w14:textId="0BD5B172" w:rsidR="00446853" w:rsidRDefault="00446853" w:rsidP="00CA5F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050D0E" w14:textId="7CD283C0" w:rsidR="00446853" w:rsidRDefault="00446853" w:rsidP="00CA5F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155E1D" w14:textId="55C85C6B" w:rsidR="00446853" w:rsidRDefault="00446853" w:rsidP="00CA5F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8E6591" w14:textId="2BDB2659" w:rsidR="00446853" w:rsidRDefault="00446853" w:rsidP="00CA5F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5AE06E" w14:textId="66609A00" w:rsidR="00446853" w:rsidRDefault="00446853" w:rsidP="00CA5F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00DB20" w14:textId="72E32E64" w:rsidR="00446853" w:rsidRDefault="00446853" w:rsidP="00CA5F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77B562" w14:textId="5B76183D" w:rsidR="00446853" w:rsidRPr="00446853" w:rsidRDefault="00446853" w:rsidP="00446853">
      <w:pPr>
        <w:spacing w:after="0" w:line="240" w:lineRule="auto"/>
      </w:pPr>
    </w:p>
    <w:p w14:paraId="5C8CB95F" w14:textId="14031174" w:rsidR="00446853" w:rsidRPr="003705B5" w:rsidRDefault="00446853" w:rsidP="00446853">
      <w:pPr>
        <w:spacing w:after="0" w:line="240" w:lineRule="auto"/>
        <w:rPr>
          <w:lang w:val="en-US"/>
        </w:rPr>
      </w:pPr>
      <w:r w:rsidRPr="00446853">
        <w:tab/>
        <w:t>* Atskir</w:t>
      </w:r>
      <w:r>
        <w:t xml:space="preserve">ų vežimėlių ir jų aširačių mazgų bei elementų garantiniai terminai nurodyti Sutarties specialiųjų sąlygų </w:t>
      </w:r>
      <w:r>
        <w:rPr>
          <w:lang w:val="en-US"/>
        </w:rPr>
        <w:t xml:space="preserve">4.2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4.3 </w:t>
      </w:r>
      <w:proofErr w:type="spellStart"/>
      <w:r>
        <w:rPr>
          <w:lang w:val="en-US"/>
        </w:rPr>
        <w:t>punktuose</w:t>
      </w:r>
      <w:proofErr w:type="spellEnd"/>
      <w:r>
        <w:rPr>
          <w:lang w:val="en-US"/>
        </w:rPr>
        <w:t>.</w:t>
      </w:r>
    </w:p>
    <w:p w14:paraId="0F0E0FF5" w14:textId="2986E2BA" w:rsidR="00446853" w:rsidRPr="00446853" w:rsidRDefault="00446853" w:rsidP="00446853">
      <w:pPr>
        <w:spacing w:after="0" w:line="240" w:lineRule="auto"/>
      </w:pPr>
    </w:p>
    <w:p w14:paraId="36B4C04E" w14:textId="4F4235CB" w:rsidR="00446853" w:rsidRPr="00446853" w:rsidRDefault="00446853" w:rsidP="00446853">
      <w:pPr>
        <w:spacing w:after="0" w:line="240" w:lineRule="auto"/>
      </w:pPr>
    </w:p>
    <w:p w14:paraId="3A169532" w14:textId="77777777" w:rsidR="00446853" w:rsidRPr="00446853" w:rsidRDefault="00446853" w:rsidP="00446853">
      <w:pPr>
        <w:spacing w:after="0" w:line="240" w:lineRule="auto"/>
      </w:pPr>
    </w:p>
    <w:sectPr w:rsidR="00446853" w:rsidRPr="00446853" w:rsidSect="00B75ED8">
      <w:pgSz w:w="16838" w:h="11906" w:orient="landscape" w:code="9"/>
      <w:pgMar w:top="680" w:right="680" w:bottom="1361" w:left="6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0CBD3" w14:textId="77777777" w:rsidR="00B80277" w:rsidRDefault="00B80277">
      <w:pPr>
        <w:spacing w:after="0" w:line="240" w:lineRule="auto"/>
      </w:pPr>
      <w:r>
        <w:separator/>
      </w:r>
    </w:p>
  </w:endnote>
  <w:endnote w:type="continuationSeparator" w:id="0">
    <w:p w14:paraId="2E621622" w14:textId="77777777" w:rsidR="00B80277" w:rsidRDefault="00B8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39405" w14:textId="77777777" w:rsidR="0072281B" w:rsidRDefault="007228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6213E" w14:textId="77777777" w:rsidR="00F33E67" w:rsidRDefault="00D72D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B61B0" w14:textId="77777777" w:rsidR="0072281B" w:rsidRDefault="00722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C0F30" w14:textId="77777777" w:rsidR="00B80277" w:rsidRDefault="00B80277">
      <w:pPr>
        <w:spacing w:after="0" w:line="240" w:lineRule="auto"/>
      </w:pPr>
      <w:r>
        <w:separator/>
      </w:r>
    </w:p>
  </w:footnote>
  <w:footnote w:type="continuationSeparator" w:id="0">
    <w:p w14:paraId="4DB24E46" w14:textId="77777777" w:rsidR="00B80277" w:rsidRDefault="00B80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DD6CD" w14:textId="77777777" w:rsidR="0072281B" w:rsidRDefault="007228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FE2E7" w14:textId="77777777" w:rsidR="00F876A5" w:rsidRDefault="00D72DA8">
    <w:pPr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A399F" w14:textId="77777777" w:rsidR="0072281B" w:rsidRDefault="007228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26A4A704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8F13B47"/>
    <w:multiLevelType w:val="hybridMultilevel"/>
    <w:tmpl w:val="A03EF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577C1"/>
    <w:multiLevelType w:val="multilevel"/>
    <w:tmpl w:val="D376E9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C735637"/>
    <w:multiLevelType w:val="hybridMultilevel"/>
    <w:tmpl w:val="387C69CE"/>
    <w:lvl w:ilvl="0" w:tplc="630E6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0CDC18">
      <w:numFmt w:val="none"/>
      <w:lvlText w:val=""/>
      <w:lvlJc w:val="left"/>
      <w:pPr>
        <w:tabs>
          <w:tab w:val="num" w:pos="360"/>
        </w:tabs>
      </w:pPr>
    </w:lvl>
    <w:lvl w:ilvl="2" w:tplc="1D9A2348">
      <w:numFmt w:val="none"/>
      <w:lvlText w:val=""/>
      <w:lvlJc w:val="left"/>
      <w:pPr>
        <w:tabs>
          <w:tab w:val="num" w:pos="360"/>
        </w:tabs>
      </w:pPr>
    </w:lvl>
    <w:lvl w:ilvl="3" w:tplc="C674E9E6">
      <w:numFmt w:val="none"/>
      <w:lvlText w:val=""/>
      <w:lvlJc w:val="left"/>
      <w:pPr>
        <w:tabs>
          <w:tab w:val="num" w:pos="360"/>
        </w:tabs>
      </w:pPr>
    </w:lvl>
    <w:lvl w:ilvl="4" w:tplc="9A646D86">
      <w:numFmt w:val="none"/>
      <w:lvlText w:val=""/>
      <w:lvlJc w:val="left"/>
      <w:pPr>
        <w:tabs>
          <w:tab w:val="num" w:pos="360"/>
        </w:tabs>
      </w:pPr>
    </w:lvl>
    <w:lvl w:ilvl="5" w:tplc="4406F95E">
      <w:numFmt w:val="none"/>
      <w:lvlText w:val=""/>
      <w:lvlJc w:val="left"/>
      <w:pPr>
        <w:tabs>
          <w:tab w:val="num" w:pos="360"/>
        </w:tabs>
      </w:pPr>
    </w:lvl>
    <w:lvl w:ilvl="6" w:tplc="233C1CB4">
      <w:numFmt w:val="none"/>
      <w:lvlText w:val=""/>
      <w:lvlJc w:val="left"/>
      <w:pPr>
        <w:tabs>
          <w:tab w:val="num" w:pos="360"/>
        </w:tabs>
      </w:pPr>
    </w:lvl>
    <w:lvl w:ilvl="7" w:tplc="A328A782">
      <w:numFmt w:val="none"/>
      <w:lvlText w:val=""/>
      <w:lvlJc w:val="left"/>
      <w:pPr>
        <w:tabs>
          <w:tab w:val="num" w:pos="360"/>
        </w:tabs>
      </w:pPr>
    </w:lvl>
    <w:lvl w:ilvl="8" w:tplc="C2CEDDE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03C02E7"/>
    <w:multiLevelType w:val="hybridMultilevel"/>
    <w:tmpl w:val="A03EF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7102F"/>
    <w:multiLevelType w:val="multilevel"/>
    <w:tmpl w:val="0C7096F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6C64F60"/>
    <w:multiLevelType w:val="multilevel"/>
    <w:tmpl w:val="B6208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D53129D"/>
    <w:multiLevelType w:val="multilevel"/>
    <w:tmpl w:val="776CF178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0D51702"/>
    <w:multiLevelType w:val="multilevel"/>
    <w:tmpl w:val="F71461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74DA24E5"/>
    <w:multiLevelType w:val="multilevel"/>
    <w:tmpl w:val="64F22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24"/>
    <w:rsid w:val="000140CF"/>
    <w:rsid w:val="000262D7"/>
    <w:rsid w:val="00036C26"/>
    <w:rsid w:val="000835FC"/>
    <w:rsid w:val="000B2264"/>
    <w:rsid w:val="001144D4"/>
    <w:rsid w:val="00172887"/>
    <w:rsid w:val="001947C4"/>
    <w:rsid w:val="001B0B73"/>
    <w:rsid w:val="001B1B08"/>
    <w:rsid w:val="001B436D"/>
    <w:rsid w:val="001C49DD"/>
    <w:rsid w:val="001E487A"/>
    <w:rsid w:val="001E6F0C"/>
    <w:rsid w:val="0020260B"/>
    <w:rsid w:val="00211EAF"/>
    <w:rsid w:val="00220C7F"/>
    <w:rsid w:val="00260759"/>
    <w:rsid w:val="0027030B"/>
    <w:rsid w:val="002853E7"/>
    <w:rsid w:val="00285EEB"/>
    <w:rsid w:val="00292571"/>
    <w:rsid w:val="00294207"/>
    <w:rsid w:val="002A04A2"/>
    <w:rsid w:val="002C08AA"/>
    <w:rsid w:val="002C25F6"/>
    <w:rsid w:val="002F178D"/>
    <w:rsid w:val="002F264E"/>
    <w:rsid w:val="002F49DB"/>
    <w:rsid w:val="00302892"/>
    <w:rsid w:val="0031168E"/>
    <w:rsid w:val="003438ED"/>
    <w:rsid w:val="00344268"/>
    <w:rsid w:val="00347061"/>
    <w:rsid w:val="00353535"/>
    <w:rsid w:val="00354D1E"/>
    <w:rsid w:val="003705B5"/>
    <w:rsid w:val="00384CFA"/>
    <w:rsid w:val="003A2036"/>
    <w:rsid w:val="003A5A4C"/>
    <w:rsid w:val="003A65A2"/>
    <w:rsid w:val="00406BC2"/>
    <w:rsid w:val="00414D8C"/>
    <w:rsid w:val="004356F7"/>
    <w:rsid w:val="004436A1"/>
    <w:rsid w:val="00446853"/>
    <w:rsid w:val="00484687"/>
    <w:rsid w:val="004C1C74"/>
    <w:rsid w:val="004C5EB0"/>
    <w:rsid w:val="004D69C2"/>
    <w:rsid w:val="004E4934"/>
    <w:rsid w:val="004E5AB1"/>
    <w:rsid w:val="004E791E"/>
    <w:rsid w:val="004F682F"/>
    <w:rsid w:val="00514B93"/>
    <w:rsid w:val="00521C99"/>
    <w:rsid w:val="0052771B"/>
    <w:rsid w:val="00555424"/>
    <w:rsid w:val="00585CCD"/>
    <w:rsid w:val="00594143"/>
    <w:rsid w:val="005C0E8A"/>
    <w:rsid w:val="006344A7"/>
    <w:rsid w:val="006362D1"/>
    <w:rsid w:val="00675B09"/>
    <w:rsid w:val="00691963"/>
    <w:rsid w:val="006B7E5C"/>
    <w:rsid w:val="006F0CFF"/>
    <w:rsid w:val="0072281B"/>
    <w:rsid w:val="00724EF4"/>
    <w:rsid w:val="00742067"/>
    <w:rsid w:val="00751844"/>
    <w:rsid w:val="00752F45"/>
    <w:rsid w:val="0079019C"/>
    <w:rsid w:val="007A7665"/>
    <w:rsid w:val="007C118B"/>
    <w:rsid w:val="0080004D"/>
    <w:rsid w:val="00814B16"/>
    <w:rsid w:val="008360E5"/>
    <w:rsid w:val="00841056"/>
    <w:rsid w:val="008565D7"/>
    <w:rsid w:val="008640C4"/>
    <w:rsid w:val="0089118C"/>
    <w:rsid w:val="008C7511"/>
    <w:rsid w:val="008D2E39"/>
    <w:rsid w:val="008E3809"/>
    <w:rsid w:val="008F1618"/>
    <w:rsid w:val="00900A09"/>
    <w:rsid w:val="009079B5"/>
    <w:rsid w:val="00947CE1"/>
    <w:rsid w:val="00967BEA"/>
    <w:rsid w:val="009701FE"/>
    <w:rsid w:val="009A1D58"/>
    <w:rsid w:val="009B58A0"/>
    <w:rsid w:val="00A042E3"/>
    <w:rsid w:val="00A14533"/>
    <w:rsid w:val="00A2357A"/>
    <w:rsid w:val="00A25B5C"/>
    <w:rsid w:val="00A37B85"/>
    <w:rsid w:val="00A9268F"/>
    <w:rsid w:val="00AA6571"/>
    <w:rsid w:val="00AB01E2"/>
    <w:rsid w:val="00AD2351"/>
    <w:rsid w:val="00AE7AA3"/>
    <w:rsid w:val="00AE7C5F"/>
    <w:rsid w:val="00AF4D29"/>
    <w:rsid w:val="00B44B8E"/>
    <w:rsid w:val="00B80277"/>
    <w:rsid w:val="00B8744D"/>
    <w:rsid w:val="00B9431A"/>
    <w:rsid w:val="00BB42BC"/>
    <w:rsid w:val="00BE1317"/>
    <w:rsid w:val="00C05B55"/>
    <w:rsid w:val="00C239E3"/>
    <w:rsid w:val="00C5414D"/>
    <w:rsid w:val="00C548B4"/>
    <w:rsid w:val="00C56C63"/>
    <w:rsid w:val="00C727D6"/>
    <w:rsid w:val="00C90BB4"/>
    <w:rsid w:val="00CA3F55"/>
    <w:rsid w:val="00CA5FCF"/>
    <w:rsid w:val="00CB09A0"/>
    <w:rsid w:val="00CB4144"/>
    <w:rsid w:val="00CD45A2"/>
    <w:rsid w:val="00CE760C"/>
    <w:rsid w:val="00CF1F1C"/>
    <w:rsid w:val="00CF6973"/>
    <w:rsid w:val="00D070A5"/>
    <w:rsid w:val="00D279BB"/>
    <w:rsid w:val="00D3097A"/>
    <w:rsid w:val="00D44CD1"/>
    <w:rsid w:val="00D573FA"/>
    <w:rsid w:val="00D72B89"/>
    <w:rsid w:val="00D72DA8"/>
    <w:rsid w:val="00D740F9"/>
    <w:rsid w:val="00D74A35"/>
    <w:rsid w:val="00DA21B0"/>
    <w:rsid w:val="00DA369B"/>
    <w:rsid w:val="00DD6177"/>
    <w:rsid w:val="00E14DD5"/>
    <w:rsid w:val="00E1569D"/>
    <w:rsid w:val="00E342ED"/>
    <w:rsid w:val="00E45ED0"/>
    <w:rsid w:val="00E4648B"/>
    <w:rsid w:val="00E82F1E"/>
    <w:rsid w:val="00E92BEE"/>
    <w:rsid w:val="00E93233"/>
    <w:rsid w:val="00EC6CC4"/>
    <w:rsid w:val="00EF0090"/>
    <w:rsid w:val="00EF5B8B"/>
    <w:rsid w:val="00F010A2"/>
    <w:rsid w:val="00F11370"/>
    <w:rsid w:val="00F11597"/>
    <w:rsid w:val="00F2414D"/>
    <w:rsid w:val="00F46DA2"/>
    <w:rsid w:val="00F74AE2"/>
    <w:rsid w:val="00F76ADB"/>
    <w:rsid w:val="00F92F85"/>
    <w:rsid w:val="00FC2C05"/>
    <w:rsid w:val="00FD3EC8"/>
    <w:rsid w:val="00FE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67688A5"/>
  <w15:docId w15:val="{591DAF36-EDBC-4232-BEC3-665F183B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link w:val="Heading40"/>
    <w:rsid w:val="00036C2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036C26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036C26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7">
    <w:name w:val="Body text (7)_"/>
    <w:link w:val="Bodytext70"/>
    <w:rsid w:val="00036C26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036C26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Bold">
    <w:name w:val="Body text (2) + Bold"/>
    <w:rsid w:val="00036C26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036C26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036C26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rsid w:val="00036C26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Bodytext1">
    <w:name w:val="Body text1"/>
    <w:basedOn w:val="Normal"/>
    <w:link w:val="Bodytext"/>
    <w:rsid w:val="00036C26"/>
    <w:pPr>
      <w:shd w:val="clear" w:color="auto" w:fill="FFFFFF"/>
      <w:spacing w:before="240" w:after="240" w:line="274" w:lineRule="exact"/>
      <w:ind w:hanging="1060"/>
    </w:pPr>
    <w:rPr>
      <w:rFonts w:ascii="Times New Roman" w:hAnsi="Times New Roman" w:cs="Times New Roman"/>
      <w:sz w:val="23"/>
      <w:szCs w:val="23"/>
    </w:rPr>
  </w:style>
  <w:style w:type="paragraph" w:customStyle="1" w:styleId="Bodytext20">
    <w:name w:val="Body text (2)"/>
    <w:basedOn w:val="Normal"/>
    <w:link w:val="Bodytext2"/>
    <w:rsid w:val="00036C26"/>
    <w:pPr>
      <w:shd w:val="clear" w:color="auto" w:fill="FFFFFF"/>
      <w:spacing w:after="0" w:line="269" w:lineRule="exact"/>
      <w:ind w:hanging="400"/>
    </w:pPr>
    <w:rPr>
      <w:rFonts w:ascii="Times New Roman" w:hAnsi="Times New Roman" w:cs="Times New Roman"/>
      <w:i/>
      <w:iCs/>
      <w:sz w:val="23"/>
      <w:szCs w:val="23"/>
    </w:rPr>
  </w:style>
  <w:style w:type="paragraph" w:customStyle="1" w:styleId="Bodytext70">
    <w:name w:val="Body text (7)"/>
    <w:basedOn w:val="Normal"/>
    <w:link w:val="Bodytext7"/>
    <w:rsid w:val="00036C26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3"/>
      <w:szCs w:val="23"/>
    </w:rPr>
  </w:style>
  <w:style w:type="table" w:styleId="TableGrid">
    <w:name w:val="Table Grid"/>
    <w:basedOn w:val="TableNormal"/>
    <w:uiPriority w:val="39"/>
    <w:rsid w:val="00036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36C26"/>
    <w:pPr>
      <w:tabs>
        <w:tab w:val="center" w:pos="4680"/>
        <w:tab w:val="right" w:pos="9360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036C26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8F1618"/>
    <w:rPr>
      <w:color w:val="0000FF"/>
      <w:u w:val="single"/>
    </w:rPr>
  </w:style>
  <w:style w:type="character" w:customStyle="1" w:styleId="12">
    <w:name w:val="Основной текст (12)_"/>
    <w:basedOn w:val="DefaultParagraphFont"/>
    <w:link w:val="120"/>
    <w:rsid w:val="008F1618"/>
    <w:rPr>
      <w:rFonts w:ascii="Trebuchet MS" w:eastAsia="Trebuchet MS" w:hAnsi="Trebuchet MS" w:cs="Trebuchet MS"/>
      <w:sz w:val="12"/>
      <w:szCs w:val="12"/>
      <w:shd w:val="clear" w:color="auto" w:fill="FFFFFF"/>
    </w:rPr>
  </w:style>
  <w:style w:type="paragraph" w:customStyle="1" w:styleId="120">
    <w:name w:val="Основной текст (12)"/>
    <w:basedOn w:val="Normal"/>
    <w:link w:val="12"/>
    <w:rsid w:val="008F1618"/>
    <w:pPr>
      <w:shd w:val="clear" w:color="auto" w:fill="FFFFFF"/>
      <w:spacing w:after="0" w:line="0" w:lineRule="atLeast"/>
      <w:ind w:hanging="680"/>
    </w:pPr>
    <w:rPr>
      <w:rFonts w:ascii="Trebuchet MS" w:eastAsia="Trebuchet MS" w:hAnsi="Trebuchet MS" w:cs="Trebuchet MS"/>
      <w:sz w:val="12"/>
      <w:szCs w:val="12"/>
    </w:rPr>
  </w:style>
  <w:style w:type="character" w:customStyle="1" w:styleId="14">
    <w:name w:val="Основной текст (14)_"/>
    <w:basedOn w:val="DefaultParagraphFont"/>
    <w:link w:val="140"/>
    <w:rsid w:val="008F1618"/>
    <w:rPr>
      <w:rFonts w:ascii="Tahoma" w:eastAsia="Tahoma" w:hAnsi="Tahoma" w:cs="Tahoma"/>
      <w:sz w:val="9"/>
      <w:szCs w:val="9"/>
      <w:shd w:val="clear" w:color="auto" w:fill="FFFFFF"/>
    </w:rPr>
  </w:style>
  <w:style w:type="paragraph" w:customStyle="1" w:styleId="140">
    <w:name w:val="Основной текст (14)"/>
    <w:basedOn w:val="Normal"/>
    <w:link w:val="14"/>
    <w:rsid w:val="008F1618"/>
    <w:pPr>
      <w:shd w:val="clear" w:color="auto" w:fill="FFFFFF"/>
      <w:spacing w:after="0" w:line="0" w:lineRule="atLeast"/>
    </w:pPr>
    <w:rPr>
      <w:rFonts w:ascii="Tahoma" w:eastAsia="Tahoma" w:hAnsi="Tahoma" w:cs="Tahoma"/>
      <w:sz w:val="9"/>
      <w:szCs w:val="9"/>
    </w:rPr>
  </w:style>
  <w:style w:type="character" w:styleId="CommentReference">
    <w:name w:val="annotation reference"/>
    <w:basedOn w:val="DefaultParagraphFont"/>
    <w:uiPriority w:val="99"/>
    <w:semiHidden/>
    <w:unhideWhenUsed/>
    <w:rsid w:val="00724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E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E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E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E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2BEE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722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C14E9655ED7D645B4E4630510C2B451" ma:contentTypeVersion="5" ma:contentTypeDescription="Kurkite naują dokumentą." ma:contentTypeScope="" ma:versionID="b30a58451c59bf7d3fb6fc11f93caa82">
  <xsd:schema xmlns:xsd="http://www.w3.org/2001/XMLSchema" xmlns:xs="http://www.w3.org/2001/XMLSchema" xmlns:p="http://schemas.microsoft.com/office/2006/metadata/properties" xmlns:ns3="78d41135-156a-4660-a0e9-c36a06b34715" xmlns:ns4="3c3cbafa-0578-4955-944e-00fcc2a2b708" targetNamespace="http://schemas.microsoft.com/office/2006/metadata/properties" ma:root="true" ma:fieldsID="d4c57eb3f9dc8f6af4081039e0f40a41" ns3:_="" ns4:_="">
    <xsd:import namespace="78d41135-156a-4660-a0e9-c36a06b34715"/>
    <xsd:import namespace="3c3cbafa-0578-4955-944e-00fcc2a2b7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41135-156a-4660-a0e9-c36a06b347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cbafa-0578-4955-944e-00fcc2a2b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CD28AC-BBA1-42BF-8210-1D29B80F47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5CD975-5472-4010-B3DA-16FAAC575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5AC99E-37FC-4B7F-8CBC-6D5F5C446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41135-156a-4660-a0e9-c36a06b34715"/>
    <ds:schemaRef ds:uri="3c3cbafa-0578-4955-944e-00fcc2a2b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4504</Words>
  <Characters>2568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Gabrielė Mikelionienė</dc:creator>
  <cp:lastModifiedBy>Eglė Skučienė</cp:lastModifiedBy>
  <cp:revision>6</cp:revision>
  <dcterms:created xsi:type="dcterms:W3CDTF">2020-06-03T07:01:00Z</dcterms:created>
  <dcterms:modified xsi:type="dcterms:W3CDTF">2020-06-03T13:29:00Z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2020-05-19T11:47:55Z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08eecaf8-8331-4e94-9cac-292aa7b69b5a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0x010100EC14E9655ED7D645B4E4630510C2B451</vt:lpwstr>
  </property>
</Properties>
</file>