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FDDA" w14:textId="5FE6571B" w:rsidR="00AF3529" w:rsidRPr="00906E40" w:rsidRDefault="00AF3529" w:rsidP="00AF3529">
      <w:r w:rsidRPr="00906E40">
        <w:t xml:space="preserve">Tiekėjams </w:t>
      </w:r>
      <w:r w:rsidRPr="00906E40">
        <w:tab/>
      </w:r>
      <w:r w:rsidRPr="00906E40">
        <w:tab/>
      </w:r>
      <w:r w:rsidRPr="00906E40">
        <w:tab/>
      </w:r>
      <w:r w:rsidRPr="00906E40">
        <w:tab/>
      </w:r>
      <w:r w:rsidRPr="00906E40">
        <w:tab/>
        <w:t>2022-08-</w:t>
      </w:r>
      <w:r w:rsidR="00E26C07">
        <w:t>25</w:t>
      </w:r>
    </w:p>
    <w:p w14:paraId="1031486C" w14:textId="77777777" w:rsidR="00AF3529" w:rsidRPr="00906E40" w:rsidRDefault="00AF3529" w:rsidP="00AF3529"/>
    <w:p w14:paraId="4DB421DD" w14:textId="77777777" w:rsidR="00AF3529" w:rsidRPr="00906E40" w:rsidRDefault="00AF3529" w:rsidP="00AF3529">
      <w:pPr>
        <w:jc w:val="both"/>
      </w:pPr>
      <w:r w:rsidRPr="00906E40">
        <w:t>Teikiama CVP IS priemonėmis</w:t>
      </w:r>
    </w:p>
    <w:p w14:paraId="6AE123FC" w14:textId="77777777" w:rsidR="00AF3529" w:rsidRPr="00906E40" w:rsidRDefault="00AF3529" w:rsidP="00AF3529">
      <w:pPr>
        <w:jc w:val="both"/>
      </w:pPr>
    </w:p>
    <w:p w14:paraId="5A2E6FCF" w14:textId="0B38FF8A" w:rsidR="00AF3529" w:rsidRPr="00906E40" w:rsidRDefault="00AF3529" w:rsidP="00AF3529">
      <w:pPr>
        <w:jc w:val="both"/>
      </w:pPr>
      <w:r w:rsidRPr="00906E40">
        <w:t xml:space="preserve">Kauno rajono savivaldybės administracija (toliau – </w:t>
      </w:r>
      <w:r w:rsidR="00091446" w:rsidRPr="00906E40">
        <w:t>perkančioji organizacija</w:t>
      </w:r>
      <w:r w:rsidRPr="00906E40">
        <w:t xml:space="preserve">) atviro (supaprastinto) konkurso būdu vyko viešąjį pirkimą „Kauno rajono savivaldybės, Užliedžių seniūnijos, Giraitės kaimo, Kaštonų gatvės kapitalinis remontas“ rangos darbų pirkimą, pirkimo Nr. </w:t>
      </w:r>
      <w:r w:rsidR="007E5C58" w:rsidRPr="00906E40">
        <w:t>619227</w:t>
      </w:r>
      <w:r w:rsidRPr="00906E40">
        <w:t xml:space="preserve"> (toliau – Pirkimas).</w:t>
      </w:r>
    </w:p>
    <w:p w14:paraId="42843C61" w14:textId="77777777" w:rsidR="00AF3529" w:rsidRPr="00906E40" w:rsidRDefault="00AF3529" w:rsidP="00AF3529">
      <w:pPr>
        <w:jc w:val="both"/>
      </w:pPr>
    </w:p>
    <w:p w14:paraId="4BA6E236" w14:textId="422A66E5" w:rsidR="00AF3529" w:rsidRPr="00906E40" w:rsidRDefault="00AF3529" w:rsidP="00AF3529">
      <w:pPr>
        <w:jc w:val="both"/>
      </w:pPr>
      <w:r w:rsidRPr="00906E40">
        <w:t xml:space="preserve">Iki Pirkimo dokumentuose nustatyto termino </w:t>
      </w:r>
      <w:r w:rsidR="00091446" w:rsidRPr="00906E40">
        <w:t>perkančioji organizacija</w:t>
      </w:r>
      <w:r w:rsidRPr="00906E40">
        <w:t xml:space="preserve"> gavo teikėjų klausimus ir pagal Pirkimo dokumentuose nustatytus terminus, teikia atsakymus/Pirkimo dokumentų paaiškinimus/patikslinimus:</w:t>
      </w:r>
    </w:p>
    <w:p w14:paraId="72526DE5" w14:textId="77777777" w:rsidR="00AF3529" w:rsidRPr="00906E40" w:rsidRDefault="00AF3529" w:rsidP="00AF3529">
      <w:pPr>
        <w:jc w:val="both"/>
      </w:pPr>
    </w:p>
    <w:tbl>
      <w:tblPr>
        <w:tblStyle w:val="Lentelstinklelis"/>
        <w:tblW w:w="0" w:type="auto"/>
        <w:tblLayout w:type="fixed"/>
        <w:tblLook w:val="04A0" w:firstRow="1" w:lastRow="0" w:firstColumn="1" w:lastColumn="0" w:noHBand="0" w:noVBand="1"/>
      </w:tblPr>
      <w:tblGrid>
        <w:gridCol w:w="421"/>
        <w:gridCol w:w="5386"/>
        <w:gridCol w:w="3821"/>
      </w:tblGrid>
      <w:tr w:rsidR="00734051" w:rsidRPr="00906E40" w14:paraId="1AFF33F5" w14:textId="77777777" w:rsidTr="00D258E1">
        <w:tc>
          <w:tcPr>
            <w:tcW w:w="421" w:type="dxa"/>
          </w:tcPr>
          <w:p w14:paraId="6B93E3DD" w14:textId="1B89B0A6" w:rsidR="00010B81" w:rsidRPr="00906E40" w:rsidRDefault="00010B81" w:rsidP="00010B81">
            <w:pPr>
              <w:rPr>
                <w:b/>
                <w:bCs/>
                <w:color w:val="000000" w:themeColor="text1"/>
                <w:spacing w:val="2"/>
                <w:shd w:val="clear" w:color="auto" w:fill="FFFFFF"/>
              </w:rPr>
            </w:pPr>
          </w:p>
        </w:tc>
        <w:tc>
          <w:tcPr>
            <w:tcW w:w="5386" w:type="dxa"/>
          </w:tcPr>
          <w:p w14:paraId="239976B2" w14:textId="3E530DE2" w:rsidR="005625E4" w:rsidRPr="00906E40" w:rsidRDefault="005625E4" w:rsidP="00010B81">
            <w:pPr>
              <w:rPr>
                <w:b/>
                <w:bCs/>
                <w:color w:val="000000" w:themeColor="text1"/>
                <w:spacing w:val="2"/>
                <w:shd w:val="clear" w:color="auto" w:fill="FFFFFF"/>
              </w:rPr>
            </w:pPr>
            <w:r w:rsidRPr="00906E40">
              <w:rPr>
                <w:b/>
                <w:bCs/>
                <w:color w:val="000000" w:themeColor="text1"/>
                <w:spacing w:val="2"/>
                <w:shd w:val="clear" w:color="auto" w:fill="FFFFFF"/>
              </w:rPr>
              <w:t>Klausimas</w:t>
            </w:r>
          </w:p>
        </w:tc>
        <w:tc>
          <w:tcPr>
            <w:tcW w:w="3821" w:type="dxa"/>
          </w:tcPr>
          <w:p w14:paraId="516B433C" w14:textId="0070B40A" w:rsidR="005625E4" w:rsidRPr="00906E40" w:rsidRDefault="005625E4" w:rsidP="00010B81">
            <w:pPr>
              <w:rPr>
                <w:b/>
                <w:bCs/>
                <w:color w:val="000000" w:themeColor="text1"/>
                <w:spacing w:val="2"/>
                <w:shd w:val="clear" w:color="auto" w:fill="FFFFFF"/>
              </w:rPr>
            </w:pPr>
            <w:r w:rsidRPr="00906E40">
              <w:rPr>
                <w:b/>
                <w:bCs/>
                <w:color w:val="000000" w:themeColor="text1"/>
                <w:spacing w:val="2"/>
                <w:shd w:val="clear" w:color="auto" w:fill="FFFFFF"/>
              </w:rPr>
              <w:t>Atsakymas</w:t>
            </w:r>
          </w:p>
        </w:tc>
      </w:tr>
      <w:tr w:rsidR="00734051" w:rsidRPr="00906E40" w14:paraId="1AE8B20C" w14:textId="77777777" w:rsidTr="00D258E1">
        <w:tc>
          <w:tcPr>
            <w:tcW w:w="421" w:type="dxa"/>
          </w:tcPr>
          <w:p w14:paraId="4B790BB4" w14:textId="2C5509CC" w:rsidR="005625E4" w:rsidRPr="00906E40" w:rsidRDefault="005625E4" w:rsidP="00010B81">
            <w:pPr>
              <w:rPr>
                <w:color w:val="000000" w:themeColor="text1"/>
                <w:spacing w:val="2"/>
                <w:shd w:val="clear" w:color="auto" w:fill="FFFFFF"/>
              </w:rPr>
            </w:pPr>
            <w:r w:rsidRPr="00906E40">
              <w:rPr>
                <w:color w:val="000000" w:themeColor="text1"/>
                <w:spacing w:val="2"/>
                <w:shd w:val="clear" w:color="auto" w:fill="FFFFFF"/>
              </w:rPr>
              <w:t>1.</w:t>
            </w:r>
          </w:p>
        </w:tc>
        <w:tc>
          <w:tcPr>
            <w:tcW w:w="5386" w:type="dxa"/>
          </w:tcPr>
          <w:p w14:paraId="7DC2E017" w14:textId="5E171691" w:rsidR="005625E4" w:rsidRPr="00906E40" w:rsidRDefault="00D258E1" w:rsidP="00010B81">
            <w:pPr>
              <w:jc w:val="both"/>
              <w:rPr>
                <w:i/>
                <w:iCs/>
                <w:color w:val="000000" w:themeColor="text1"/>
                <w:spacing w:val="2"/>
                <w:shd w:val="clear" w:color="auto" w:fill="FFFFFF"/>
              </w:rPr>
            </w:pPr>
            <w:r w:rsidRPr="00906E40">
              <w:t>Susisiekimo dalies darbų kiekių žiniaraščiuose trinkelių konstrukcijose nurodyta, kad atsijos turi būti granitinės, o darbo projekte jos nurodytos dolomitinės. Prašome patikslinti kokias mineralines medžiagas vertinti.</w:t>
            </w:r>
          </w:p>
        </w:tc>
        <w:tc>
          <w:tcPr>
            <w:tcW w:w="3821" w:type="dxa"/>
          </w:tcPr>
          <w:p w14:paraId="381BBB2E" w14:textId="244A18ED" w:rsidR="005625E4" w:rsidRPr="00906E40" w:rsidRDefault="00435790" w:rsidP="00D258E1">
            <w:pPr>
              <w:jc w:val="both"/>
              <w:rPr>
                <w:color w:val="000000" w:themeColor="text1"/>
                <w:spacing w:val="2"/>
                <w:shd w:val="clear" w:color="auto" w:fill="FFFFFF"/>
              </w:rPr>
            </w:pPr>
            <w:r w:rsidRPr="00906E40">
              <w:rPr>
                <w:color w:val="000000" w:themeColor="text1"/>
                <w:spacing w:val="2"/>
                <w:shd w:val="clear" w:color="auto" w:fill="FFFFFF"/>
              </w:rPr>
              <w:t>Reikia vertinti dolomitines atsijas</w:t>
            </w:r>
          </w:p>
        </w:tc>
      </w:tr>
      <w:tr w:rsidR="00734051" w:rsidRPr="00906E40" w14:paraId="73F313D2" w14:textId="77777777" w:rsidTr="00D258E1">
        <w:tc>
          <w:tcPr>
            <w:tcW w:w="421" w:type="dxa"/>
          </w:tcPr>
          <w:p w14:paraId="6C034422" w14:textId="35D85344" w:rsidR="005625E4" w:rsidRPr="00906E40" w:rsidRDefault="005625E4" w:rsidP="00010B81">
            <w:pPr>
              <w:rPr>
                <w:color w:val="000000" w:themeColor="text1"/>
                <w:spacing w:val="2"/>
                <w:shd w:val="clear" w:color="auto" w:fill="FFFFFF"/>
              </w:rPr>
            </w:pPr>
            <w:r w:rsidRPr="00906E40">
              <w:rPr>
                <w:color w:val="000000" w:themeColor="text1"/>
                <w:spacing w:val="2"/>
                <w:shd w:val="clear" w:color="auto" w:fill="FFFFFF"/>
              </w:rPr>
              <w:t>2.</w:t>
            </w:r>
          </w:p>
        </w:tc>
        <w:tc>
          <w:tcPr>
            <w:tcW w:w="5386" w:type="dxa"/>
          </w:tcPr>
          <w:p w14:paraId="7B0D1A1F" w14:textId="095BA887" w:rsidR="00734051" w:rsidRPr="00906E40" w:rsidRDefault="00D258E1" w:rsidP="00010B81">
            <w:pPr>
              <w:jc w:val="both"/>
              <w:rPr>
                <w:color w:val="000000" w:themeColor="text1"/>
                <w:spacing w:val="2"/>
                <w:shd w:val="clear" w:color="auto" w:fill="FFFFFF"/>
              </w:rPr>
            </w:pPr>
            <w:r w:rsidRPr="00906E40">
              <w:t>Prašome patikslinti kokie darbai numatyti Veiklų sąrašo Eil. Nr. 1 Bendroji dalis?</w:t>
            </w:r>
          </w:p>
          <w:p w14:paraId="5459BB05" w14:textId="243DA08D" w:rsidR="005625E4" w:rsidRPr="00906E40" w:rsidRDefault="005625E4" w:rsidP="00010B81">
            <w:pPr>
              <w:jc w:val="both"/>
              <w:rPr>
                <w:color w:val="000000" w:themeColor="text1"/>
                <w:spacing w:val="2"/>
                <w:shd w:val="clear" w:color="auto" w:fill="FFFFFF"/>
              </w:rPr>
            </w:pPr>
          </w:p>
        </w:tc>
        <w:tc>
          <w:tcPr>
            <w:tcW w:w="3821" w:type="dxa"/>
          </w:tcPr>
          <w:p w14:paraId="11689399" w14:textId="4BACD37E" w:rsidR="00734051" w:rsidRPr="00906E40" w:rsidRDefault="00435790" w:rsidP="00010B81">
            <w:pPr>
              <w:jc w:val="both"/>
              <w:rPr>
                <w:color w:val="000000" w:themeColor="text1"/>
                <w:spacing w:val="2"/>
                <w:shd w:val="clear" w:color="auto" w:fill="FFFFFF"/>
              </w:rPr>
            </w:pPr>
            <w:r w:rsidRPr="00906E40">
              <w:rPr>
                <w:color w:val="000000" w:themeColor="text1"/>
                <w:spacing w:val="2"/>
                <w:shd w:val="clear" w:color="auto" w:fill="FFFFFF"/>
              </w:rPr>
              <w:t>Atsakyta 2022-08-23 raštu. Patikslintas Veiklų sąrašas</w:t>
            </w:r>
          </w:p>
        </w:tc>
      </w:tr>
      <w:tr w:rsidR="00734051" w:rsidRPr="00906E40" w14:paraId="3D048738" w14:textId="77777777" w:rsidTr="00D258E1">
        <w:tc>
          <w:tcPr>
            <w:tcW w:w="421" w:type="dxa"/>
          </w:tcPr>
          <w:p w14:paraId="36859B8B" w14:textId="6084823C" w:rsidR="00734051" w:rsidRPr="00906E40" w:rsidRDefault="00445B79" w:rsidP="00010B81">
            <w:pPr>
              <w:rPr>
                <w:color w:val="000000" w:themeColor="text1"/>
                <w:spacing w:val="2"/>
                <w:shd w:val="clear" w:color="auto" w:fill="FFFFFF"/>
              </w:rPr>
            </w:pPr>
            <w:r w:rsidRPr="00906E40">
              <w:rPr>
                <w:color w:val="000000" w:themeColor="text1"/>
                <w:spacing w:val="2"/>
                <w:shd w:val="clear" w:color="auto" w:fill="FFFFFF"/>
              </w:rPr>
              <w:t>3</w:t>
            </w:r>
            <w:r w:rsidR="00734051" w:rsidRPr="00906E40">
              <w:rPr>
                <w:color w:val="000000" w:themeColor="text1"/>
                <w:spacing w:val="2"/>
                <w:shd w:val="clear" w:color="auto" w:fill="FFFFFF"/>
              </w:rPr>
              <w:t>.</w:t>
            </w:r>
          </w:p>
        </w:tc>
        <w:tc>
          <w:tcPr>
            <w:tcW w:w="5386" w:type="dxa"/>
          </w:tcPr>
          <w:p w14:paraId="3EACF11F" w14:textId="1F6AB788" w:rsidR="00734051" w:rsidRPr="00906E40" w:rsidRDefault="00527A7B" w:rsidP="00010B81">
            <w:pPr>
              <w:jc w:val="both"/>
              <w:rPr>
                <w:color w:val="000000" w:themeColor="text1"/>
                <w:spacing w:val="2"/>
                <w:shd w:val="clear" w:color="auto" w:fill="FFFFFF"/>
              </w:rPr>
            </w:pPr>
            <w:r w:rsidRPr="00906E40">
              <w:t>Projekte pateikti du asfalto konstrukcijos variantai. Prašome nurodyti kurį vertinti.</w:t>
            </w:r>
          </w:p>
        </w:tc>
        <w:tc>
          <w:tcPr>
            <w:tcW w:w="3821" w:type="dxa"/>
          </w:tcPr>
          <w:p w14:paraId="57FEE3CB" w14:textId="77777777" w:rsidR="00435790" w:rsidRPr="00906E40" w:rsidRDefault="00435790" w:rsidP="00435790">
            <w:pPr>
              <w:jc w:val="both"/>
              <w:rPr>
                <w:color w:val="000000" w:themeColor="text1"/>
                <w:spacing w:val="2"/>
                <w:shd w:val="clear" w:color="auto" w:fill="FFFFFF"/>
              </w:rPr>
            </w:pPr>
            <w:r w:rsidRPr="00906E40">
              <w:rPr>
                <w:color w:val="000000" w:themeColor="text1"/>
                <w:spacing w:val="2"/>
                <w:shd w:val="clear" w:color="auto" w:fill="FFFFFF"/>
              </w:rPr>
              <w:t xml:space="preserve">Rangovas gali pasirinkti konstrukcijos variantą pagal savo nuožiūrą </w:t>
            </w:r>
          </w:p>
          <w:p w14:paraId="0BAB12FF" w14:textId="70317DA0" w:rsidR="00734051" w:rsidRPr="00906E40" w:rsidRDefault="00734051" w:rsidP="00010B81">
            <w:pPr>
              <w:jc w:val="both"/>
              <w:rPr>
                <w:color w:val="000000" w:themeColor="text1"/>
                <w:spacing w:val="2"/>
                <w:shd w:val="clear" w:color="auto" w:fill="FFFFFF"/>
              </w:rPr>
            </w:pPr>
          </w:p>
        </w:tc>
      </w:tr>
      <w:tr w:rsidR="00734051" w:rsidRPr="00906E40" w14:paraId="7666A491" w14:textId="77777777" w:rsidTr="00D258E1">
        <w:tc>
          <w:tcPr>
            <w:tcW w:w="421" w:type="dxa"/>
          </w:tcPr>
          <w:p w14:paraId="627AC767" w14:textId="4AFF6081" w:rsidR="005625E4" w:rsidRPr="00906E40" w:rsidRDefault="00445B79" w:rsidP="00010B81">
            <w:pPr>
              <w:rPr>
                <w:color w:val="000000" w:themeColor="text1"/>
                <w:spacing w:val="2"/>
                <w:shd w:val="clear" w:color="auto" w:fill="FFFFFF"/>
              </w:rPr>
            </w:pPr>
            <w:r w:rsidRPr="00906E40">
              <w:rPr>
                <w:color w:val="000000" w:themeColor="text1"/>
                <w:spacing w:val="2"/>
                <w:shd w:val="clear" w:color="auto" w:fill="FFFFFF"/>
              </w:rPr>
              <w:t>4</w:t>
            </w:r>
            <w:r w:rsidR="005625E4" w:rsidRPr="00906E40">
              <w:rPr>
                <w:color w:val="000000" w:themeColor="text1"/>
                <w:spacing w:val="2"/>
                <w:shd w:val="clear" w:color="auto" w:fill="FFFFFF"/>
              </w:rPr>
              <w:t>.</w:t>
            </w:r>
          </w:p>
        </w:tc>
        <w:tc>
          <w:tcPr>
            <w:tcW w:w="5386" w:type="dxa"/>
          </w:tcPr>
          <w:p w14:paraId="333AED1A" w14:textId="1AF43809" w:rsidR="00435790" w:rsidRPr="00906E40" w:rsidRDefault="00435790" w:rsidP="00435790">
            <w:pPr>
              <w:rPr>
                <w:lang w:eastAsia="en-US"/>
              </w:rPr>
            </w:pPr>
            <w:r w:rsidRPr="00906E40">
              <w:t>Ar reikia vertinti iškertamų medžių atkuriamąją vertę? Jei taip, prašome PO patvirtinti, jog tai ta pati suma, kaip kad nurodyta projekte, taip pat prašome PO patikslinti kurioje eilutėje ją įsivertinti? </w:t>
            </w:r>
          </w:p>
          <w:p w14:paraId="1B40B156" w14:textId="13EC6A6C" w:rsidR="005625E4" w:rsidRPr="00906E40" w:rsidRDefault="005625E4" w:rsidP="00010B81">
            <w:pPr>
              <w:jc w:val="both"/>
              <w:rPr>
                <w:color w:val="000000" w:themeColor="text1"/>
                <w:spacing w:val="2"/>
                <w:highlight w:val="yellow"/>
                <w:shd w:val="clear" w:color="auto" w:fill="FFFFFF"/>
              </w:rPr>
            </w:pPr>
          </w:p>
        </w:tc>
        <w:tc>
          <w:tcPr>
            <w:tcW w:w="3821" w:type="dxa"/>
          </w:tcPr>
          <w:p w14:paraId="6D509B02" w14:textId="77777777" w:rsidR="00435790" w:rsidRPr="00906E40" w:rsidRDefault="00435790" w:rsidP="00435790">
            <w:pPr>
              <w:rPr>
                <w:rFonts w:eastAsia="Calibri"/>
                <w:lang w:eastAsia="en-US"/>
              </w:rPr>
            </w:pPr>
            <w:r w:rsidRPr="00906E40">
              <w:rPr>
                <w:rFonts w:eastAsia="Calibri"/>
                <w:lang w:eastAsia="en-US"/>
              </w:rPr>
              <w:t xml:space="preserve">Nereikia vertinti iškertamų medžių atkuriamosios vertės </w:t>
            </w:r>
          </w:p>
          <w:p w14:paraId="1BDFDE7A" w14:textId="77777777" w:rsidR="005625E4" w:rsidRPr="00906E40" w:rsidRDefault="005625E4" w:rsidP="00010B81">
            <w:pPr>
              <w:jc w:val="both"/>
              <w:rPr>
                <w:color w:val="000000" w:themeColor="text1"/>
                <w:spacing w:val="2"/>
                <w:shd w:val="clear" w:color="auto" w:fill="FFFFFF"/>
              </w:rPr>
            </w:pPr>
          </w:p>
        </w:tc>
      </w:tr>
      <w:tr w:rsidR="00445B79" w:rsidRPr="00906E40" w14:paraId="000061A3" w14:textId="77777777" w:rsidTr="00D258E1">
        <w:tc>
          <w:tcPr>
            <w:tcW w:w="421" w:type="dxa"/>
          </w:tcPr>
          <w:p w14:paraId="511B40B2" w14:textId="2AC856D0" w:rsidR="00445B79" w:rsidRPr="00906E40" w:rsidRDefault="00445B79" w:rsidP="00445B79">
            <w:pPr>
              <w:rPr>
                <w:color w:val="000000" w:themeColor="text1"/>
                <w:spacing w:val="2"/>
                <w:shd w:val="clear" w:color="auto" w:fill="FFFFFF"/>
              </w:rPr>
            </w:pPr>
            <w:r w:rsidRPr="00906E40">
              <w:rPr>
                <w:color w:val="000000" w:themeColor="text1"/>
                <w:spacing w:val="2"/>
                <w:shd w:val="clear" w:color="auto" w:fill="FFFFFF"/>
              </w:rPr>
              <w:t xml:space="preserve">5. </w:t>
            </w:r>
          </w:p>
        </w:tc>
        <w:tc>
          <w:tcPr>
            <w:tcW w:w="5386" w:type="dxa"/>
          </w:tcPr>
          <w:p w14:paraId="1AA60E5E" w14:textId="77777777" w:rsidR="00445B79" w:rsidRPr="00906E40" w:rsidRDefault="00445B79" w:rsidP="00445B79">
            <w:pPr>
              <w:jc w:val="both"/>
              <w:rPr>
                <w:color w:val="000000" w:themeColor="text1"/>
                <w:spacing w:val="2"/>
                <w:shd w:val="clear" w:color="auto" w:fill="FFFFFF"/>
              </w:rPr>
            </w:pPr>
            <w:bookmarkStart w:id="0" w:name="_Hlk112245263"/>
            <w:r w:rsidRPr="00906E40">
              <w:rPr>
                <w:color w:val="000000" w:themeColor="text1"/>
                <w:spacing w:val="2"/>
                <w:shd w:val="clear" w:color="auto" w:fill="FFFFFF"/>
              </w:rPr>
              <w:t>5.1 P21-59-TDP-E. Ar gali tiekėjai siūlyti šviestuvus su atidarymu iš apačios? Gaminio kokybė nuo to nesuprastėja.</w:t>
            </w:r>
          </w:p>
          <w:p w14:paraId="6A3CA06C" w14:textId="77777777" w:rsidR="00AF7A27" w:rsidRPr="00906E40" w:rsidRDefault="00AF7A27" w:rsidP="00445B79">
            <w:pPr>
              <w:jc w:val="both"/>
              <w:rPr>
                <w:color w:val="000000" w:themeColor="text1"/>
                <w:spacing w:val="2"/>
                <w:shd w:val="clear" w:color="auto" w:fill="FFFFFF"/>
              </w:rPr>
            </w:pPr>
          </w:p>
          <w:p w14:paraId="50244A24" w14:textId="77777777" w:rsidR="00AF7A27" w:rsidRPr="00906E40" w:rsidRDefault="00AF7A27" w:rsidP="00445B79">
            <w:pPr>
              <w:jc w:val="both"/>
              <w:rPr>
                <w:color w:val="000000" w:themeColor="text1"/>
                <w:spacing w:val="2"/>
                <w:shd w:val="clear" w:color="auto" w:fill="FFFFFF"/>
              </w:rPr>
            </w:pPr>
          </w:p>
          <w:p w14:paraId="15E2097E" w14:textId="77777777" w:rsidR="00AF7A27" w:rsidRPr="00906E40" w:rsidRDefault="00AF7A27" w:rsidP="00445B79">
            <w:pPr>
              <w:jc w:val="both"/>
              <w:rPr>
                <w:color w:val="000000" w:themeColor="text1"/>
                <w:spacing w:val="2"/>
                <w:shd w:val="clear" w:color="auto" w:fill="FFFFFF"/>
              </w:rPr>
            </w:pPr>
          </w:p>
          <w:p w14:paraId="6A83E9AA" w14:textId="77777777" w:rsidR="00AF7A27" w:rsidRPr="00906E40" w:rsidRDefault="00AF7A27" w:rsidP="00445B79">
            <w:pPr>
              <w:jc w:val="both"/>
              <w:rPr>
                <w:color w:val="000000" w:themeColor="text1"/>
                <w:spacing w:val="2"/>
                <w:shd w:val="clear" w:color="auto" w:fill="FFFFFF"/>
              </w:rPr>
            </w:pPr>
          </w:p>
          <w:p w14:paraId="0551C7BD" w14:textId="77777777" w:rsidR="00AF7A27" w:rsidRPr="00906E40" w:rsidRDefault="00AF7A27" w:rsidP="00445B79">
            <w:pPr>
              <w:jc w:val="both"/>
              <w:rPr>
                <w:color w:val="000000" w:themeColor="text1"/>
                <w:spacing w:val="2"/>
                <w:shd w:val="clear" w:color="auto" w:fill="FFFFFF"/>
              </w:rPr>
            </w:pPr>
          </w:p>
          <w:p w14:paraId="6F81F055" w14:textId="61A80196" w:rsidR="00445B79" w:rsidRPr="00906E40" w:rsidRDefault="00445B79" w:rsidP="00445B79">
            <w:pPr>
              <w:jc w:val="both"/>
              <w:rPr>
                <w:color w:val="000000" w:themeColor="text1"/>
                <w:spacing w:val="2"/>
                <w:shd w:val="clear" w:color="auto" w:fill="FFFFFF"/>
              </w:rPr>
            </w:pPr>
            <w:r w:rsidRPr="00906E40">
              <w:rPr>
                <w:color w:val="000000" w:themeColor="text1"/>
                <w:spacing w:val="2"/>
                <w:shd w:val="clear" w:color="auto" w:fill="FFFFFF"/>
              </w:rPr>
              <w:t>5.2 P21-59-TDP-E. TS Nr. 3.6.5 nurodyta „Darbo rėžimų statistika, darbo valandų apskaita, suvartotą elektros energiją bei diagnostika pasiekiama per DALI sąsają.“. Kaip šis reikalavimas šviestuve pasiekiamas? Projekto sprendiniuose nėra numatyta atskirų valdiklių ar valdymo kabelių tokiai funkcijai išpildyti.</w:t>
            </w:r>
          </w:p>
          <w:p w14:paraId="40AECECC" w14:textId="77777777" w:rsidR="00E84E1D" w:rsidRPr="00906E40" w:rsidRDefault="00E84E1D" w:rsidP="00445B79">
            <w:pPr>
              <w:jc w:val="both"/>
              <w:rPr>
                <w:color w:val="000000" w:themeColor="text1"/>
                <w:spacing w:val="2"/>
                <w:shd w:val="clear" w:color="auto" w:fill="FFFFFF"/>
              </w:rPr>
            </w:pPr>
          </w:p>
          <w:p w14:paraId="1D8DD125" w14:textId="710DFCF9" w:rsidR="00445B79" w:rsidRPr="00906E40" w:rsidRDefault="00445B79" w:rsidP="00445B79">
            <w:pPr>
              <w:jc w:val="both"/>
              <w:rPr>
                <w:color w:val="000000" w:themeColor="text1"/>
                <w:spacing w:val="2"/>
                <w:shd w:val="clear" w:color="auto" w:fill="FFFFFF"/>
              </w:rPr>
            </w:pPr>
            <w:r w:rsidRPr="00906E40">
              <w:rPr>
                <w:color w:val="000000" w:themeColor="text1"/>
                <w:spacing w:val="2"/>
                <w:shd w:val="clear" w:color="auto" w:fill="FFFFFF"/>
              </w:rPr>
              <w:t>5.3. P21-59-TDP-E. Apšvietos skaičiavimuose šviestuvo montavimo aukštis 8m, tačiau atramos su gembe aukštis gaunasi 9m. Sprendiniai tarpusavyje nesuderinami. Kuo remtis?</w:t>
            </w:r>
            <w:bookmarkEnd w:id="0"/>
          </w:p>
        </w:tc>
        <w:tc>
          <w:tcPr>
            <w:tcW w:w="3821" w:type="dxa"/>
          </w:tcPr>
          <w:p w14:paraId="7B0E2133" w14:textId="31DE01E0" w:rsidR="00AF7A27" w:rsidRPr="00906E40" w:rsidRDefault="00D4219B" w:rsidP="00AF7A27">
            <w:pPr>
              <w:rPr>
                <w:rFonts w:eastAsiaTheme="minorHAnsi"/>
              </w:rPr>
            </w:pPr>
            <w:bookmarkStart w:id="1" w:name="_Hlk112257375"/>
            <w:r w:rsidRPr="00906E40">
              <w:t>Gali būti</w:t>
            </w:r>
            <w:r w:rsidR="00AF7A27" w:rsidRPr="00906E40">
              <w:t xml:space="preserve"> teikiami kitokių techninių charakteristikų šviestuvai, </w:t>
            </w:r>
            <w:r w:rsidRPr="00906E40">
              <w:t>jeigu pagal juos perskaičiuotas apšviestumas atitinka</w:t>
            </w:r>
            <w:r w:rsidR="00AF7A27" w:rsidRPr="00906E40">
              <w:t xml:space="preserve"> apšviestumo reikalavimus</w:t>
            </w:r>
            <w:r w:rsidRPr="00906E40">
              <w:rPr>
                <w:lang w:val="en-US"/>
              </w:rPr>
              <w:t>, nustatytus projekte.</w:t>
            </w:r>
          </w:p>
          <w:bookmarkEnd w:id="1"/>
          <w:p w14:paraId="168D36EC" w14:textId="2FFE2811" w:rsidR="00AF7A27" w:rsidRPr="00906E40" w:rsidRDefault="00AF7A27" w:rsidP="00AF7A27"/>
          <w:p w14:paraId="4453DF7B" w14:textId="77777777" w:rsidR="00663F2C" w:rsidRPr="00906E40" w:rsidRDefault="00663F2C" w:rsidP="00AF7A27"/>
          <w:p w14:paraId="615AD36C" w14:textId="77777777" w:rsidR="00AF7A27" w:rsidRPr="00906E40" w:rsidRDefault="00AF7A27" w:rsidP="00AF7A27"/>
          <w:p w14:paraId="3D523FB0" w14:textId="77777777" w:rsidR="00D4219B" w:rsidRPr="00906E40" w:rsidRDefault="00AF7A27" w:rsidP="00D4219B">
            <w:pPr>
              <w:rPr>
                <w:rFonts w:eastAsia="Calibri"/>
                <w:lang w:eastAsia="en-US"/>
              </w:rPr>
            </w:pPr>
            <w:r w:rsidRPr="00906E40">
              <w:t xml:space="preserve">pagal užduoti DALi opcija nebuvo projektuojama todėl </w:t>
            </w:r>
            <w:r w:rsidR="00D4219B" w:rsidRPr="00906E40">
              <w:t>jai</w:t>
            </w:r>
            <w:r w:rsidRPr="00906E40">
              <w:t xml:space="preserve"> nėra </w:t>
            </w:r>
            <w:r w:rsidR="00D4219B" w:rsidRPr="00906E40">
              <w:t xml:space="preserve">numatyta </w:t>
            </w:r>
            <w:r w:rsidRPr="00906E40">
              <w:t>papildom</w:t>
            </w:r>
            <w:r w:rsidR="00D4219B" w:rsidRPr="00906E40">
              <w:t>ų</w:t>
            </w:r>
            <w:r w:rsidRPr="00906E40">
              <w:t xml:space="preserve"> kabeli</w:t>
            </w:r>
            <w:r w:rsidR="00D4219B" w:rsidRPr="00906E40">
              <w:t>ų</w:t>
            </w:r>
            <w:r w:rsidRPr="00906E40">
              <w:t xml:space="preserve"> .</w:t>
            </w:r>
            <w:r w:rsidR="00D4219B" w:rsidRPr="00906E40">
              <w:rPr>
                <w:rFonts w:eastAsia="Calibri"/>
                <w:lang w:eastAsia="en-US"/>
              </w:rPr>
              <w:t xml:space="preserve"> </w:t>
            </w:r>
          </w:p>
          <w:p w14:paraId="5DD3AFA4" w14:textId="52362BB2" w:rsidR="00D4219B" w:rsidRPr="00906E40" w:rsidRDefault="00D4219B" w:rsidP="00D4219B">
            <w:pPr>
              <w:rPr>
                <w:rFonts w:eastAsia="Calibri"/>
                <w:lang w:eastAsia="en-US"/>
              </w:rPr>
            </w:pPr>
            <w:r w:rsidRPr="00906E40">
              <w:rPr>
                <w:rFonts w:eastAsia="Calibri"/>
                <w:lang w:eastAsia="en-US"/>
              </w:rPr>
              <w:t>DALI opcijos įsivertinti nereikia. Ji projekte pateikta kaip galimybė ją naudoti.</w:t>
            </w:r>
          </w:p>
          <w:p w14:paraId="2DD9F03B" w14:textId="1D060990" w:rsidR="00AF7A27" w:rsidRPr="00906E40" w:rsidRDefault="00AF7A27" w:rsidP="00E84E1D">
            <w:pPr>
              <w:rPr>
                <w:rFonts w:eastAsiaTheme="minorHAnsi"/>
              </w:rPr>
            </w:pPr>
            <w:r w:rsidRPr="00906E40">
              <w:t xml:space="preserve"> </w:t>
            </w:r>
          </w:p>
          <w:p w14:paraId="7642CC88" w14:textId="77777777" w:rsidR="00E84E1D" w:rsidRPr="00906E40" w:rsidRDefault="00E84E1D" w:rsidP="00E84E1D"/>
          <w:p w14:paraId="47DB70E3" w14:textId="77777777" w:rsidR="00E84E1D" w:rsidRPr="00906E40" w:rsidRDefault="00E84E1D" w:rsidP="00E84E1D"/>
          <w:p w14:paraId="6D13D7BF" w14:textId="1B3B3A58" w:rsidR="00E84E1D" w:rsidRPr="00906E40" w:rsidRDefault="00E84E1D" w:rsidP="00E84E1D"/>
          <w:p w14:paraId="4A3A0661" w14:textId="2F138ADC" w:rsidR="00663F2C" w:rsidRPr="00906E40" w:rsidRDefault="00663F2C" w:rsidP="00E84E1D"/>
          <w:p w14:paraId="1BC2E8AD" w14:textId="77777777" w:rsidR="00663F2C" w:rsidRPr="00906E40" w:rsidRDefault="00663F2C" w:rsidP="00E84E1D"/>
          <w:p w14:paraId="1E334722" w14:textId="21DD25F7" w:rsidR="00AF7A27" w:rsidRPr="00906E40" w:rsidRDefault="00AF7A27" w:rsidP="00E84E1D">
            <w:pPr>
              <w:rPr>
                <w:rFonts w:eastAsiaTheme="minorHAnsi"/>
              </w:rPr>
            </w:pPr>
            <w:r w:rsidRPr="00906E40">
              <w:lastRenderedPageBreak/>
              <w:t xml:space="preserve">Brėžiniuose </w:t>
            </w:r>
            <w:r w:rsidR="00691517" w:rsidRPr="00906E40">
              <w:t>nurodyta</w:t>
            </w:r>
            <w:r w:rsidRPr="00906E40">
              <w:t xml:space="preserve"> 8 m atramos aukščiai ir žiniaraštyje nurodytos 8</w:t>
            </w:r>
            <w:r w:rsidR="00691517" w:rsidRPr="00906E40">
              <w:t xml:space="preserve"> </w:t>
            </w:r>
            <w:r w:rsidRPr="00906E40">
              <w:t xml:space="preserve">m atramos, o ne šviestuvo </w:t>
            </w:r>
            <w:r w:rsidR="00691517" w:rsidRPr="00906E40">
              <w:t>montavimo aukštis</w:t>
            </w:r>
            <w:r w:rsidRPr="00906E40">
              <w:rPr>
                <w:lang w:val="en-US"/>
              </w:rPr>
              <w:t>.</w:t>
            </w:r>
          </w:p>
          <w:p w14:paraId="649D422B" w14:textId="235F8975" w:rsidR="00445B79" w:rsidRPr="00906E40" w:rsidRDefault="00445B79" w:rsidP="00445B79">
            <w:pPr>
              <w:jc w:val="both"/>
              <w:rPr>
                <w:spacing w:val="2"/>
                <w:shd w:val="clear" w:color="auto" w:fill="FFFFFF"/>
              </w:rPr>
            </w:pPr>
          </w:p>
        </w:tc>
      </w:tr>
      <w:tr w:rsidR="00445B79" w:rsidRPr="00906E40" w14:paraId="00ABCC39" w14:textId="77777777" w:rsidTr="00D258E1">
        <w:tc>
          <w:tcPr>
            <w:tcW w:w="421" w:type="dxa"/>
          </w:tcPr>
          <w:p w14:paraId="380C1459" w14:textId="77777777" w:rsidR="00445B79" w:rsidRPr="00906E40" w:rsidRDefault="00445B79" w:rsidP="00445B79">
            <w:pPr>
              <w:rPr>
                <w:color w:val="000000" w:themeColor="text1"/>
                <w:spacing w:val="2"/>
                <w:shd w:val="clear" w:color="auto" w:fill="FFFFFF"/>
              </w:rPr>
            </w:pPr>
          </w:p>
        </w:tc>
        <w:tc>
          <w:tcPr>
            <w:tcW w:w="5386" w:type="dxa"/>
          </w:tcPr>
          <w:p w14:paraId="427574FF" w14:textId="4E296D65" w:rsidR="00445B79" w:rsidRPr="00906E40" w:rsidRDefault="003E2D60" w:rsidP="00445B79">
            <w:pPr>
              <w:jc w:val="both"/>
              <w:rPr>
                <w:color w:val="000000" w:themeColor="text1"/>
                <w:spacing w:val="2"/>
                <w:shd w:val="clear" w:color="auto" w:fill="FFFFFF"/>
              </w:rPr>
            </w:pPr>
            <w:r w:rsidRPr="00906E40">
              <w:rPr>
                <w:color w:val="000000" w:themeColor="text1"/>
                <w:spacing w:val="2"/>
                <w:shd w:val="clear" w:color="auto" w:fill="FFFFFF"/>
              </w:rPr>
              <w:t>Nuotekų šalinimo dalyje yra numatytas tranšėjų užpylimas vietiniu gruntu. Rangovo manymu, peržiūrėjus geologijos ataskaitą, reikėtų nusimatyti grunto keitimą. Ar reikia įsivertinti grunto keitimą?</w:t>
            </w:r>
          </w:p>
        </w:tc>
        <w:tc>
          <w:tcPr>
            <w:tcW w:w="3821" w:type="dxa"/>
          </w:tcPr>
          <w:p w14:paraId="305642C1" w14:textId="67C462D5" w:rsidR="00305082" w:rsidRPr="00906E40" w:rsidRDefault="00305082" w:rsidP="00305082">
            <w:pPr>
              <w:rPr>
                <w:rFonts w:eastAsia="Calibri"/>
                <w:lang w:eastAsia="en-US"/>
              </w:rPr>
            </w:pPr>
            <w:r w:rsidRPr="00906E40">
              <w:rPr>
                <w:rFonts w:eastAsia="Calibri"/>
                <w:lang w:val="en-US" w:eastAsia="en-US"/>
              </w:rPr>
              <w:t xml:space="preserve">Reikia </w:t>
            </w:r>
            <w:r w:rsidRPr="00906E40">
              <w:rPr>
                <w:rFonts w:eastAsia="Calibri"/>
                <w:lang w:eastAsia="en-US"/>
              </w:rPr>
              <w:t xml:space="preserve">įsivertinti naujo grunto užpylimą, pagal kiekių </w:t>
            </w:r>
            <w:proofErr w:type="gramStart"/>
            <w:r w:rsidRPr="00906E40">
              <w:rPr>
                <w:rFonts w:eastAsia="Calibri"/>
                <w:lang w:eastAsia="en-US"/>
              </w:rPr>
              <w:t>žiniaraštyje  nurodytus</w:t>
            </w:r>
            <w:proofErr w:type="gramEnd"/>
            <w:r w:rsidRPr="00906E40">
              <w:rPr>
                <w:rFonts w:eastAsia="Calibri"/>
                <w:lang w:eastAsia="en-US"/>
              </w:rPr>
              <w:t xml:space="preserve"> užpylimo kiekius</w:t>
            </w:r>
          </w:p>
          <w:p w14:paraId="2F162C3C" w14:textId="77777777" w:rsidR="00445B79" w:rsidRPr="00906E40" w:rsidRDefault="00445B79" w:rsidP="00445B79">
            <w:pPr>
              <w:jc w:val="both"/>
              <w:rPr>
                <w:spacing w:val="2"/>
                <w:shd w:val="clear" w:color="auto" w:fill="FFFFFF"/>
              </w:rPr>
            </w:pPr>
          </w:p>
        </w:tc>
      </w:tr>
      <w:tr w:rsidR="00E26C07" w:rsidRPr="00E26C07" w14:paraId="49E8AED9" w14:textId="77777777" w:rsidTr="00D258E1">
        <w:tc>
          <w:tcPr>
            <w:tcW w:w="421" w:type="dxa"/>
          </w:tcPr>
          <w:p w14:paraId="4E272E74" w14:textId="77777777" w:rsidR="00445B79" w:rsidRPr="00E26C07" w:rsidRDefault="00445B79" w:rsidP="00445B79">
            <w:pPr>
              <w:rPr>
                <w:spacing w:val="2"/>
                <w:shd w:val="clear" w:color="auto" w:fill="FFFFFF"/>
              </w:rPr>
            </w:pPr>
          </w:p>
        </w:tc>
        <w:tc>
          <w:tcPr>
            <w:tcW w:w="5386" w:type="dxa"/>
          </w:tcPr>
          <w:p w14:paraId="7CA7B3A0" w14:textId="77777777" w:rsidR="00D4219B" w:rsidRPr="00E26C07" w:rsidRDefault="00D4219B" w:rsidP="00D4219B">
            <w:pPr>
              <w:rPr>
                <w:rFonts w:eastAsia="Calibri"/>
                <w:lang w:eastAsia="en-US"/>
              </w:rPr>
            </w:pPr>
            <w:r w:rsidRPr="00E26C07">
              <w:rPr>
                <w:rFonts w:eastAsia="Calibri"/>
                <w:lang w:eastAsia="en-US"/>
              </w:rPr>
              <w:t>Prašome patikslinti darbų kiekių žiniaraštyje 2.2. eilutę, ten mato vnt. negerai kažkas 2889 m2, kai planiravimas 8884 m2, tai stabilizacija turėtų būti 2889 m3.</w:t>
            </w:r>
          </w:p>
          <w:p w14:paraId="502E0071" w14:textId="77777777" w:rsidR="00445B79" w:rsidRPr="00E26C07" w:rsidRDefault="00445B79" w:rsidP="00445B79">
            <w:pPr>
              <w:jc w:val="both"/>
              <w:rPr>
                <w:spacing w:val="2"/>
                <w:shd w:val="clear" w:color="auto" w:fill="FFFFFF"/>
              </w:rPr>
            </w:pPr>
          </w:p>
        </w:tc>
        <w:tc>
          <w:tcPr>
            <w:tcW w:w="3821" w:type="dxa"/>
          </w:tcPr>
          <w:p w14:paraId="780E126E" w14:textId="64144D1F" w:rsidR="00E26C07" w:rsidRPr="00E26C07" w:rsidRDefault="00E26C07" w:rsidP="00E26C07">
            <w:pPr>
              <w:rPr>
                <w:rFonts w:eastAsia="Calibri"/>
                <w:lang w:eastAsia="en-US"/>
              </w:rPr>
            </w:pPr>
            <w:r>
              <w:rPr>
                <w:rFonts w:eastAsia="Calibri"/>
                <w:lang w:eastAsia="en-US"/>
              </w:rPr>
              <w:t>D</w:t>
            </w:r>
            <w:r w:rsidRPr="00E26C07">
              <w:rPr>
                <w:rFonts w:eastAsia="Calibri"/>
                <w:lang w:eastAsia="en-US"/>
              </w:rPr>
              <w:t>arbų kiekių žiniaraštyje 2.2 eilutėje mato vienetas turi būti m3</w:t>
            </w:r>
          </w:p>
          <w:p w14:paraId="0FD3C2E6" w14:textId="77777777" w:rsidR="00445B79" w:rsidRPr="00E26C07" w:rsidRDefault="00445B79" w:rsidP="00445B79">
            <w:pPr>
              <w:jc w:val="both"/>
              <w:rPr>
                <w:spacing w:val="2"/>
                <w:shd w:val="clear" w:color="auto" w:fill="FFFFFF"/>
              </w:rPr>
            </w:pPr>
          </w:p>
        </w:tc>
      </w:tr>
    </w:tbl>
    <w:tbl>
      <w:tblPr>
        <w:tblW w:w="604" w:type="dxa"/>
        <w:tblInd w:w="5" w:type="dxa"/>
        <w:tblLook w:val="04A0" w:firstRow="1" w:lastRow="0" w:firstColumn="1" w:lastColumn="0" w:noHBand="0" w:noVBand="1"/>
      </w:tblPr>
      <w:tblGrid>
        <w:gridCol w:w="604"/>
      </w:tblGrid>
      <w:tr w:rsidR="00EA5490" w:rsidRPr="00906E40" w14:paraId="0FFAE1D1" w14:textId="77777777" w:rsidTr="007E5C58">
        <w:trPr>
          <w:trHeight w:val="186"/>
        </w:trPr>
        <w:tc>
          <w:tcPr>
            <w:tcW w:w="604" w:type="dxa"/>
          </w:tcPr>
          <w:p w14:paraId="4E01F0D3" w14:textId="77777777" w:rsidR="00EA5490" w:rsidRPr="00906E40" w:rsidRDefault="00EA5490" w:rsidP="007E5C58">
            <w:pPr>
              <w:spacing w:after="200" w:line="276" w:lineRule="auto"/>
              <w:rPr>
                <w:color w:val="000000" w:themeColor="text1"/>
              </w:rPr>
            </w:pPr>
          </w:p>
        </w:tc>
      </w:tr>
    </w:tbl>
    <w:p w14:paraId="26B5D044" w14:textId="10C73501" w:rsidR="00E31E2A" w:rsidRPr="00906E40" w:rsidRDefault="00AF3529" w:rsidP="00F14D86">
      <w:pPr>
        <w:jc w:val="both"/>
        <w:rPr>
          <w:color w:val="000000" w:themeColor="text1"/>
        </w:rPr>
      </w:pPr>
      <w:r w:rsidRPr="00906E40">
        <w:rPr>
          <w:color w:val="000000" w:themeColor="text1"/>
        </w:rPr>
        <w:t xml:space="preserve">Pagal Viešųjų pirkimų tarnybos viešos konsultacijos nuostatas, Perkantysis subjektas pateikdamas šiuos atsakymus į teikėjų klausimus (Pirkimo dokumentų paaiškinimus/patikslinimus) aiškiai, ne dviprasmiškai ir visiems rinkos dalyviams vienodai nurodo kokios konkrečios </w:t>
      </w:r>
      <w:r w:rsidR="00374E33" w:rsidRPr="00906E40">
        <w:rPr>
          <w:color w:val="000000" w:themeColor="text1"/>
        </w:rPr>
        <w:t xml:space="preserve">Pirkimo sąlygos (konkrečių Pirkimo dokumentų konkrečių reikalavimų nuostatos) ir kaip tikslinamos arba keičiamos bei paaiškinamos. LR viešųjų pirkimų įstatymo 2 str. 39 dalis </w:t>
      </w:r>
      <w:r w:rsidR="007A13D4" w:rsidRPr="00906E40">
        <w:rPr>
          <w:color w:val="000000" w:themeColor="text1"/>
        </w:rPr>
        <w:t>„</w:t>
      </w:r>
      <w:r w:rsidR="00374E33" w:rsidRPr="00906E40">
        <w:rPr>
          <w:color w:val="000000" w:themeColor="text1"/>
        </w:rPr>
        <w:t xml:space="preserve">Viešojo pirkimo dokumentai (toliau – pirkimo dokumentai) – perkančiosios organizacijos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w:t>
      </w:r>
      <w:r w:rsidR="00374E33" w:rsidRPr="00906E40">
        <w:rPr>
          <w:b/>
          <w:bCs/>
          <w:i/>
          <w:iCs/>
          <w:color w:val="000000" w:themeColor="text1"/>
          <w:u w:val="single"/>
        </w:rPr>
        <w:t>jų paaiškinimai (patikslinimai)</w:t>
      </w:r>
      <w:r w:rsidR="007A13D4" w:rsidRPr="00906E40">
        <w:rPr>
          <w:b/>
          <w:bCs/>
          <w:i/>
          <w:iCs/>
          <w:color w:val="000000" w:themeColor="text1"/>
          <w:u w:val="single"/>
        </w:rPr>
        <w:t>“</w:t>
      </w:r>
      <w:r w:rsidR="00374E33" w:rsidRPr="00906E40">
        <w:rPr>
          <w:color w:val="000000" w:themeColor="text1"/>
        </w:rPr>
        <w:t xml:space="preserve">. </w:t>
      </w:r>
    </w:p>
    <w:p w14:paraId="02391BB1" w14:textId="5A354E60" w:rsidR="00374E33" w:rsidRPr="00906E40" w:rsidRDefault="00374E33" w:rsidP="00F14D86">
      <w:pPr>
        <w:jc w:val="both"/>
        <w:rPr>
          <w:color w:val="000000" w:themeColor="text1"/>
        </w:rPr>
      </w:pPr>
      <w:r w:rsidRPr="00906E40">
        <w:rPr>
          <w:color w:val="000000" w:themeColor="text1"/>
        </w:rPr>
        <w:t>Pateikiant atsakymus į tiekėjų klausimus (Pirkimo dokumentų paaiškinimus/patikslinimus), pirminės redakcijos Pirkimo dokumentai</w:t>
      </w:r>
      <w:r w:rsidR="00F14D86" w:rsidRPr="00906E40">
        <w:rPr>
          <w:color w:val="000000" w:themeColor="text1"/>
        </w:rPr>
        <w:t xml:space="preserve"> ne ištrinami ir lieka viešai CVP IS sistemoje prieinami bei galioja tiek kiek nebuvo aiškiai pakeisti pateikiant atsakymus į teikėjų klausimus (Pirkimo dokumentų paaiškinimus/patikslinimus).</w:t>
      </w:r>
    </w:p>
    <w:p w14:paraId="4A0CAA04" w14:textId="62E33FEE" w:rsidR="00F14D86" w:rsidRPr="00906E40" w:rsidRDefault="00F14D86" w:rsidP="00F14D86">
      <w:pPr>
        <w:jc w:val="both"/>
        <w:rPr>
          <w:color w:val="000000" w:themeColor="text1"/>
        </w:rPr>
      </w:pPr>
    </w:p>
    <w:p w14:paraId="43187D8E" w14:textId="1494721D" w:rsidR="00F14D86" w:rsidRPr="00906E40" w:rsidRDefault="00906E40" w:rsidP="00F14D86">
      <w:pPr>
        <w:jc w:val="both"/>
        <w:rPr>
          <w:color w:val="000000" w:themeColor="text1"/>
        </w:rPr>
      </w:pPr>
      <w:r>
        <w:rPr>
          <w:color w:val="000000" w:themeColor="text1"/>
        </w:rPr>
        <w:t xml:space="preserve">Nuolatinė viešųjų pirkimų </w:t>
      </w:r>
      <w:r w:rsidR="00F14D86" w:rsidRPr="00906E40">
        <w:rPr>
          <w:color w:val="000000" w:themeColor="text1"/>
        </w:rPr>
        <w:t>komisija</w:t>
      </w:r>
    </w:p>
    <w:sectPr w:rsidR="00F14D86" w:rsidRPr="00906E40" w:rsidSect="002C0B03">
      <w:pgSz w:w="11906" w:h="16838"/>
      <w:pgMar w:top="147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9DDD" w14:textId="77777777" w:rsidR="007C5B0F" w:rsidRDefault="007C5B0F" w:rsidP="00734051">
      <w:r>
        <w:separator/>
      </w:r>
    </w:p>
  </w:endnote>
  <w:endnote w:type="continuationSeparator" w:id="0">
    <w:p w14:paraId="37B3AD83" w14:textId="77777777" w:rsidR="007C5B0F" w:rsidRDefault="007C5B0F" w:rsidP="0073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116C" w14:textId="77777777" w:rsidR="007C5B0F" w:rsidRDefault="007C5B0F" w:rsidP="00734051">
      <w:r>
        <w:separator/>
      </w:r>
    </w:p>
  </w:footnote>
  <w:footnote w:type="continuationSeparator" w:id="0">
    <w:p w14:paraId="51B089CF" w14:textId="77777777" w:rsidR="007C5B0F" w:rsidRDefault="007C5B0F" w:rsidP="0073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24AE3"/>
    <w:multiLevelType w:val="hybridMultilevel"/>
    <w:tmpl w:val="8078E2F0"/>
    <w:lvl w:ilvl="0" w:tplc="BB124A94">
      <w:start w:val="1"/>
      <w:numFmt w:val="decimal"/>
      <w:lvlText w:val="%1."/>
      <w:lvlJc w:val="center"/>
      <w:pPr>
        <w:ind w:left="895" w:hanging="360"/>
      </w:pPr>
      <w:rPr>
        <w:caps w:val="0"/>
      </w:rPr>
    </w:lvl>
    <w:lvl w:ilvl="1" w:tplc="04270019">
      <w:start w:val="1"/>
      <w:numFmt w:val="lowerLetter"/>
      <w:lvlText w:val="%2."/>
      <w:lvlJc w:val="left"/>
      <w:pPr>
        <w:ind w:left="1615" w:hanging="360"/>
      </w:pPr>
    </w:lvl>
    <w:lvl w:ilvl="2" w:tplc="0427001B">
      <w:start w:val="1"/>
      <w:numFmt w:val="lowerRoman"/>
      <w:lvlText w:val="%3."/>
      <w:lvlJc w:val="right"/>
      <w:pPr>
        <w:ind w:left="2335" w:hanging="180"/>
      </w:pPr>
    </w:lvl>
    <w:lvl w:ilvl="3" w:tplc="0427000F">
      <w:start w:val="1"/>
      <w:numFmt w:val="decimal"/>
      <w:lvlText w:val="%4."/>
      <w:lvlJc w:val="left"/>
      <w:pPr>
        <w:ind w:left="3055" w:hanging="360"/>
      </w:pPr>
    </w:lvl>
    <w:lvl w:ilvl="4" w:tplc="04270019">
      <w:start w:val="1"/>
      <w:numFmt w:val="lowerLetter"/>
      <w:lvlText w:val="%5."/>
      <w:lvlJc w:val="left"/>
      <w:pPr>
        <w:ind w:left="3775" w:hanging="360"/>
      </w:pPr>
    </w:lvl>
    <w:lvl w:ilvl="5" w:tplc="0427001B">
      <w:start w:val="1"/>
      <w:numFmt w:val="lowerRoman"/>
      <w:lvlText w:val="%6."/>
      <w:lvlJc w:val="right"/>
      <w:pPr>
        <w:ind w:left="4495" w:hanging="180"/>
      </w:pPr>
    </w:lvl>
    <w:lvl w:ilvl="6" w:tplc="0427000F">
      <w:start w:val="1"/>
      <w:numFmt w:val="decimal"/>
      <w:lvlText w:val="%7."/>
      <w:lvlJc w:val="left"/>
      <w:pPr>
        <w:ind w:left="5215" w:hanging="360"/>
      </w:pPr>
    </w:lvl>
    <w:lvl w:ilvl="7" w:tplc="04270019">
      <w:start w:val="1"/>
      <w:numFmt w:val="lowerLetter"/>
      <w:lvlText w:val="%8."/>
      <w:lvlJc w:val="left"/>
      <w:pPr>
        <w:ind w:left="5935" w:hanging="360"/>
      </w:pPr>
    </w:lvl>
    <w:lvl w:ilvl="8" w:tplc="0427001B">
      <w:start w:val="1"/>
      <w:numFmt w:val="lowerRoman"/>
      <w:lvlText w:val="%9."/>
      <w:lvlJc w:val="right"/>
      <w:pPr>
        <w:ind w:left="6655" w:hanging="180"/>
      </w:pPr>
    </w:lvl>
  </w:abstractNum>
  <w:abstractNum w:abstractNumId="1" w15:restartNumberingAfterBreak="0">
    <w:nsid w:val="4A9034F1"/>
    <w:multiLevelType w:val="multilevel"/>
    <w:tmpl w:val="8BC44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457A5F"/>
    <w:multiLevelType w:val="hybridMultilevel"/>
    <w:tmpl w:val="F7EE0C06"/>
    <w:lvl w:ilvl="0" w:tplc="AE0A6206">
      <w:start w:val="1"/>
      <w:numFmt w:val="decimal"/>
      <w:lvlText w:val="%1."/>
      <w:lvlJc w:val="left"/>
      <w:pPr>
        <w:ind w:left="720" w:hanging="360"/>
      </w:pPr>
      <w:rPr>
        <w:rFonts w:cs="Times New Roman"/>
        <w:i w:val="0"/>
        <w:color w:val="auto"/>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33220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372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153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2"/>
    <w:rsid w:val="00010B81"/>
    <w:rsid w:val="00091446"/>
    <w:rsid w:val="0018105F"/>
    <w:rsid w:val="00185EE4"/>
    <w:rsid w:val="001F4CBE"/>
    <w:rsid w:val="002C0B03"/>
    <w:rsid w:val="00305082"/>
    <w:rsid w:val="00327FF7"/>
    <w:rsid w:val="00374E33"/>
    <w:rsid w:val="003E2D60"/>
    <w:rsid w:val="00435790"/>
    <w:rsid w:val="00445B79"/>
    <w:rsid w:val="00527A7B"/>
    <w:rsid w:val="005625E4"/>
    <w:rsid w:val="005814EF"/>
    <w:rsid w:val="005C59EE"/>
    <w:rsid w:val="006371F7"/>
    <w:rsid w:val="00663F2C"/>
    <w:rsid w:val="00691517"/>
    <w:rsid w:val="006F4BE2"/>
    <w:rsid w:val="00734051"/>
    <w:rsid w:val="007A13D4"/>
    <w:rsid w:val="007C5B0F"/>
    <w:rsid w:val="007E5C58"/>
    <w:rsid w:val="00906E40"/>
    <w:rsid w:val="00AF3529"/>
    <w:rsid w:val="00AF7A27"/>
    <w:rsid w:val="00CE4132"/>
    <w:rsid w:val="00D05D8A"/>
    <w:rsid w:val="00D258E1"/>
    <w:rsid w:val="00D4219B"/>
    <w:rsid w:val="00DD26ED"/>
    <w:rsid w:val="00E26C07"/>
    <w:rsid w:val="00E31E2A"/>
    <w:rsid w:val="00E433D2"/>
    <w:rsid w:val="00E84E1D"/>
    <w:rsid w:val="00E859FA"/>
    <w:rsid w:val="00E9748E"/>
    <w:rsid w:val="00EA5490"/>
    <w:rsid w:val="00F14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C085"/>
  <w15:docId w15:val="{F271F346-AD0F-4948-BF05-EBD6F1ED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7FF7"/>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CE413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unhideWhenUsed/>
    <w:rsid w:val="0056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5625E4"/>
    <w:rPr>
      <w:color w:val="0000FF"/>
      <w:u w:val="single"/>
    </w:rPr>
  </w:style>
  <w:style w:type="character" w:customStyle="1" w:styleId="apple-converted-space">
    <w:name w:val="apple-converted-space"/>
    <w:basedOn w:val="Numatytasispastraiposriftas"/>
    <w:rsid w:val="005625E4"/>
  </w:style>
  <w:style w:type="character" w:styleId="Perirtashipersaitas">
    <w:name w:val="FollowedHyperlink"/>
    <w:basedOn w:val="Numatytasispastraiposriftas"/>
    <w:uiPriority w:val="99"/>
    <w:semiHidden/>
    <w:unhideWhenUsed/>
    <w:rsid w:val="005625E4"/>
    <w:rPr>
      <w:color w:val="800080" w:themeColor="followedHyperlink"/>
      <w:u w:val="single"/>
    </w:rPr>
  </w:style>
  <w:style w:type="paragraph" w:styleId="Sraopastraipa">
    <w:name w:val="List Paragraph"/>
    <w:basedOn w:val="prastasis"/>
    <w:uiPriority w:val="34"/>
    <w:qFormat/>
    <w:rsid w:val="00010B81"/>
    <w:pPr>
      <w:spacing w:after="160" w:line="259" w:lineRule="auto"/>
      <w:ind w:left="720"/>
      <w:contextualSpacing/>
    </w:pPr>
    <w:rPr>
      <w:rFonts w:asciiTheme="minorHAnsi" w:eastAsiaTheme="minorHAnsi" w:hAnsiTheme="minorHAnsi" w:cstheme="minorBidi"/>
      <w:sz w:val="22"/>
      <w:szCs w:val="22"/>
      <w:lang w:eastAsia="en-US"/>
    </w:rPr>
  </w:style>
  <w:style w:type="paragraph" w:styleId="Antrats">
    <w:name w:val="header"/>
    <w:basedOn w:val="prastasis"/>
    <w:link w:val="AntratsDiagrama"/>
    <w:uiPriority w:val="99"/>
    <w:unhideWhenUsed/>
    <w:rsid w:val="00734051"/>
    <w:pPr>
      <w:tabs>
        <w:tab w:val="center" w:pos="4513"/>
        <w:tab w:val="right" w:pos="9026"/>
      </w:tabs>
    </w:pPr>
  </w:style>
  <w:style w:type="character" w:customStyle="1" w:styleId="AntratsDiagrama">
    <w:name w:val="Antraštės Diagrama"/>
    <w:basedOn w:val="Numatytasispastraiposriftas"/>
    <w:link w:val="Antrats"/>
    <w:uiPriority w:val="99"/>
    <w:rsid w:val="00734051"/>
    <w:rPr>
      <w:rFonts w:ascii="Times New Roman" w:eastAsia="Times New Roman" w:hAnsi="Times New Roman" w:cs="Times New Roman"/>
      <w:sz w:val="24"/>
      <w:szCs w:val="24"/>
      <w:lang w:eastAsia="en-GB"/>
    </w:rPr>
  </w:style>
  <w:style w:type="paragraph" w:styleId="Porat">
    <w:name w:val="footer"/>
    <w:basedOn w:val="prastasis"/>
    <w:link w:val="PoratDiagrama"/>
    <w:uiPriority w:val="99"/>
    <w:unhideWhenUsed/>
    <w:rsid w:val="00734051"/>
    <w:pPr>
      <w:tabs>
        <w:tab w:val="center" w:pos="4513"/>
        <w:tab w:val="right" w:pos="9026"/>
      </w:tabs>
    </w:pPr>
  </w:style>
  <w:style w:type="character" w:customStyle="1" w:styleId="PoratDiagrama">
    <w:name w:val="Poraštė Diagrama"/>
    <w:basedOn w:val="Numatytasispastraiposriftas"/>
    <w:link w:val="Porat"/>
    <w:uiPriority w:val="99"/>
    <w:rsid w:val="00734051"/>
    <w:rPr>
      <w:rFonts w:ascii="Times New Roman" w:eastAsia="Times New Roman" w:hAnsi="Times New Roman" w:cs="Times New Roman"/>
      <w:sz w:val="24"/>
      <w:szCs w:val="24"/>
      <w:lang w:eastAsia="en-GB"/>
    </w:rPr>
  </w:style>
  <w:style w:type="character" w:styleId="Komentaronuoroda">
    <w:name w:val="annotation reference"/>
    <w:basedOn w:val="Numatytasispastraiposriftas"/>
    <w:uiPriority w:val="99"/>
    <w:semiHidden/>
    <w:unhideWhenUsed/>
    <w:rsid w:val="00E84E1D"/>
    <w:rPr>
      <w:sz w:val="16"/>
      <w:szCs w:val="16"/>
    </w:rPr>
  </w:style>
  <w:style w:type="paragraph" w:styleId="Komentarotekstas">
    <w:name w:val="annotation text"/>
    <w:basedOn w:val="prastasis"/>
    <w:link w:val="KomentarotekstasDiagrama"/>
    <w:uiPriority w:val="99"/>
    <w:semiHidden/>
    <w:unhideWhenUsed/>
    <w:rsid w:val="00E84E1D"/>
    <w:rPr>
      <w:sz w:val="20"/>
      <w:szCs w:val="20"/>
    </w:rPr>
  </w:style>
  <w:style w:type="character" w:customStyle="1" w:styleId="KomentarotekstasDiagrama">
    <w:name w:val="Komentaro tekstas Diagrama"/>
    <w:basedOn w:val="Numatytasispastraiposriftas"/>
    <w:link w:val="Komentarotekstas"/>
    <w:uiPriority w:val="99"/>
    <w:semiHidden/>
    <w:rsid w:val="00E84E1D"/>
    <w:rPr>
      <w:rFonts w:ascii="Times New Roman" w:eastAsia="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E84E1D"/>
    <w:rPr>
      <w:b/>
      <w:bCs/>
    </w:rPr>
  </w:style>
  <w:style w:type="character" w:customStyle="1" w:styleId="KomentarotemaDiagrama">
    <w:name w:val="Komentaro tema Diagrama"/>
    <w:basedOn w:val="KomentarotekstasDiagrama"/>
    <w:link w:val="Komentarotema"/>
    <w:uiPriority w:val="99"/>
    <w:semiHidden/>
    <w:rsid w:val="00E84E1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426">
      <w:bodyDiv w:val="1"/>
      <w:marLeft w:val="0"/>
      <w:marRight w:val="0"/>
      <w:marTop w:val="0"/>
      <w:marBottom w:val="0"/>
      <w:divBdr>
        <w:top w:val="none" w:sz="0" w:space="0" w:color="auto"/>
        <w:left w:val="none" w:sz="0" w:space="0" w:color="auto"/>
        <w:bottom w:val="none" w:sz="0" w:space="0" w:color="auto"/>
        <w:right w:val="none" w:sz="0" w:space="0" w:color="auto"/>
      </w:divBdr>
    </w:div>
    <w:div w:id="96098707">
      <w:bodyDiv w:val="1"/>
      <w:marLeft w:val="0"/>
      <w:marRight w:val="0"/>
      <w:marTop w:val="0"/>
      <w:marBottom w:val="0"/>
      <w:divBdr>
        <w:top w:val="none" w:sz="0" w:space="0" w:color="auto"/>
        <w:left w:val="none" w:sz="0" w:space="0" w:color="auto"/>
        <w:bottom w:val="none" w:sz="0" w:space="0" w:color="auto"/>
        <w:right w:val="none" w:sz="0" w:space="0" w:color="auto"/>
      </w:divBdr>
    </w:div>
    <w:div w:id="99688605">
      <w:bodyDiv w:val="1"/>
      <w:marLeft w:val="0"/>
      <w:marRight w:val="0"/>
      <w:marTop w:val="0"/>
      <w:marBottom w:val="0"/>
      <w:divBdr>
        <w:top w:val="none" w:sz="0" w:space="0" w:color="auto"/>
        <w:left w:val="none" w:sz="0" w:space="0" w:color="auto"/>
        <w:bottom w:val="none" w:sz="0" w:space="0" w:color="auto"/>
        <w:right w:val="none" w:sz="0" w:space="0" w:color="auto"/>
      </w:divBdr>
    </w:div>
    <w:div w:id="503857988">
      <w:bodyDiv w:val="1"/>
      <w:marLeft w:val="0"/>
      <w:marRight w:val="0"/>
      <w:marTop w:val="0"/>
      <w:marBottom w:val="0"/>
      <w:divBdr>
        <w:top w:val="none" w:sz="0" w:space="0" w:color="auto"/>
        <w:left w:val="none" w:sz="0" w:space="0" w:color="auto"/>
        <w:bottom w:val="none" w:sz="0" w:space="0" w:color="auto"/>
        <w:right w:val="none" w:sz="0" w:space="0" w:color="auto"/>
      </w:divBdr>
    </w:div>
    <w:div w:id="653920964">
      <w:bodyDiv w:val="1"/>
      <w:marLeft w:val="0"/>
      <w:marRight w:val="0"/>
      <w:marTop w:val="0"/>
      <w:marBottom w:val="0"/>
      <w:divBdr>
        <w:top w:val="none" w:sz="0" w:space="0" w:color="auto"/>
        <w:left w:val="none" w:sz="0" w:space="0" w:color="auto"/>
        <w:bottom w:val="none" w:sz="0" w:space="0" w:color="auto"/>
        <w:right w:val="none" w:sz="0" w:space="0" w:color="auto"/>
      </w:divBdr>
    </w:div>
    <w:div w:id="1160196858">
      <w:bodyDiv w:val="1"/>
      <w:marLeft w:val="0"/>
      <w:marRight w:val="0"/>
      <w:marTop w:val="0"/>
      <w:marBottom w:val="0"/>
      <w:divBdr>
        <w:top w:val="none" w:sz="0" w:space="0" w:color="auto"/>
        <w:left w:val="none" w:sz="0" w:space="0" w:color="auto"/>
        <w:bottom w:val="none" w:sz="0" w:space="0" w:color="auto"/>
        <w:right w:val="none" w:sz="0" w:space="0" w:color="auto"/>
      </w:divBdr>
    </w:div>
    <w:div w:id="1194029385">
      <w:bodyDiv w:val="1"/>
      <w:marLeft w:val="0"/>
      <w:marRight w:val="0"/>
      <w:marTop w:val="0"/>
      <w:marBottom w:val="0"/>
      <w:divBdr>
        <w:top w:val="none" w:sz="0" w:space="0" w:color="auto"/>
        <w:left w:val="none" w:sz="0" w:space="0" w:color="auto"/>
        <w:bottom w:val="none" w:sz="0" w:space="0" w:color="auto"/>
        <w:right w:val="none" w:sz="0" w:space="0" w:color="auto"/>
      </w:divBdr>
    </w:div>
    <w:div w:id="1546520591">
      <w:bodyDiv w:val="1"/>
      <w:marLeft w:val="0"/>
      <w:marRight w:val="0"/>
      <w:marTop w:val="0"/>
      <w:marBottom w:val="0"/>
      <w:divBdr>
        <w:top w:val="none" w:sz="0" w:space="0" w:color="auto"/>
        <w:left w:val="none" w:sz="0" w:space="0" w:color="auto"/>
        <w:bottom w:val="none" w:sz="0" w:space="0" w:color="auto"/>
        <w:right w:val="none" w:sz="0" w:space="0" w:color="auto"/>
      </w:divBdr>
    </w:div>
    <w:div w:id="1585337549">
      <w:bodyDiv w:val="1"/>
      <w:marLeft w:val="0"/>
      <w:marRight w:val="0"/>
      <w:marTop w:val="0"/>
      <w:marBottom w:val="0"/>
      <w:divBdr>
        <w:top w:val="none" w:sz="0" w:space="0" w:color="auto"/>
        <w:left w:val="none" w:sz="0" w:space="0" w:color="auto"/>
        <w:bottom w:val="none" w:sz="0" w:space="0" w:color="auto"/>
        <w:right w:val="none" w:sz="0" w:space="0" w:color="auto"/>
      </w:divBdr>
    </w:div>
    <w:div w:id="1678653805">
      <w:bodyDiv w:val="1"/>
      <w:marLeft w:val="0"/>
      <w:marRight w:val="0"/>
      <w:marTop w:val="0"/>
      <w:marBottom w:val="0"/>
      <w:divBdr>
        <w:top w:val="none" w:sz="0" w:space="0" w:color="auto"/>
        <w:left w:val="none" w:sz="0" w:space="0" w:color="auto"/>
        <w:bottom w:val="none" w:sz="0" w:space="0" w:color="auto"/>
        <w:right w:val="none" w:sz="0" w:space="0" w:color="auto"/>
      </w:divBdr>
    </w:div>
    <w:div w:id="2140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2794</Words>
  <Characters>1594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Kizelevičius</dc:creator>
  <cp:lastModifiedBy>Violeta Ambrazevičienė</cp:lastModifiedBy>
  <cp:revision>9</cp:revision>
  <dcterms:created xsi:type="dcterms:W3CDTF">2022-08-22T13:46:00Z</dcterms:created>
  <dcterms:modified xsi:type="dcterms:W3CDTF">2022-08-25T13:00:00Z</dcterms:modified>
</cp:coreProperties>
</file>