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94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CPO226397</w:t>
      </w:r>
      <w:bookmarkEnd w:id="0"/>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lt-LT" w:eastAsia="lt-LT" w:bidi="lt-LT"/>
        </w:rPr>
        <w:t>(toliau - Užsakovas), ir</w:t>
      </w:r>
    </w:p>
    <w:p>
      <w:pPr>
        <w:pStyle w:val="Style1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lt-LT" w:eastAsia="lt-LT" w:bidi="lt-LT"/>
        </w:rPr>
        <w:t>VIADA LT, UAB</w:t>
      </w:r>
    </w:p>
    <w:tbl>
      <w:tblPr>
        <w:tblOverlap w:val="never"/>
        <w:jc w:val="center"/>
        <w:tblLayout w:type="fixed"/>
      </w:tblPr>
      <w:tblGrid>
        <w:gridCol w:w="2165"/>
        <w:gridCol w:w="8222"/>
      </w:tblGrid>
      <w:tr>
        <w:trPr>
          <w:trHeight w:val="547" w:hRule="exact"/>
        </w:trPr>
        <w:tc>
          <w:tcPr>
            <w:tcBorders/>
            <w:shd w:val="clear" w:color="auto" w:fill="auto"/>
            <w:vAlign w:val="top"/>
          </w:tcPr>
          <w:p>
            <w:pPr>
              <w:pStyle w:val="Style13"/>
              <w:keepNext w:val="0"/>
              <w:keepLines w:val="0"/>
              <w:widowControl w:val="0"/>
              <w:shd w:val="clear" w:color="auto" w:fill="auto"/>
              <w:tabs>
                <w:tab w:leader="underscore" w:pos="1838" w:val="left"/>
              </w:tabs>
              <w:bidi w:val="0"/>
              <w:spacing w:before="0" w:after="0" w:line="240" w:lineRule="auto"/>
              <w:ind w:left="0" w:right="0" w:firstLine="0"/>
              <w:jc w:val="left"/>
            </w:pPr>
            <w:r>
              <w:rPr>
                <w:color w:val="000000"/>
                <w:spacing w:val="0"/>
                <w:w w:val="100"/>
                <w:position w:val="0"/>
                <w:shd w:val="clear" w:color="auto" w:fill="auto"/>
                <w:lang w:val="lt-LT" w:eastAsia="lt-LT" w:bidi="lt-LT"/>
              </w:rPr>
              <w:t>atstovaujama</w:t>
              <w:tab/>
            </w:r>
          </w:p>
        </w:tc>
        <w:tc>
          <w:tcPr>
            <w:tcBorders/>
            <w:shd w:val="clear" w:color="auto" w:fill="auto"/>
            <w:vAlign w:val="center"/>
          </w:tcPr>
          <w:p>
            <w:pPr>
              <w:pStyle w:val="Style13"/>
              <w:keepNext w:val="0"/>
              <w:keepLines w:val="0"/>
              <w:widowControl w:val="0"/>
              <w:shd w:val="clear" w:color="auto" w:fill="auto"/>
              <w:bidi w:val="0"/>
              <w:spacing w:before="0" w:after="80" w:line="240" w:lineRule="auto"/>
              <w:ind w:left="0" w:right="0" w:firstLine="460"/>
              <w:jc w:val="left"/>
              <w:rPr>
                <w:sz w:val="12"/>
                <w:szCs w:val="12"/>
              </w:rPr>
            </w:pPr>
            <w:r>
              <w:rPr>
                <w:rFonts w:ascii="Arial" w:eastAsia="Arial" w:hAnsi="Arial" w:cs="Arial"/>
                <w:color w:val="141414"/>
                <w:spacing w:val="0"/>
                <w:w w:val="100"/>
                <w:position w:val="0"/>
                <w:sz w:val="12"/>
                <w:szCs w:val="12"/>
                <w:shd w:val="clear" w:color="auto" w:fill="auto"/>
                <w:lang w:val="lt-LT" w:eastAsia="lt-LT" w:bidi="lt-LT"/>
              </w:rPr>
              <w:t>Viešųjų pirkimų vadovės Rūtos Jasiūnienės</w:t>
            </w:r>
          </w:p>
          <w:p>
            <w:pPr>
              <w:pStyle w:val="Style13"/>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lt-LT" w:eastAsia="lt-LT" w:bidi="lt-LT"/>
              </w:rPr>
              <w:t>(vardas, pavardė ir pareigos)</w:t>
            </w:r>
          </w:p>
        </w:tc>
      </w:tr>
    </w:tbl>
    <w:p>
      <w:pPr>
        <w:pStyle w:val="Style11"/>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lt-LT" w:eastAsia="lt-LT" w:bidi="lt-LT"/>
        </w:rPr>
        <w:t>(toliau - Tiekėjas),</w:t>
      </w:r>
    </w:p>
    <w:p>
      <w:pPr>
        <w:pStyle w:val="Style11"/>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lt-LT" w:eastAsia="lt-LT" w:bidi="lt-LT"/>
        </w:rPr>
        <w:t>toliau kartu vadinami Šalimis, vadovaudamiesi 2020-05-15 Preliminariosios sutarties dėl automobilinių degalų degalinėse tiekimo per CPO (Pirkimo Nr.449501) nuostatomis, sudarome šią sutartį (toliau - Pirkimo sutartis):</w:t>
      </w:r>
    </w:p>
    <w:p>
      <w:pPr>
        <w:widowControl w:val="0"/>
        <w:spacing w:after="619" w:line="1" w:lineRule="exact"/>
      </w:pPr>
    </w:p>
    <w:p>
      <w:pPr>
        <w:pStyle w:val="Style17"/>
        <w:keepNext/>
        <w:keepLines/>
        <w:widowControl w:val="0"/>
        <w:numPr>
          <w:ilvl w:val="0"/>
          <w:numId w:val="1"/>
        </w:numPr>
        <w:shd w:val="clear" w:color="auto" w:fill="auto"/>
        <w:tabs>
          <w:tab w:pos="301" w:val="left"/>
        </w:tabs>
        <w:bidi w:val="0"/>
        <w:spacing w:before="0"/>
        <w:ind w:left="0" w:right="0" w:firstLine="0"/>
        <w:jc w:val="both"/>
      </w:pPr>
      <w:bookmarkStart w:id="2" w:name="bookmark2"/>
      <w:r>
        <w:rPr>
          <w:color w:val="000000"/>
          <w:spacing w:val="0"/>
          <w:w w:val="100"/>
          <w:position w:val="0"/>
          <w:shd w:val="clear" w:color="auto" w:fill="auto"/>
          <w:lang w:val="lt-LT" w:eastAsia="lt-LT" w:bidi="lt-LT"/>
        </w:rPr>
        <w:t>Bendrosios nuostatos</w:t>
      </w:r>
      <w:bookmarkEnd w:id="2"/>
    </w:p>
    <w:p>
      <w:pPr>
        <w:pStyle w:val="Style2"/>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Pagrindinėj e sutartyj e naudoj amos sąvokos:</w:t>
      </w:r>
    </w:p>
    <w:p>
      <w:pPr>
        <w:pStyle w:val="Style2"/>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2"/>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2"/>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2"/>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2"/>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2"/>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2"/>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2"/>
        <w:keepNext w:val="0"/>
        <w:keepLines w:val="0"/>
        <w:widowControl w:val="0"/>
        <w:numPr>
          <w:ilvl w:val="2"/>
          <w:numId w:val="1"/>
        </w:numPr>
        <w:shd w:val="clear" w:color="auto" w:fill="auto"/>
        <w:tabs>
          <w:tab w:pos="541" w:val="left"/>
        </w:tabs>
        <w:bidi w:val="0"/>
        <w:spacing w:before="0" w:after="60"/>
        <w:ind w:left="0" w:right="0" w:firstLine="0"/>
        <w:jc w:val="both"/>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7"/>
        <w:keepNext/>
        <w:keepLines/>
        <w:widowControl w:val="0"/>
        <w:numPr>
          <w:ilvl w:val="0"/>
          <w:numId w:val="1"/>
        </w:numPr>
        <w:shd w:val="clear" w:color="auto" w:fill="auto"/>
        <w:tabs>
          <w:tab w:pos="310" w:val="left"/>
        </w:tabs>
        <w:bidi w:val="0"/>
        <w:spacing w:before="0"/>
        <w:ind w:left="0" w:right="0" w:firstLine="0"/>
        <w:jc w:val="both"/>
      </w:pPr>
      <w:bookmarkStart w:id="4" w:name="bookmark4"/>
      <w:r>
        <w:rPr>
          <w:color w:val="000000"/>
          <w:spacing w:val="0"/>
          <w:w w:val="100"/>
          <w:position w:val="0"/>
          <w:shd w:val="clear" w:color="auto" w:fill="auto"/>
          <w:lang w:val="lt-LT" w:eastAsia="lt-LT" w:bidi="lt-LT"/>
        </w:rPr>
        <w:t>Pagrindinės sutarties dalykas</w:t>
      </w:r>
      <w:bookmarkEnd w:id="4"/>
    </w:p>
    <w:p>
      <w:pPr>
        <w:pStyle w:val="Style2"/>
        <w:keepNext w:val="0"/>
        <w:keepLines w:val="0"/>
        <w:widowControl w:val="0"/>
        <w:numPr>
          <w:ilvl w:val="1"/>
          <w:numId w:val="1"/>
        </w:numPr>
        <w:shd w:val="clear" w:color="auto" w:fill="auto"/>
        <w:tabs>
          <w:tab w:pos="427" w:val="left"/>
        </w:tabs>
        <w:bidi w:val="0"/>
        <w:spacing w:before="0" w:after="60" w:line="377" w:lineRule="auto"/>
        <w:ind w:left="0" w:right="0" w:firstLine="0"/>
        <w:jc w:val="both"/>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7"/>
        <w:keepNext/>
        <w:keepLines/>
        <w:widowControl w:val="0"/>
        <w:numPr>
          <w:ilvl w:val="0"/>
          <w:numId w:val="1"/>
        </w:numPr>
        <w:shd w:val="clear" w:color="auto" w:fill="auto"/>
        <w:tabs>
          <w:tab w:pos="310"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Šalių teisės ir pareigos</w:t>
      </w:r>
      <w:bookmarkEnd w:id="6"/>
    </w:p>
    <w:p>
      <w:pPr>
        <w:pStyle w:val="Style2"/>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Tiekėjas įsipareigoja:</w:t>
      </w:r>
    </w:p>
    <w:p>
      <w:pPr>
        <w:pStyle w:val="Style2"/>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užtikrinti Prekių pasiūlą visą Pagrindinės sutarties galioj imo laikotarpį;</w:t>
      </w:r>
    </w:p>
    <w:p>
      <w:pPr>
        <w:pStyle w:val="Style2"/>
        <w:keepNext w:val="0"/>
        <w:keepLines w:val="0"/>
        <w:widowControl w:val="0"/>
        <w:numPr>
          <w:ilvl w:val="2"/>
          <w:numId w:val="1"/>
        </w:numPr>
        <w:shd w:val="clear" w:color="auto" w:fill="auto"/>
        <w:tabs>
          <w:tab w:pos="560" w:val="left"/>
        </w:tabs>
        <w:bidi w:val="0"/>
        <w:spacing w:before="0" w:after="0"/>
        <w:ind w:left="0" w:right="0" w:firstLine="0"/>
        <w:jc w:val="both"/>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 jų pardavimui teisės aktuose nustatytus reikalavimus;</w:t>
      </w:r>
    </w:p>
    <w:p>
      <w:pPr>
        <w:pStyle w:val="Style2"/>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2"/>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lt-LT" w:eastAsia="lt-LT" w:bidi="lt-LT"/>
        </w:rPr>
        <w:t>Viešųjų pirkimų įstatymo 45 straipsnį 21 dalies 3 punkte.</w:t>
      </w:r>
    </w:p>
    <w:p>
      <w:pPr>
        <w:pStyle w:val="Style2"/>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2"/>
        <w:keepNext w:val="0"/>
        <w:keepLines w:val="0"/>
        <w:widowControl w:val="0"/>
        <w:numPr>
          <w:ilvl w:val="1"/>
          <w:numId w:val="1"/>
        </w:numPr>
        <w:shd w:val="clear" w:color="auto" w:fill="auto"/>
        <w:tabs>
          <w:tab w:pos="427" w:val="left"/>
        </w:tabs>
        <w:bidi w:val="0"/>
        <w:spacing w:before="0" w:after="180"/>
        <w:ind w:left="0" w:right="0" w:firstLine="0"/>
        <w:jc w:val="both"/>
      </w:pPr>
      <w:r>
        <w:rPr>
          <w:color w:val="000000"/>
          <w:spacing w:val="0"/>
          <w:w w:val="100"/>
          <w:position w:val="0"/>
          <w:shd w:val="clear" w:color="auto" w:fill="auto"/>
          <w:lang w:val="lt-LT" w:eastAsia="lt-LT" w:bidi="lt-LT"/>
        </w:rPr>
        <w:t>Tiekėjas turi teisę:</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2"/>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7"/>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- 102814.99 Eur.</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2"/>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2"/>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2"/>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2"/>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7"/>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2"/>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2"/>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2"/>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2"/>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2"/>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2"/>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2"/>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2"/>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2"/>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2"/>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7"/>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2"/>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2"/>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2"/>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7"/>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2"/>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2"/>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7"/>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2"/>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2"/>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7"/>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2"/>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2"/>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2"/>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7"/>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2"/>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r>
        <w:br w:type="page"/>
      </w:r>
    </w:p>
    <w:p>
      <w:pPr>
        <w:pStyle w:val="Style2"/>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2"/>
        <w:keepNext w:val="0"/>
        <w:keepLines w:val="0"/>
        <w:widowControl w:val="0"/>
        <w:numPr>
          <w:ilvl w:val="2"/>
          <w:numId w:val="1"/>
        </w:numPr>
        <w:shd w:val="clear" w:color="auto" w:fill="auto"/>
        <w:tabs>
          <w:tab w:pos="61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2"/>
        <w:keepNext w:val="0"/>
        <w:keepLines w:val="0"/>
        <w:widowControl w:val="0"/>
        <w:numPr>
          <w:ilvl w:val="2"/>
          <w:numId w:val="1"/>
        </w:numPr>
        <w:shd w:val="clear" w:color="auto" w:fill="auto"/>
        <w:tabs>
          <w:tab w:pos="60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2"/>
        <w:keepNext w:val="0"/>
        <w:keepLines w:val="0"/>
        <w:widowControl w:val="0"/>
        <w:numPr>
          <w:ilvl w:val="2"/>
          <w:numId w:val="1"/>
        </w:numPr>
        <w:shd w:val="clear" w:color="auto" w:fill="auto"/>
        <w:tabs>
          <w:tab w:pos="62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2"/>
        <w:keepNext w:val="0"/>
        <w:keepLines w:val="0"/>
        <w:widowControl w:val="0"/>
        <w:numPr>
          <w:ilvl w:val="1"/>
          <w:numId w:val="1"/>
        </w:numPr>
        <w:shd w:val="clear" w:color="auto" w:fill="auto"/>
        <w:tabs>
          <w:tab w:pos="49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7"/>
        <w:keepNext/>
        <w:keepLines/>
        <w:widowControl w:val="0"/>
        <w:numPr>
          <w:ilvl w:val="0"/>
          <w:numId w:val="1"/>
        </w:numPr>
        <w:shd w:val="clear" w:color="auto" w:fill="auto"/>
        <w:tabs>
          <w:tab w:pos="378" w:val="left"/>
        </w:tabs>
        <w:bidi w:val="0"/>
        <w:spacing w:before="0" w:after="20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2"/>
        <w:keepNext w:val="0"/>
        <w:keepLines w:val="0"/>
        <w:widowControl w:val="0"/>
        <w:numPr>
          <w:ilvl w:val="1"/>
          <w:numId w:val="1"/>
        </w:numPr>
        <w:shd w:val="clear" w:color="auto" w:fill="auto"/>
        <w:tabs>
          <w:tab w:pos="483" w:val="left"/>
        </w:tabs>
        <w:bidi w:val="0"/>
        <w:spacing w:before="0" w:after="80"/>
        <w:ind w:left="0" w:right="0" w:firstLine="0"/>
        <w:jc w:val="left"/>
      </w:pPr>
      <w:r>
        <w:rPr>
          <w:color w:val="000000"/>
          <w:spacing w:val="0"/>
          <w:w w:val="100"/>
          <w:position w:val="0"/>
          <w:shd w:val="clear" w:color="auto" w:fill="auto"/>
          <w:lang w:val="lt-LT" w:eastAsia="lt-LT" w:bidi="lt-LT"/>
        </w:rPr>
        <w:t>Papildomos Pagrindinės sutarties įvykdymo užtikrinimo priemonės netaikomos.</w:t>
      </w:r>
    </w:p>
    <w:p>
      <w:pPr>
        <w:pStyle w:val="Style17"/>
        <w:keepNext/>
        <w:keepLines/>
        <w:widowControl w:val="0"/>
        <w:numPr>
          <w:ilvl w:val="0"/>
          <w:numId w:val="1"/>
        </w:numPr>
        <w:shd w:val="clear" w:color="auto" w:fill="auto"/>
        <w:tabs>
          <w:tab w:pos="378" w:val="left"/>
        </w:tabs>
        <w:bidi w:val="0"/>
        <w:spacing w:before="0" w:after="200"/>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2"/>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vykdomajeiji buvo suformuota ne Elektroniniame kataloge.</w:t>
      </w:r>
    </w:p>
    <w:p>
      <w:pPr>
        <w:pStyle w:val="Style2"/>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2"/>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irjos pagrindu prisiimtus įsipareigojimus, laikosi visų Europos Sąjungos ir Lietuvos Respublikos teisės aktų reikalavimų dėl asmens duomenų apsaugos.</w:t>
      </w:r>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2"/>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2"/>
        <w:keepNext w:val="0"/>
        <w:keepLines w:val="0"/>
        <w:widowControl w:val="0"/>
        <w:numPr>
          <w:ilvl w:val="1"/>
          <w:numId w:val="1"/>
        </w:numPr>
        <w:shd w:val="clear" w:color="auto" w:fill="auto"/>
        <w:tabs>
          <w:tab w:pos="483" w:val="left"/>
        </w:tabs>
        <w:bidi w:val="0"/>
        <w:spacing w:before="0" w:after="260"/>
        <w:ind w:left="0" w:right="0" w:firstLine="0"/>
        <w:jc w:val="left"/>
      </w:pPr>
      <w:r>
        <w:rPr>
          <w:color w:val="000000"/>
          <w:spacing w:val="0"/>
          <w:w w:val="100"/>
          <w:position w:val="0"/>
          <w:shd w:val="clear" w:color="auto" w:fill="auto"/>
          <w:lang w:val="lt-LT" w:eastAsia="lt-LT" w:bidi="lt-LT"/>
        </w:rPr>
        <w:t>Pagrindinė sutartis sudaryta dviem vienodąteisinę galiąturinčiais egzemplioriais, po vieną egzempliorių kiekvienai Šaliai.</w:t>
      </w:r>
    </w:p>
    <w:p>
      <w:pPr>
        <w:pStyle w:val="Style2"/>
        <w:keepNext w:val="0"/>
        <w:keepLines w:val="0"/>
        <w:widowControl w:val="0"/>
        <w:shd w:val="clear" w:color="auto" w:fill="auto"/>
        <w:bidi w:val="0"/>
        <w:spacing w:before="0" w:after="0" w:line="295"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3477895</wp:posOffset>
                </wp:positionH>
                <wp:positionV relativeFrom="paragraph">
                  <wp:posOffset>12700</wp:posOffset>
                </wp:positionV>
                <wp:extent cx="3056890" cy="2359025"/>
                <wp:wrapSquare wrapText="left"/>
                <wp:docPr id="1" name="Shape 1"/>
                <a:graphic xmlns:a="http://schemas.openxmlformats.org/drawingml/2006/main">
                  <a:graphicData uri="http://schemas.microsoft.com/office/word/2010/wordprocessingShape">
                    <wps:wsp>
                      <wps:cNvSpPr txBox="1"/>
                      <wps:spPr>
                        <a:xfrm>
                          <a:ext cx="3056890" cy="2359025"/>
                        </a:xfrm>
                        <a:prstGeom prst="rect"/>
                        <a:noFill/>
                      </wps:spPr>
                      <wps:txbx>
                        <w:txbxContent>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Tiekėjas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VIADA LT, UAB</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 LT787154219</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5 2348470</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2"/>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Dėl sutarčių derinimo : mažmeninės prekybos vadybininkė Jūratė Buinauskienė el. paštasj.buinauskiene@viada.lttel. Nr. 867557792 Dėl sutarties vykdymo: mažmeninės prekybos vadybininkas Ramūnas Bakšanskis el. paštas korteles@viada.lttel. Nr. + 370 5 2348470</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3.85000000000002pt;margin-top:1.pt;width:240.70000000000002pt;height:185.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Tiekėjas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VIADA LT, UAB</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 LT787154219</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5 2348470</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2"/>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Dėl sutarčių derinimo : mažmeninės prekybos vadybininkė Jūratė Buinauskienė el. paštasj.buinauskiene@viada.lttel. Nr. 867557792 Dėl sutarties vykdymo: mažmeninės prekybos vadybininkas Ramūnas Bakšanskis el. paštas korteles@viada.lttel. Nr. + 370 5 2348470</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868648449</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2"/>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Arvydas Barčas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vyresnysis specialistas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Tel.+370 686 73803</w:t>
      </w:r>
    </w:p>
    <w:p>
      <w:pPr>
        <w:pStyle w:val="Style2"/>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"mailto:arvydas.barcas@aad.am.lt" </w:instrText>
      </w:r>
      <w:r>
        <w:fldChar w:fldCharType="separate"/>
      </w:r>
      <w:r>
        <w:rPr>
          <w:color w:val="000000"/>
          <w:spacing w:val="0"/>
          <w:w w:val="100"/>
          <w:position w:val="0"/>
          <w:shd w:val="clear" w:color="auto" w:fill="auto"/>
          <w:lang w:val="en-US" w:eastAsia="en-US" w:bidi="en-US"/>
        </w:rPr>
        <w:t>arvydas.barcas@aad.am.lt</w:t>
      </w:r>
      <w:r>
        <w:fldChar w:fldCharType="end"/>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Rasa Grušelionytė</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
        <w:keepNext w:val="0"/>
        <w:keepLines w:val="0"/>
        <w:widowControl w:val="0"/>
        <w:shd w:val="clear" w:color="auto" w:fill="auto"/>
        <w:bidi w:val="0"/>
        <w:spacing w:before="0" w:after="200" w:line="298" w:lineRule="auto"/>
        <w:ind w:left="0" w:right="0" w:firstLine="0"/>
        <w:jc w:val="left"/>
        <w:sectPr>
          <w:footerReference w:type="default" r:id="rId5"/>
          <w:footnotePr>
            <w:pos w:val="pageBottom"/>
            <w:numFmt w:val="decimal"/>
            <w:numRestart w:val="continuous"/>
          </w:footnotePr>
          <w:pgSz w:w="11900" w:h="16840"/>
          <w:pgMar w:top="605" w:right="567" w:bottom="991" w:left="543" w:header="177" w:footer="3" w:gutter="0"/>
          <w:pgNumType w:start="1"/>
          <w:cols w:space="720"/>
          <w:noEndnote/>
          <w:rtlGutter w:val="0"/>
          <w:docGrid w:linePitch="360"/>
        </w:sectPr>
      </w:pPr>
      <w:r>
        <w:rPr>
          <w:color w:val="000000"/>
          <w:spacing w:val="0"/>
          <w:w w:val="100"/>
          <w:position w:val="0"/>
          <w:shd w:val="clear" w:color="auto" w:fill="auto"/>
          <w:lang w:val="lt-LT" w:eastAsia="lt-LT" w:bidi="lt-LT"/>
        </w:rPr>
        <w:t>Bendrųjų reikalų ir informacinių technologijų skyriaus vyriausioji specialistė</w:t>
      </w:r>
    </w:p>
    <w:p>
      <w:pPr>
        <w:widowControl w:val="0"/>
        <w:spacing w:line="1" w:lineRule="exact"/>
      </w:pPr>
      <w:r>
        <mc:AlternateContent>
          <mc:Choice Requires="wps">
            <w:drawing>
              <wp:anchor distT="660400" distB="439420" distL="163195" distR="306705" simplePos="0" relativeHeight="125829380" behindDoc="0" locked="0" layoutInCell="1" allowOverlap="1">
                <wp:simplePos x="0" y="0"/>
                <wp:positionH relativeFrom="page">
                  <wp:posOffset>4744085</wp:posOffset>
                </wp:positionH>
                <wp:positionV relativeFrom="paragraph">
                  <wp:posOffset>694690</wp:posOffset>
                </wp:positionV>
                <wp:extent cx="572770" cy="115570"/>
                <wp:wrapSquare wrapText="left"/>
                <wp:docPr id="6" name="Shape 6"/>
                <a:graphic xmlns:a="http://schemas.openxmlformats.org/drawingml/2006/main">
                  <a:graphicData uri="http://schemas.microsoft.com/office/word/2010/wordprocessingShape">
                    <wps:wsp>
                      <wps:cNvSpPr txBox="1"/>
                      <wps:spPr>
                        <a:xfrm>
                          <a:ext cx="572770" cy="115570"/>
                        </a:xfrm>
                        <a:prstGeom prst="rect"/>
                        <a:noFill/>
                      </wps:spPr>
                      <wps:txbx>
                        <w:txbxContent>
                          <w:p>
                            <w:pPr>
                              <w:pStyle w:val="Style20"/>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txbxContent>
                      </wps:txbx>
                      <wps:bodyPr wrap="none" lIns="0" tIns="0" rIns="0" bIns="0">
                        <a:noAutoFit/>
                      </wps:bodyPr>
                    </wps:wsp>
                  </a:graphicData>
                </a:graphic>
              </wp:anchor>
            </w:drawing>
          </mc:Choice>
          <mc:Fallback>
            <w:pict>
              <v:shape id="_x0000_s1032" type="#_x0000_t202" style="position:absolute;margin-left:373.55000000000001pt;margin-top:54.700000000000003pt;width:45.100000000000001pt;height:9.0999999999999996pt;z-index:-125829373;mso-wrap-distance-left:12.85pt;mso-wrap-distance-top:52.pt;mso-wrap-distance-right:24.150000000000002pt;mso-wrap-distance-bottom:34.600000000000001pt;mso-position-horizontal-relative:page" filled="f" stroked="f">
                <v:textbox inset="0,0,0,0">
                  <w:txbxContent>
                    <w:p>
                      <w:pPr>
                        <w:pStyle w:val="Style20"/>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txbxContent>
                </v:textbox>
                <w10:wrap type="square" side="left" anchorx="page"/>
              </v:shape>
            </w:pict>
          </mc:Fallback>
        </mc:AlternateContent>
      </w:r>
      <w:r>
        <mc:AlternateContent>
          <mc:Choice Requires="wps">
            <w:drawing>
              <wp:anchor distT="1099185" distB="635" distL="114300" distR="114300" simplePos="0" relativeHeight="125829382" behindDoc="0" locked="0" layoutInCell="1" allowOverlap="1">
                <wp:simplePos x="0" y="0"/>
                <wp:positionH relativeFrom="page">
                  <wp:posOffset>4695190</wp:posOffset>
                </wp:positionH>
                <wp:positionV relativeFrom="paragraph">
                  <wp:posOffset>1133475</wp:posOffset>
                </wp:positionV>
                <wp:extent cx="814070" cy="115570"/>
                <wp:wrapSquare wrapText="left"/>
                <wp:docPr id="8" name="Shape 8"/>
                <a:graphic xmlns:a="http://schemas.openxmlformats.org/drawingml/2006/main">
                  <a:graphicData uri="http://schemas.microsoft.com/office/word/2010/wordprocessingShape">
                    <wps:wsp>
                      <wps:cNvSpPr txBox="1"/>
                      <wps:spPr>
                        <a:xfrm>
                          <a:ext cx="814070" cy="115570"/>
                        </a:xfrm>
                        <a:prstGeom prst="rect"/>
                        <a:noFill/>
                      </wps:spPr>
                      <wps:txbx>
                        <w:txbxContent>
                          <w:p>
                            <w:pPr>
                              <w:pStyle w:val="Style20"/>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wps:txbx>
                      <wps:bodyPr wrap="none" lIns="0" tIns="0" rIns="0" bIns="0">
                        <a:noAutoFit/>
                      </wps:bodyPr>
                    </wps:wsp>
                  </a:graphicData>
                </a:graphic>
              </wp:anchor>
            </w:drawing>
          </mc:Choice>
          <mc:Fallback>
            <w:pict>
              <v:shape id="_x0000_s1034" type="#_x0000_t202" style="position:absolute;margin-left:369.69999999999999pt;margin-top:89.25pt;width:64.099999999999994pt;height:9.0999999999999996pt;z-index:-125829371;mso-wrap-distance-left:9.pt;mso-wrap-distance-top:86.549999999999997pt;mso-wrap-distance-right:9.pt;mso-wrap-distance-bottom:5.0000000000000003e-002pt;mso-position-horizontal-relative:page" filled="f" stroked="f">
                <v:textbox inset="0,0,0,0">
                  <w:txbxContent>
                    <w:p>
                      <w:pPr>
                        <w:pStyle w:val="Style20"/>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Tel.+370 665 00160</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en-US" w:eastAsia="en-US" w:bidi="en-US"/>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2"/>
        <w:keepNext w:val="0"/>
        <w:keepLines w:val="0"/>
        <w:widowControl w:val="0"/>
        <w:shd w:val="clear" w:color="auto" w:fill="auto"/>
        <w:bidi w:val="0"/>
        <w:spacing w:before="0" w:after="180" w:line="331"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widowControl w:val="0"/>
        <w:shd w:val="clear" w:color="auto" w:fill="auto"/>
        <w:bidi w:val="0"/>
        <w:spacing w:before="0" w:after="240" w:line="331" w:lineRule="auto"/>
        <w:ind w:left="0" w:right="0" w:firstLine="0"/>
        <w:jc w:val="left"/>
      </w:pPr>
      <w:r>
        <w:rPr>
          <w:color w:val="000000"/>
          <w:spacing w:val="0"/>
          <w:w w:val="100"/>
          <w:position w:val="0"/>
          <w:shd w:val="clear" w:color="auto" w:fill="auto"/>
          <w:lang w:val="lt-LT" w:eastAsia="lt-LT" w:bidi="lt-LT"/>
        </w:rPr>
        <w:t>Vardas, pavardė: Kristina Malaiškaitė :</w:t>
      </w:r>
    </w:p>
    <w:p>
      <w:pPr>
        <w:pStyle w:val="Style2"/>
        <w:keepNext w:val="0"/>
        <w:keepLines w:val="0"/>
        <w:widowControl w:val="0"/>
        <w:shd w:val="clear" w:color="auto" w:fill="auto"/>
        <w:tabs>
          <w:tab w:leader="underscore" w:pos="4280"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Pareigos: Departamento direktoriaus pavaduotoja </w:t>
        <w:tab/>
      </w:r>
    </w:p>
    <w:p>
      <w:pPr>
        <w:pStyle w:val="Style2"/>
        <w:keepNext w:val="0"/>
        <w:keepLines w:val="0"/>
        <w:widowControl w:val="0"/>
        <w:shd w:val="clear" w:color="auto" w:fill="auto"/>
        <w:tabs>
          <w:tab w:leader="underscore" w:pos="4280" w:val="left"/>
        </w:tabs>
        <w:bidi w:val="0"/>
        <w:spacing w:before="0" w:after="180" w:line="331"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4280" w:val="left"/>
        </w:tabs>
        <w:bidi w:val="0"/>
        <w:spacing w:before="0" w:after="180" w:line="331" w:lineRule="auto"/>
        <w:ind w:left="0" w:right="0" w:firstLine="0"/>
        <w:jc w:val="left"/>
      </w:pPr>
      <w:r>
        <w:rPr>
          <w:color w:val="000000"/>
          <w:spacing w:val="0"/>
          <w:w w:val="100"/>
          <w:position w:val="0"/>
          <w:shd w:val="clear" w:color="auto" w:fill="auto"/>
          <w:lang w:val="lt-LT" w:eastAsia="lt-LT" w:bidi="lt-LT"/>
        </w:rPr>
        <w:t>A.V.:</w:t>
        <w:tab/>
      </w:r>
    </w:p>
    <w:p>
      <w:pPr>
        <w:pStyle w:val="Style2"/>
        <w:keepNext w:val="0"/>
        <w:keepLines w:val="0"/>
        <w:widowControl w:val="0"/>
        <w:shd w:val="clear" w:color="auto" w:fill="auto"/>
        <w:tabs>
          <w:tab w:leader="underscore" w:pos="4280" w:val="left"/>
        </w:tabs>
        <w:bidi w:val="0"/>
        <w:spacing w:before="0" w:after="220" w:line="331" w:lineRule="auto"/>
        <w:ind w:left="0" w:right="0" w:firstLine="0"/>
        <w:jc w:val="left"/>
      </w:pPr>
      <w:r>
        <w:rPr>
          <w:color w:val="000000"/>
          <w:spacing w:val="0"/>
          <w:w w:val="100"/>
          <w:position w:val="0"/>
          <w:shd w:val="clear" w:color="auto" w:fill="auto"/>
          <w:lang w:val="lt-LT" w:eastAsia="lt-LT" w:bidi="lt-LT"/>
        </w:rPr>
        <w:t>Data:</w:t>
        <w:tab/>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widowControl w:val="0"/>
        <w:shd w:val="clear" w:color="auto" w:fill="auto"/>
        <w:tabs>
          <w:tab w:leader="underscore" w:pos="1342" w:val="left"/>
        </w:tabs>
        <w:bidi w:val="0"/>
        <w:spacing w:before="0" w:after="240" w:line="240" w:lineRule="auto"/>
        <w:ind w:left="0" w:right="0" w:firstLine="0"/>
        <w:jc w:val="left"/>
      </w:pPr>
      <w:r>
        <w:rPr>
          <w:color w:val="000000"/>
          <w:spacing w:val="0"/>
          <w:w w:val="100"/>
          <w:position w:val="0"/>
          <w:shd w:val="clear" w:color="auto" w:fill="auto"/>
          <w:lang w:val="lt-LT" w:eastAsia="lt-LT" w:bidi="lt-LT"/>
        </w:rPr>
        <w:t>Vardas, pavardė:</w:t>
        <w:tab/>
      </w:r>
    </w:p>
    <w:p>
      <w:pPr>
        <w:pStyle w:val="Style2"/>
        <w:keepNext w:val="0"/>
        <w:keepLines w:val="0"/>
        <w:widowControl w:val="0"/>
        <w:pBdr>
          <w:bottom w:val="single" w:sz="4" w:space="0" w:color="auto"/>
        </w:pBdr>
        <w:shd w:val="clear" w:color="auto" w:fill="auto"/>
        <w:tabs>
          <w:tab w:leader="underscore" w:pos="1342"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b/>
      </w:r>
    </w:p>
    <w:p>
      <w:pPr>
        <w:pStyle w:val="Style2"/>
        <w:keepNext w:val="0"/>
        <w:keepLines w:val="0"/>
        <w:widowControl w:val="0"/>
        <w:shd w:val="clear" w:color="auto" w:fill="auto"/>
        <w:tabs>
          <w:tab w:leader="underscore" w:pos="1342" w:val="left"/>
        </w:tabs>
        <w:bidi w:val="0"/>
        <w:spacing w:before="0" w:after="480" w:line="240" w:lineRule="auto"/>
        <w:ind w:left="0" w:right="0" w:firstLine="0"/>
        <w:jc w:val="left"/>
      </w:pPr>
      <w:r>
        <w:rPr>
          <w:color w:val="000000"/>
          <w:spacing w:val="0"/>
          <w:w w:val="100"/>
          <w:position w:val="0"/>
          <w:shd w:val="clear" w:color="auto" w:fill="auto"/>
          <w:lang w:val="lt-LT" w:eastAsia="lt-LT" w:bidi="lt-LT"/>
        </w:rPr>
        <w:t>Pareigos:</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sectPr>
          <w:footerReference w:type="default" r:id="rId6"/>
          <w:footnotePr>
            <w:pos w:val="pageBottom"/>
            <w:numFmt w:val="decimal"/>
            <w:numRestart w:val="continuous"/>
          </w:footnotePr>
          <w:pgSz w:w="11900" w:h="16840"/>
          <w:pgMar w:top="567" w:right="2105" w:bottom="855" w:left="597" w:header="139" w:footer="3" w:gutter="0"/>
          <w:cols w:num="2" w:space="421"/>
          <w:noEndnote/>
          <w:rtlGutter w:val="0"/>
          <w:docGrid w:linePitch="360"/>
        </w:sectPr>
      </w:pPr>
      <w:r>
        <w:rPr>
          <w:color w:val="000000"/>
          <w:spacing w:val="0"/>
          <w:w w:val="100"/>
          <w:position w:val="0"/>
          <w:shd w:val="clear" w:color="auto" w:fill="auto"/>
          <w:lang w:val="lt-LT" w:eastAsia="lt-LT" w:bidi="lt-LT"/>
        </w:rPr>
        <w:t>Data:</w:t>
        <w:tab/>
      </w:r>
    </w:p>
    <w:p>
      <w:pPr>
        <w:pStyle w:val="Style4"/>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CPO226397 priedas</w:t>
      </w:r>
      <w:bookmarkEnd w:id="26"/>
    </w:p>
    <w:p>
      <w:pPr>
        <w:pStyle w:val="Style22"/>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22"/>
        <w:keepNext/>
        <w:keepLines/>
        <w:widowControl w:val="0"/>
        <w:pBdr>
          <w:bottom w:val="single" w:sz="4" w:space="0" w:color="auto"/>
        </w:pBdr>
        <w:shd w:val="clear" w:color="auto" w:fill="auto"/>
        <w:tabs>
          <w:tab w:pos="482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102814.99</w:t>
      </w:r>
      <w:bookmarkEnd w:id="30"/>
    </w:p>
    <w:p>
      <w:pPr>
        <w:pStyle w:val="Style22"/>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0.029</w:t>
            </w:r>
          </w:p>
        </w:tc>
      </w:tr>
      <w:tr>
        <w:trPr>
          <w:trHeight w:val="293"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0.029</w:t>
            </w:r>
          </w:p>
        </w:tc>
      </w:tr>
    </w:tbl>
    <w:p>
      <w:pPr>
        <w:widowControl w:val="0"/>
        <w:spacing w:after="399" w:line="1" w:lineRule="exact"/>
      </w:pPr>
    </w:p>
    <w:p>
      <w:pPr>
        <w:pStyle w:val="Style22"/>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2"/>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2"/>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3439795</wp:posOffset>
                </wp:positionH>
                <wp:positionV relativeFrom="paragraph">
                  <wp:posOffset>12700</wp:posOffset>
                </wp:positionV>
                <wp:extent cx="372110" cy="146050"/>
                <wp:wrapSquare wrapText="left"/>
                <wp:docPr id="13" name="Shape 13"/>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9" type="#_x0000_t202" style="position:absolute;margin-left:270.85000000000002pt;margin-top:1.pt;width:29.300000000000001pt;height:11.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r>
        <w:br w:type="page"/>
      </w:r>
    </w:p>
    <w:tbl>
      <w:tblPr>
        <w:tblOverlap w:val="never"/>
        <w:jc w:val="left"/>
        <w:tblLayout w:type="fixed"/>
      </w:tblPr>
      <w:tblGrid>
        <w:gridCol w:w="4382"/>
        <w:gridCol w:w="5266"/>
      </w:tblGrid>
      <w:tr>
        <w:trPr>
          <w:trHeight w:val="878" w:hRule="exact"/>
        </w:trPr>
        <w:tc>
          <w:tcPr>
            <w:tcBorders/>
            <w:shd w:val="clear" w:color="auto" w:fill="auto"/>
            <w:vAlign w:val="top"/>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tc>
        <w:tc>
          <w:tcPr>
            <w:tcBorders/>
            <w:shd w:val="clear" w:color="auto" w:fill="auto"/>
            <w:vAlign w:val="top"/>
          </w:tcPr>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VIADA LT, UAB</w:t>
            </w:r>
          </w:p>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Adresas: Ožiarūčių g. 1A, 14185 Avižieniai, Vilniaus r., Vilniaus apskritis</w:t>
            </w:r>
          </w:p>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Kodas: 178715423</w:t>
            </w:r>
          </w:p>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PVM kodas: LT787154219</w:t>
            </w:r>
          </w:p>
        </w:tc>
      </w:tr>
      <w:tr>
        <w:trPr>
          <w:trHeight w:val="677" w:hRule="exact"/>
        </w:trPr>
        <w:tc>
          <w:tcPr>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 xml:space="preserve">A. s. </w:t>
            </w:r>
            <w:r>
              <w:rPr>
                <w:color w:val="000000"/>
                <w:spacing w:val="0"/>
                <w:w w:val="100"/>
                <w:position w:val="0"/>
                <w:shd w:val="clear" w:color="auto" w:fill="auto"/>
                <w:lang w:val="en-US" w:eastAsia="en-US" w:bidi="en-US"/>
              </w:rPr>
              <w:t xml:space="preserve">Nr.: </w:t>
            </w:r>
            <w:r>
              <w:rPr>
                <w:color w:val="000000"/>
                <w:spacing w:val="0"/>
                <w:w w:val="100"/>
                <w:position w:val="0"/>
                <w:shd w:val="clear" w:color="auto" w:fill="auto"/>
                <w:lang w:val="lt-LT" w:eastAsia="lt-LT" w:bidi="lt-LT"/>
              </w:rPr>
              <w:t>LT324010051004213500, Luminor</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Tel.: 868648449</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Faks.:</w:t>
            </w:r>
          </w:p>
        </w:tc>
        <w:tc>
          <w:tcPr>
            <w:tcBorders/>
            <w:shd w:val="clear" w:color="auto" w:fill="auto"/>
            <w:vAlign w:val="top"/>
          </w:tcPr>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Tel.: 5 2348470</w:t>
            </w:r>
          </w:p>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Faks.:</w:t>
            </w:r>
          </w:p>
        </w:tc>
      </w:tr>
      <w:tr>
        <w:trPr>
          <w:trHeight w:val="384" w:hRule="exact"/>
        </w:trPr>
        <w:tc>
          <w:tcPr>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c>
        <w:tc>
          <w:tcPr>
            <w:tcBorders/>
            <w:shd w:val="clear" w:color="auto" w:fill="auto"/>
            <w:vAlign w:val="top"/>
          </w:tcPr>
          <w:p>
            <w:pPr>
              <w:pStyle w:val="Style13"/>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tc>
      </w:tr>
      <w:tr>
        <w:trPr>
          <w:trHeight w:val="595" w:hRule="exact"/>
        </w:trPr>
        <w:tc>
          <w:tcPr>
            <w:tcBorders/>
            <w:shd w:val="clear" w:color="auto" w:fill="auto"/>
            <w:vAlign w:val="bottom"/>
          </w:tcPr>
          <w:p>
            <w:pPr>
              <w:pStyle w:val="Style13"/>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w:t>
            </w:r>
          </w:p>
        </w:tc>
        <w:tc>
          <w:tcPr>
            <w:tcBorders/>
            <w:shd w:val="clear" w:color="auto" w:fill="auto"/>
            <w:vAlign w:val="bottom"/>
          </w:tcPr>
          <w:p>
            <w:pPr>
              <w:pStyle w:val="Style13"/>
              <w:keepNext w:val="0"/>
              <w:keepLines w:val="0"/>
              <w:widowControl w:val="0"/>
              <w:shd w:val="clear" w:color="auto" w:fill="auto"/>
              <w:bidi w:val="0"/>
              <w:spacing w:before="0" w:after="0" w:line="295" w:lineRule="auto"/>
              <w:ind w:left="46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w:t>
            </w:r>
          </w:p>
        </w:tc>
      </w:tr>
      <w:tr>
        <w:trPr>
          <w:trHeight w:val="1166" w:hRule="exact"/>
        </w:trPr>
        <w:tc>
          <w:tcPr>
            <w:tcBorders/>
            <w:shd w:val="clear" w:color="auto" w:fill="auto"/>
            <w:vAlign w:val="top"/>
          </w:tcPr>
          <w:p>
            <w:pPr>
              <w:pStyle w:val="Style13"/>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Arvydas Barčas</w:t>
            </w:r>
          </w:p>
          <w:p>
            <w:pPr>
              <w:pStyle w:val="Style13"/>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 Bendrųjų reikalų ir informacinių technologijų skyriaus vyresnysis specialistas</w:t>
            </w:r>
          </w:p>
        </w:tc>
        <w:tc>
          <w:tcPr>
            <w:tcBorders/>
            <w:shd w:val="clear" w:color="auto" w:fill="auto"/>
            <w:vAlign w:val="top"/>
          </w:tcPr>
          <w:p>
            <w:pPr>
              <w:pStyle w:val="Style13"/>
              <w:keepNext w:val="0"/>
              <w:keepLines w:val="0"/>
              <w:widowControl w:val="0"/>
              <w:shd w:val="clear" w:color="auto" w:fill="auto"/>
              <w:bidi w:val="0"/>
              <w:spacing w:before="0" w:after="0" w:line="298" w:lineRule="auto"/>
              <w:ind w:left="46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c>
      </w:tr>
    </w:tbl>
    <w:p>
      <w:pPr>
        <w:pStyle w:val="Style1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en-US" w:eastAsia="en-US" w:bidi="en-US"/>
        </w:rPr>
        <w:t>Tel.+370 686 73803</w:t>
      </w:r>
    </w:p>
    <w:p>
      <w:pPr>
        <w:pStyle w:val="Style1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en-US" w:eastAsia="en-US" w:bidi="en-US"/>
        </w:rPr>
        <w:t xml:space="preserve">El.p. </w:t>
      </w:r>
      <w:r>
        <w:fldChar w:fldCharType="begin"/>
      </w:r>
      <w:r>
        <w:rPr/>
        <w:instrText> HYPERLINK "mailto:arvydas.barcas@aad.am.lt" </w:instrText>
      </w:r>
      <w:r>
        <w:fldChar w:fldCharType="separate"/>
      </w:r>
      <w:r>
        <w:rPr>
          <w:color w:val="000000"/>
          <w:spacing w:val="0"/>
          <w:w w:val="100"/>
          <w:position w:val="0"/>
          <w:shd w:val="clear" w:color="auto" w:fill="auto"/>
          <w:lang w:val="en-US" w:eastAsia="en-US" w:bidi="en-US"/>
        </w:rPr>
        <w:t>arvydas.barcas@aad.am.lt</w:t>
      </w:r>
      <w:r>
        <w:fldChar w:fldCharType="end"/>
      </w:r>
    </w:p>
    <w:p>
      <w:pPr>
        <w:widowControl w:val="0"/>
        <w:spacing w:after="499" w:line="1" w:lineRule="exact"/>
      </w:pP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2"/>
        <w:keepNext w:val="0"/>
        <w:keepLines w:val="0"/>
        <w:widowControl w:val="0"/>
        <w:shd w:val="clear" w:color="auto" w:fill="auto"/>
        <w:bidi w:val="0"/>
        <w:spacing w:before="0" w:after="0" w:line="298" w:lineRule="auto"/>
        <w:ind w:left="0" w:right="0" w:firstLine="0"/>
        <w:jc w:val="left"/>
        <w:sectPr>
          <w:footnotePr>
            <w:pos w:val="pageBottom"/>
            <w:numFmt w:val="decimal"/>
            <w:numRestart w:val="continuous"/>
          </w:footnotePr>
          <w:pgSz w:w="11900" w:h="16840"/>
          <w:pgMar w:top="558" w:right="857" w:bottom="1102" w:left="554" w:header="130" w:footer="3" w:gutter="0"/>
          <w:cols w:space="720"/>
          <w:noEndnote/>
          <w:rtlGutter w:val="0"/>
          <w:docGrid w:linePitch="360"/>
        </w:sectPr>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91" w:right="0" w:bottom="750" w:left="0" w:header="0" w:footer="3" w:gutter="0"/>
          <w:cols w:space="720"/>
          <w:noEndnote/>
          <w:rtlGutter w:val="0"/>
          <w:docGrid w:linePitch="360"/>
        </w:sectPr>
      </w:pPr>
    </w:p>
    <w:p>
      <w:pPr>
        <w:pStyle w:val="Style2"/>
        <w:keepNext w:val="0"/>
        <w:keepLines w:val="0"/>
        <w:framePr w:w="4363" w:h="1421" w:wrap="none" w:vAnchor="text" w:hAnchor="page" w:x="599" w:y="21"/>
        <w:widowControl w:val="0"/>
        <w:shd w:val="clear" w:color="auto" w:fill="auto"/>
        <w:bidi w:val="0"/>
        <w:spacing w:before="0" w:after="180" w:line="331"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framePr w:w="4363" w:h="1421" w:wrap="none" w:vAnchor="text" w:hAnchor="page" w:x="599" w:y="21"/>
        <w:widowControl w:val="0"/>
        <w:shd w:val="clear" w:color="auto" w:fill="auto"/>
        <w:tabs>
          <w:tab w:leader="underscore" w:pos="4315"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2"/>
        <w:keepNext w:val="0"/>
        <w:keepLines w:val="0"/>
        <w:framePr w:w="4363" w:h="1421" w:wrap="none" w:vAnchor="text" w:hAnchor="page" w:x="599" w:y="21"/>
        <w:widowControl w:val="0"/>
        <w:shd w:val="clear" w:color="auto" w:fill="auto"/>
        <w:bidi w:val="0"/>
        <w:spacing w:before="0" w:after="220" w:line="331" w:lineRule="auto"/>
        <w:ind w:left="0" w:right="0" w:firstLine="0"/>
        <w:jc w:val="left"/>
      </w:pPr>
      <w:r>
        <w:rPr>
          <w:color w:val="000000"/>
          <w:spacing w:val="0"/>
          <w:w w:val="100"/>
          <w:position w:val="0"/>
          <w:shd w:val="clear" w:color="auto" w:fill="auto"/>
          <w:lang w:val="lt-LT" w:eastAsia="lt-LT" w:bidi="lt-LT"/>
        </w:rPr>
        <w:t>Pareigos: _Departamento direktoriaus pavaduotoja</w:t>
      </w:r>
    </w:p>
    <w:p>
      <w:pPr>
        <w:pStyle w:val="Style2"/>
        <w:keepNext w:val="0"/>
        <w:keepLines w:val="0"/>
        <w:framePr w:w="1483" w:h="1363" w:wrap="none" w:vAnchor="text" w:hAnchor="page" w:x="541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framePr w:w="1483" w:h="1363" w:wrap="none" w:vAnchor="text" w:hAnchor="page" w:x="5418" w:y="21"/>
        <w:widowControl w:val="0"/>
        <w:shd w:val="clear" w:color="auto" w:fill="auto"/>
        <w:tabs>
          <w:tab w:leader="underscore" w:pos="1435" w:val="left"/>
        </w:tabs>
        <w:bidi w:val="0"/>
        <w:spacing w:before="0" w:after="240" w:line="240" w:lineRule="auto"/>
        <w:ind w:left="0" w:right="0" w:firstLine="0"/>
        <w:jc w:val="left"/>
      </w:pPr>
      <w:r>
        <w:rPr>
          <w:color w:val="000000"/>
          <w:spacing w:val="0"/>
          <w:w w:val="100"/>
          <w:position w:val="0"/>
          <w:shd w:val="clear" w:color="auto" w:fill="auto"/>
          <w:lang w:val="lt-LT" w:eastAsia="lt-LT" w:bidi="lt-LT"/>
        </w:rPr>
        <w:t>Vardas, pavardė:</w:t>
        <w:tab/>
      </w:r>
    </w:p>
    <w:p>
      <w:pPr>
        <w:pStyle w:val="Style2"/>
        <w:keepNext w:val="0"/>
        <w:keepLines w:val="0"/>
        <w:framePr w:w="1483" w:h="1363" w:wrap="none" w:vAnchor="text" w:hAnchor="page" w:x="5418" w:y="21"/>
        <w:widowControl w:val="0"/>
        <w:pBdr>
          <w:bottom w:val="single" w:sz="4" w:space="0" w:color="auto"/>
        </w:pBdr>
        <w:shd w:val="clear" w:color="auto" w:fill="auto"/>
        <w:tabs>
          <w:tab w:leader="underscore" w:pos="1402"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b/>
      </w:r>
    </w:p>
    <w:p>
      <w:pPr>
        <w:pStyle w:val="Style2"/>
        <w:keepNext w:val="0"/>
        <w:keepLines w:val="0"/>
        <w:framePr w:w="1483" w:h="1363" w:wrap="none" w:vAnchor="text" w:hAnchor="page" w:x="5418" w:y="21"/>
        <w:widowControl w:val="0"/>
        <w:shd w:val="clear" w:color="auto" w:fill="auto"/>
        <w:tabs>
          <w:tab w:leader="underscore" w:pos="94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Pareigos:</w:t>
        <w:tab/>
      </w:r>
    </w:p>
    <w:p>
      <w:pPr>
        <w:pStyle w:val="Style20"/>
        <w:keepNext w:val="0"/>
        <w:keepLines w:val="0"/>
        <w:framePr w:w="902" w:h="182" w:wrap="none" w:vAnchor="text" w:hAnchor="page" w:x="7511" w:y="471"/>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20"/>
        <w:keepNext w:val="0"/>
        <w:keepLines w:val="0"/>
        <w:framePr w:w="1282" w:h="187" w:wrap="none" w:vAnchor="text" w:hAnchor="page" w:x="7419" w:y="1091"/>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sectPr>
          <w:footnotePr>
            <w:pos w:val="pageBottom"/>
            <w:numFmt w:val="decimal"/>
            <w:numRestart w:val="continuous"/>
          </w:footnotePr>
          <w:type w:val="continuous"/>
          <w:pgSz w:w="11900" w:h="16840"/>
          <w:pgMar w:top="591" w:right="344" w:bottom="750" w:left="554" w:header="0" w:footer="3" w:gutter="0"/>
          <w:cols w:space="720"/>
          <w:noEndnote/>
          <w:rtlGutter w:val="0"/>
          <w:docGrid w:linePitch="360"/>
        </w:sectPr>
      </w:pPr>
    </w:p>
    <w:p>
      <w:pPr>
        <w:widowControl w:val="0"/>
        <w:spacing w:line="98" w:lineRule="exact"/>
        <w:rPr>
          <w:sz w:val="8"/>
          <w:szCs w:val="8"/>
        </w:rPr>
      </w:pPr>
    </w:p>
    <w:p>
      <w:pPr>
        <w:widowControl w:val="0"/>
        <w:spacing w:line="1" w:lineRule="exact"/>
        <w:sectPr>
          <w:footnotePr>
            <w:pos w:val="pageBottom"/>
            <w:numFmt w:val="decimal"/>
            <w:numRestart w:val="continuous"/>
          </w:footnotePr>
          <w:type w:val="continuous"/>
          <w:pgSz w:w="11900" w:h="16840"/>
          <w:pgMar w:top="591" w:right="0" w:bottom="850" w:left="0" w:header="0" w:footer="3" w:gutter="0"/>
          <w:cols w:space="720"/>
          <w:noEndnote/>
          <w:rtlGutter w:val="0"/>
          <w:docGrid w:linePitch="360"/>
        </w:sectPr>
      </w:pP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2"/>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91" w:right="2106" w:bottom="850" w:left="598"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sectPr>
      <w:footnotePr>
        <w:pos w:val="pageBottom"/>
        <w:numFmt w:val="decimal"/>
        <w:numRestart w:val="continuous"/>
      </w:footnotePr>
      <w:type w:val="continuous"/>
      <w:pgSz w:w="11900" w:h="16840"/>
      <w:pgMar w:top="591" w:right="2106" w:bottom="850" w:left="598" w:header="0" w:footer="3" w:gutter="0"/>
      <w:cols w:num="2" w:space="44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3" name="Shape 3"/>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6"/>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29"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5" name="Shape 5"/>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10" name="Shape 10"/>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6"/>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Pirkimo sutartis nr. CPO226397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6"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Pirkimo sutartis nr. CPO226397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10048240</wp:posOffset>
              </wp:positionV>
              <wp:extent cx="7037705" cy="0"/>
              <wp:wrapNone/>
              <wp:docPr id="12" name="Shape 12"/>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1.20000000000005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sz w:val="16"/>
      <w:szCs w:val="16"/>
      <w:u w:val="none"/>
    </w:rPr>
  </w:style>
  <w:style w:type="character" w:customStyle="1" w:styleId="CharStyle5">
    <w:name w:val="Heading #1_"/>
    <w:basedOn w:val="DefaultParagraphFont"/>
    <w:link w:val="Style4"/>
    <w:rPr>
      <w:rFonts w:ascii="Times New Roman" w:eastAsia="Times New Roman" w:hAnsi="Times New Roman" w:cs="Times New Roman"/>
      <w:b/>
      <w:bCs/>
      <w:i w:val="0"/>
      <w:iCs w:val="0"/>
      <w:smallCaps w:val="0"/>
      <w:strike w:val="0"/>
      <w:u w:val="none"/>
    </w:rPr>
  </w:style>
  <w:style w:type="character" w:customStyle="1" w:styleId="CharStyle7">
    <w:name w:val="Header or footer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Body text (3)_"/>
    <w:basedOn w:val="DefaultParagraphFont"/>
    <w:link w:val="Style9"/>
    <w:rPr>
      <w:rFonts w:ascii="Times New Roman" w:eastAsia="Times New Roman" w:hAnsi="Times New Roman" w:cs="Times New Roman"/>
      <w:b w:val="0"/>
      <w:bCs w:val="0"/>
      <w:i w:val="0"/>
      <w:iCs w:val="0"/>
      <w:smallCaps w:val="0"/>
      <w:strike w:val="0"/>
      <w:sz w:val="12"/>
      <w:szCs w:val="12"/>
      <w:u w:val="none"/>
    </w:rPr>
  </w:style>
  <w:style w:type="character" w:customStyle="1" w:styleId="CharStyle12">
    <w:name w:val="Table caption_"/>
    <w:basedOn w:val="DefaultParagraphFont"/>
    <w:link w:val="Style11"/>
    <w:rPr>
      <w:rFonts w:ascii="Times New Roman" w:eastAsia="Times New Roman" w:hAnsi="Times New Roman" w:cs="Times New Roman"/>
      <w:b w:val="0"/>
      <w:bCs w:val="0"/>
      <w:i w:val="0"/>
      <w:iCs w:val="0"/>
      <w:smallCaps w:val="0"/>
      <w:strike w:val="0"/>
      <w:sz w:val="16"/>
      <w:szCs w:val="16"/>
      <w:u w:val="none"/>
    </w:rPr>
  </w:style>
  <w:style w:type="character" w:customStyle="1" w:styleId="CharStyle14">
    <w:name w:val="Other_"/>
    <w:basedOn w:val="DefaultParagraphFont"/>
    <w:link w:val="Style13"/>
    <w:rPr>
      <w:rFonts w:ascii="Times New Roman" w:eastAsia="Times New Roman" w:hAnsi="Times New Roman" w:cs="Times New Roman"/>
      <w:b w:val="0"/>
      <w:bCs w:val="0"/>
      <w:i w:val="0"/>
      <w:iCs w:val="0"/>
      <w:smallCaps w:val="0"/>
      <w:strike w:val="0"/>
      <w:sz w:val="16"/>
      <w:szCs w:val="16"/>
      <w:u w:val="none"/>
    </w:rPr>
  </w:style>
  <w:style w:type="character" w:customStyle="1" w:styleId="CharStyle18">
    <w:name w:val="Heading #3_"/>
    <w:basedOn w:val="DefaultParagraphFont"/>
    <w:link w:val="Style17"/>
    <w:rPr>
      <w:rFonts w:ascii="Times New Roman" w:eastAsia="Times New Roman" w:hAnsi="Times New Roman" w:cs="Times New Roman"/>
      <w:b/>
      <w:bCs/>
      <w:i w:val="0"/>
      <w:iCs w:val="0"/>
      <w:smallCaps w:val="0"/>
      <w:strike w:val="0"/>
      <w:sz w:val="16"/>
      <w:szCs w:val="16"/>
      <w:u w:val="none"/>
    </w:rPr>
  </w:style>
  <w:style w:type="character" w:customStyle="1" w:styleId="CharStyle21">
    <w:name w:val="Body text (2)_"/>
    <w:basedOn w:val="DefaultParagraphFont"/>
    <w:link w:val="Style20"/>
    <w:rPr>
      <w:rFonts w:ascii="Arial" w:eastAsia="Arial" w:hAnsi="Arial" w:cs="Arial"/>
      <w:b w:val="0"/>
      <w:bCs w:val="0"/>
      <w:i w:val="0"/>
      <w:iCs w:val="0"/>
      <w:smallCaps w:val="0"/>
      <w:strike w:val="0"/>
      <w:color w:val="141414"/>
      <w:sz w:val="12"/>
      <w:szCs w:val="12"/>
      <w:u w:val="none"/>
    </w:rPr>
  </w:style>
  <w:style w:type="character" w:customStyle="1" w:styleId="CharStyle23">
    <w:name w:val="Heading #2_"/>
    <w:basedOn w:val="DefaultParagraphFont"/>
    <w:link w:val="Style22"/>
    <w:rPr>
      <w:rFonts w:ascii="Times New Roman" w:eastAsia="Times New Roman" w:hAnsi="Times New Roman" w:cs="Times New Roman"/>
      <w:b/>
      <w:bCs/>
      <w:i w:val="0"/>
      <w:iCs w:val="0"/>
      <w:smallCaps w:val="0"/>
      <w:strike w:val="0"/>
      <w:sz w:val="20"/>
      <w:szCs w:val="20"/>
      <w:u w:val="none"/>
    </w:rPr>
  </w:style>
  <w:style w:type="paragraph" w:styleId="Style2">
    <w:name w:val="Body text"/>
    <w:basedOn w:val="Normal"/>
    <w:link w:val="CharStyle3"/>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4">
    <w:name w:val="Heading #1"/>
    <w:basedOn w:val="Normal"/>
    <w:link w:val="CharStyle5"/>
    <w:pPr>
      <w:widowControl w:val="0"/>
      <w:shd w:val="clear" w:color="auto" w:fill="auto"/>
      <w:spacing w:before="650" w:after="740"/>
      <w:ind w:left="1740"/>
      <w:outlineLvl w:val="0"/>
    </w:pPr>
    <w:rPr>
      <w:rFonts w:ascii="Times New Roman" w:eastAsia="Times New Roman" w:hAnsi="Times New Roman" w:cs="Times New Roman"/>
      <w:b/>
      <w:bCs/>
      <w:i w:val="0"/>
      <w:iCs w:val="0"/>
      <w:smallCaps w:val="0"/>
      <w:strike w:val="0"/>
      <w:u w:val="none"/>
    </w:rPr>
  </w:style>
  <w:style w:type="paragraph" w:customStyle="1" w:styleId="Style6">
    <w:name w:val="Header or footer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Body text (3)"/>
    <w:basedOn w:val="Normal"/>
    <w:link w:val="CharStyle10"/>
    <w:pPr>
      <w:widowControl w:val="0"/>
      <w:shd w:val="clear" w:color="auto" w:fill="auto"/>
      <w:spacing w:after="60"/>
      <w:jc w:val="center"/>
    </w:pPr>
    <w:rPr>
      <w:rFonts w:ascii="Times New Roman" w:eastAsia="Times New Roman" w:hAnsi="Times New Roman" w:cs="Times New Roman"/>
      <w:b w:val="0"/>
      <w:bCs w:val="0"/>
      <w:i w:val="0"/>
      <w:iCs w:val="0"/>
      <w:smallCaps w:val="0"/>
      <w:strike w:val="0"/>
      <w:sz w:val="12"/>
      <w:szCs w:val="12"/>
      <w:u w:val="none"/>
    </w:rPr>
  </w:style>
  <w:style w:type="paragraph" w:customStyle="1" w:styleId="Style11">
    <w:name w:val="Table caption"/>
    <w:basedOn w:val="Normal"/>
    <w:link w:val="CharStyle12"/>
    <w:pPr>
      <w:widowControl w:val="0"/>
      <w:shd w:val="clear" w:color="auto" w:fill="auto"/>
      <w:spacing w:line="30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3">
    <w:name w:val="Other"/>
    <w:basedOn w:val="Normal"/>
    <w:link w:val="CharStyle14"/>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7">
    <w:name w:val="Heading #3"/>
    <w:basedOn w:val="Normal"/>
    <w:link w:val="CharStyle18"/>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20">
    <w:name w:val="Body text (2)"/>
    <w:basedOn w:val="Normal"/>
    <w:link w:val="CharStyle21"/>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22">
    <w:name w:val="Heading #2"/>
    <w:basedOn w:val="Normal"/>
    <w:link w:val="CharStyle23"/>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226397 priedas</dc:title>
  <dc:subject>PASLAUGOS</dc:subject>
  <dc:creator/>
  <cp:keywords> </cp:keywords>
</cp:coreProperties>
</file>