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0AC7E" w14:textId="5824AB4A" w:rsidR="002B503A" w:rsidRDefault="002B503A">
      <w:pPr>
        <w:spacing w:line="259" w:lineRule="auto"/>
        <w:jc w:val="center"/>
        <w:rPr>
          <w:b/>
          <w:caps/>
          <w:szCs w:val="24"/>
        </w:rPr>
      </w:pPr>
      <w:r>
        <w:rPr>
          <w:noProof/>
        </w:rPr>
        <w:drawing>
          <wp:inline distT="0" distB="0" distL="0" distR="0" wp14:anchorId="11CC0995" wp14:editId="5B98487B">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4702ACCC" w14:textId="77777777" w:rsidR="002B503A" w:rsidRDefault="002B503A" w:rsidP="009E5BC6">
      <w:pPr>
        <w:jc w:val="center"/>
        <w:rPr>
          <w:b/>
          <w:caps/>
          <w:szCs w:val="24"/>
        </w:rPr>
      </w:pPr>
    </w:p>
    <w:p w14:paraId="530F7A96" w14:textId="77777777" w:rsidR="00FD2423" w:rsidRPr="00EF2521" w:rsidRDefault="00FD2423" w:rsidP="00FD2423">
      <w:pPr>
        <w:pStyle w:val="Betarp1"/>
        <w:jc w:val="center"/>
        <w:rPr>
          <w:b/>
          <w:bCs/>
          <w:szCs w:val="24"/>
        </w:rPr>
      </w:pPr>
      <w:r w:rsidRPr="00EF2521">
        <w:rPr>
          <w:b/>
          <w:bCs/>
          <w:szCs w:val="24"/>
          <w:lang w:eastAsia="zh-TW"/>
        </w:rPr>
        <w:t>PROJEKTAS NR. SVVP/2023/111 „SIENOS STEBĖJIMO SISTEMŲ ATNAUJINIMAS” FINANSUOJAMAS 2021 – 2027 METŲ LAIKOTARPIO SIENŲ VALDYMO IR VIZŲ POLITIKOS FINANSINĖS PARAMOS PRIEMONĖS, ĮTRAUKTOS Į INTEGRUOTO SIENŲ VALDYMO FONDĄ, PROGRAMOS LĖŠOMIS</w:t>
      </w:r>
    </w:p>
    <w:p w14:paraId="7DA58C97" w14:textId="77777777" w:rsidR="00FD2423" w:rsidRDefault="00FD2423" w:rsidP="009E5BC6">
      <w:pPr>
        <w:jc w:val="center"/>
        <w:rPr>
          <w:b/>
          <w:caps/>
          <w:szCs w:val="24"/>
        </w:rPr>
      </w:pPr>
    </w:p>
    <w:p w14:paraId="78F13254" w14:textId="77777777" w:rsidR="002B503A" w:rsidRDefault="002B503A" w:rsidP="009E5BC6">
      <w:pPr>
        <w:jc w:val="center"/>
        <w:rPr>
          <w:b/>
          <w:caps/>
          <w:szCs w:val="24"/>
        </w:rPr>
      </w:pPr>
    </w:p>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lastRenderedPageBreak/>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6C8BA" w14:textId="77777777" w:rsidR="007079A8" w:rsidRDefault="007079A8">
      <w:r>
        <w:separator/>
      </w:r>
    </w:p>
  </w:endnote>
  <w:endnote w:type="continuationSeparator" w:id="0">
    <w:p w14:paraId="1A70611F" w14:textId="77777777" w:rsidR="007079A8" w:rsidRDefault="0070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B9CC8" w14:textId="77777777" w:rsidR="007079A8" w:rsidRDefault="007079A8">
      <w:r>
        <w:separator/>
      </w:r>
    </w:p>
  </w:footnote>
  <w:footnote w:type="continuationSeparator" w:id="0">
    <w:p w14:paraId="76C05A43" w14:textId="77777777" w:rsidR="007079A8" w:rsidRDefault="0070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78BC"/>
    <w:rsid w:val="000431B5"/>
    <w:rsid w:val="00074865"/>
    <w:rsid w:val="000A5133"/>
    <w:rsid w:val="00155F99"/>
    <w:rsid w:val="00176C2D"/>
    <w:rsid w:val="001E0986"/>
    <w:rsid w:val="002A0284"/>
    <w:rsid w:val="002B362D"/>
    <w:rsid w:val="002B503A"/>
    <w:rsid w:val="002D39C1"/>
    <w:rsid w:val="003969E1"/>
    <w:rsid w:val="003F08D5"/>
    <w:rsid w:val="003F7A8F"/>
    <w:rsid w:val="004006A0"/>
    <w:rsid w:val="00457487"/>
    <w:rsid w:val="00580306"/>
    <w:rsid w:val="005B31BA"/>
    <w:rsid w:val="005B4599"/>
    <w:rsid w:val="00606C78"/>
    <w:rsid w:val="00643F1C"/>
    <w:rsid w:val="00657605"/>
    <w:rsid w:val="006C2E3D"/>
    <w:rsid w:val="007079A8"/>
    <w:rsid w:val="00714755"/>
    <w:rsid w:val="00756A50"/>
    <w:rsid w:val="00762419"/>
    <w:rsid w:val="007636E1"/>
    <w:rsid w:val="00783AB9"/>
    <w:rsid w:val="00795F08"/>
    <w:rsid w:val="007B1767"/>
    <w:rsid w:val="00820EF4"/>
    <w:rsid w:val="0086183C"/>
    <w:rsid w:val="008B0AF3"/>
    <w:rsid w:val="009632BE"/>
    <w:rsid w:val="009B5F5F"/>
    <w:rsid w:val="009B73B8"/>
    <w:rsid w:val="009E5BC6"/>
    <w:rsid w:val="00A04ACE"/>
    <w:rsid w:val="00A163FA"/>
    <w:rsid w:val="00A272A3"/>
    <w:rsid w:val="00A410A2"/>
    <w:rsid w:val="00B938A2"/>
    <w:rsid w:val="00BA2756"/>
    <w:rsid w:val="00BE0AF6"/>
    <w:rsid w:val="00C33FEE"/>
    <w:rsid w:val="00C60865"/>
    <w:rsid w:val="00C81904"/>
    <w:rsid w:val="00DE069C"/>
    <w:rsid w:val="00DF73B9"/>
    <w:rsid w:val="00E47EA2"/>
    <w:rsid w:val="00E94908"/>
    <w:rsid w:val="00EC4BB7"/>
    <w:rsid w:val="00EE1112"/>
    <w:rsid w:val="00F43E05"/>
    <w:rsid w:val="00FD1FB0"/>
    <w:rsid w:val="00FD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FD2423"/>
    <w:rPr>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png@01DA33E4.86BACC8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51814</Words>
  <Characters>29535</Characters>
  <Application>Microsoft Office Word</Application>
  <DocSecurity>0</DocSecurity>
  <Lines>246</Lines>
  <Paragraphs>162</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81187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4</cp:revision>
  <cp:lastPrinted>2024-02-13T07:17:00Z</cp:lastPrinted>
  <dcterms:created xsi:type="dcterms:W3CDTF">2024-07-10T06:42:00Z</dcterms:created>
  <dcterms:modified xsi:type="dcterms:W3CDTF">2024-07-10T08:24:00Z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