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1BFF2692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3079E7FB" w:rsidR="00027B83" w:rsidRPr="00562B9F" w:rsidRDefault="00562B9F">
            <w:pPr>
              <w:jc w:val="both"/>
              <w:rPr>
                <w:kern w:val="2"/>
                <w:szCs w:val="24"/>
              </w:rPr>
            </w:pPr>
            <w:r w:rsidRPr="00562B9F">
              <w:rPr>
                <w:kern w:val="2"/>
                <w:szCs w:val="24"/>
              </w:rPr>
              <w:t xml:space="preserve">Antibiotikų koncentracijų kraujo plazmoje laboratorinių tyrimų </w:t>
            </w:r>
            <w:r w:rsidR="00085B82" w:rsidRPr="00562B9F">
              <w:rPr>
                <w:kern w:val="2"/>
                <w:szCs w:val="24"/>
              </w:rPr>
              <w:t>viešojo pirkimo-pardavimo sutartis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C054D3" w14:paraId="04D436D4" w14:textId="77777777">
        <w:tc>
          <w:tcPr>
            <w:tcW w:w="2808" w:type="dxa"/>
            <w:vMerge w:val="restart"/>
          </w:tcPr>
          <w:p w14:paraId="0ECE2B8D" w14:textId="77777777" w:rsidR="00C054D3" w:rsidRDefault="00C054D3" w:rsidP="00C054D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C054D3" w:rsidRDefault="00C054D3" w:rsidP="00C054D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C054D3" w:rsidRDefault="00C054D3" w:rsidP="00C054D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C054D3" w:rsidRDefault="00C054D3" w:rsidP="00C054D3">
            <w:pPr>
              <w:rPr>
                <w:b/>
                <w:kern w:val="2"/>
                <w:szCs w:val="24"/>
              </w:rPr>
            </w:pPr>
          </w:p>
          <w:p w14:paraId="405523D9" w14:textId="77777777" w:rsidR="00C054D3" w:rsidRDefault="00C054D3" w:rsidP="00C054D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5F0DD014" w:rsidR="00C054D3" w:rsidRDefault="00C054D3" w:rsidP="002A64C1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Viešoji įstaiga Lietuvos sveikatos mokslų universiteto Kauno ligoninė</w:t>
            </w:r>
          </w:p>
        </w:tc>
      </w:tr>
      <w:tr w:rsidR="00C054D3" w14:paraId="05F15DB5" w14:textId="77777777">
        <w:tc>
          <w:tcPr>
            <w:tcW w:w="2808" w:type="dxa"/>
            <w:vMerge/>
          </w:tcPr>
          <w:p w14:paraId="5C481D02" w14:textId="77777777" w:rsidR="00C054D3" w:rsidRDefault="00C054D3" w:rsidP="00C054D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2FF48342" w:rsidR="00C054D3" w:rsidRDefault="00C054D3" w:rsidP="002A64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302583800</w:t>
            </w:r>
          </w:p>
        </w:tc>
      </w:tr>
      <w:tr w:rsidR="00C054D3" w14:paraId="1A1EAC0E" w14:textId="77777777">
        <w:tc>
          <w:tcPr>
            <w:tcW w:w="2808" w:type="dxa"/>
            <w:vMerge/>
          </w:tcPr>
          <w:p w14:paraId="17A48EAC" w14:textId="77777777" w:rsidR="00C054D3" w:rsidRDefault="00C054D3" w:rsidP="00C054D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525C3558" w:rsidR="00C054D3" w:rsidRDefault="00C054D3" w:rsidP="002A64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Josvainių g. 2, Kaunas, LT-47144</w:t>
            </w:r>
          </w:p>
        </w:tc>
      </w:tr>
      <w:tr w:rsidR="00C054D3" w14:paraId="1511F02B" w14:textId="77777777">
        <w:tc>
          <w:tcPr>
            <w:tcW w:w="2808" w:type="dxa"/>
            <w:vMerge/>
          </w:tcPr>
          <w:p w14:paraId="25BB5214" w14:textId="77777777" w:rsidR="00C054D3" w:rsidRDefault="00C054D3" w:rsidP="00C054D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36775DEA" w:rsidR="00C054D3" w:rsidRDefault="00C054D3" w:rsidP="002A64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LT100005939715</w:t>
            </w:r>
          </w:p>
        </w:tc>
      </w:tr>
      <w:tr w:rsidR="00C054D3" w14:paraId="527B3A53" w14:textId="77777777">
        <w:tc>
          <w:tcPr>
            <w:tcW w:w="2808" w:type="dxa"/>
            <w:vMerge/>
          </w:tcPr>
          <w:p w14:paraId="6C37541F" w14:textId="77777777" w:rsidR="00C054D3" w:rsidRDefault="00C054D3" w:rsidP="00C054D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1C5AB7E5" w:rsidR="00C054D3" w:rsidRDefault="00C054D3" w:rsidP="002A64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LT284010042502573979</w:t>
            </w:r>
          </w:p>
        </w:tc>
      </w:tr>
      <w:tr w:rsidR="00C054D3" w14:paraId="53D75A5D" w14:textId="77777777">
        <w:tc>
          <w:tcPr>
            <w:tcW w:w="2808" w:type="dxa"/>
            <w:vMerge/>
          </w:tcPr>
          <w:p w14:paraId="5C795133" w14:textId="77777777" w:rsidR="00C054D3" w:rsidRDefault="00C054D3" w:rsidP="00C054D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5F4D9685" w:rsidR="00C054D3" w:rsidRDefault="00C054D3" w:rsidP="002A64C1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Luminor</w:t>
            </w:r>
            <w:proofErr w:type="spellEnd"/>
            <w:r>
              <w:rPr>
                <w:kern w:val="2"/>
                <w:szCs w:val="24"/>
              </w:rPr>
              <w:t xml:space="preserve"> Bank AS, 40100</w:t>
            </w:r>
          </w:p>
        </w:tc>
      </w:tr>
      <w:tr w:rsidR="00C054D3" w14:paraId="5776D650" w14:textId="77777777">
        <w:tc>
          <w:tcPr>
            <w:tcW w:w="2808" w:type="dxa"/>
            <w:vMerge/>
          </w:tcPr>
          <w:p w14:paraId="07B275EF" w14:textId="77777777" w:rsidR="00C054D3" w:rsidRDefault="00C054D3" w:rsidP="00C054D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3E944D59" w:rsidR="00C054D3" w:rsidRDefault="00C054D3" w:rsidP="002A64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+370 37 306 000</w:t>
            </w:r>
          </w:p>
        </w:tc>
      </w:tr>
      <w:tr w:rsidR="00C054D3" w14:paraId="37135B60" w14:textId="77777777">
        <w:tc>
          <w:tcPr>
            <w:tcW w:w="2808" w:type="dxa"/>
            <w:vMerge/>
          </w:tcPr>
          <w:p w14:paraId="0508AC48" w14:textId="77777777" w:rsidR="00C054D3" w:rsidRDefault="00C054D3" w:rsidP="00C054D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C054D3" w:rsidRDefault="00C054D3" w:rsidP="00C054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5A6831C9" w:rsidR="00C054D3" w:rsidRDefault="00C054D3" w:rsidP="002A64C1">
            <w:pPr>
              <w:rPr>
                <w:kern w:val="2"/>
                <w:szCs w:val="24"/>
              </w:rPr>
            </w:pPr>
            <w:hyperlink r:id="rId11" w:history="1">
              <w:r>
                <w:rPr>
                  <w:rStyle w:val="Hipersaitas"/>
                  <w:kern w:val="2"/>
                  <w:szCs w:val="24"/>
                </w:rPr>
                <w:t>info</w:t>
              </w:r>
              <w:r>
                <w:rPr>
                  <w:rStyle w:val="Hipersaitas"/>
                  <w:kern w:val="2"/>
                  <w:szCs w:val="24"/>
                  <w:lang w:val="en-US"/>
                </w:rPr>
                <w:t>@kaunoligonine.lt</w:t>
              </w:r>
            </w:hyperlink>
            <w:r>
              <w:rPr>
                <w:kern w:val="2"/>
                <w:szCs w:val="24"/>
                <w:lang w:val="en-US"/>
              </w:rPr>
              <w:t xml:space="preserve"> </w:t>
            </w:r>
          </w:p>
        </w:tc>
      </w:tr>
      <w:tr w:rsidR="00BC17BD" w14:paraId="57382D2E" w14:textId="77777777">
        <w:tc>
          <w:tcPr>
            <w:tcW w:w="2808" w:type="dxa"/>
            <w:vMerge/>
          </w:tcPr>
          <w:p w14:paraId="7CA54B69" w14:textId="77777777" w:rsidR="00BC17BD" w:rsidRDefault="00BC17BD" w:rsidP="00BC17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BC17BD" w:rsidRDefault="00BC17BD" w:rsidP="00BC17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487B9F92" w:rsidR="00BC17BD" w:rsidRDefault="00BC17BD" w:rsidP="00BC17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medicinai Justinas Dzidzevičius</w:t>
            </w:r>
          </w:p>
        </w:tc>
      </w:tr>
      <w:tr w:rsidR="00BC17BD" w14:paraId="2B8B85E9" w14:textId="77777777">
        <w:tc>
          <w:tcPr>
            <w:tcW w:w="2808" w:type="dxa"/>
            <w:vMerge/>
          </w:tcPr>
          <w:p w14:paraId="212A1647" w14:textId="77777777" w:rsidR="00BC17BD" w:rsidRDefault="00BC17BD" w:rsidP="00BC17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BC17BD" w:rsidRDefault="00BC17BD" w:rsidP="00BC17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49A58E10" w:rsidR="00BC17BD" w:rsidRDefault="00BC17BD" w:rsidP="00BC17BD">
            <w:pPr>
              <w:rPr>
                <w:kern w:val="2"/>
                <w:szCs w:val="24"/>
              </w:rPr>
            </w:pPr>
            <w:r w:rsidRPr="00151005">
              <w:rPr>
                <w:kern w:val="2"/>
                <w:szCs w:val="24"/>
              </w:rPr>
              <w:t>Pagal įstaigos įstatus</w:t>
            </w:r>
          </w:p>
        </w:tc>
      </w:tr>
      <w:tr w:rsidR="00115FCD" w14:paraId="16928910" w14:textId="77777777">
        <w:tc>
          <w:tcPr>
            <w:tcW w:w="2808" w:type="dxa"/>
            <w:vMerge w:val="restart"/>
          </w:tcPr>
          <w:p w14:paraId="229CF69D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  <w:p w14:paraId="7AADBCFF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  <w:p w14:paraId="76388C47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  <w:p w14:paraId="726A738E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436A0B4B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kern w:val="2"/>
                <w:szCs w:val="24"/>
              </w:rPr>
              <w:t>Lietuvos sveikatos mokslų universiteto ligoninė Kauno klinikos</w:t>
            </w:r>
          </w:p>
        </w:tc>
      </w:tr>
      <w:tr w:rsidR="00115FCD" w14:paraId="4CD656F9" w14:textId="77777777">
        <w:tc>
          <w:tcPr>
            <w:tcW w:w="2808" w:type="dxa"/>
            <w:vMerge/>
          </w:tcPr>
          <w:p w14:paraId="0EA0F764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56400D64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szCs w:val="24"/>
                <w:lang w:eastAsia="ar-SA"/>
              </w:rPr>
              <w:t>135163499</w:t>
            </w:r>
          </w:p>
        </w:tc>
      </w:tr>
      <w:tr w:rsidR="00115FCD" w14:paraId="6A3E88B7" w14:textId="77777777">
        <w:tc>
          <w:tcPr>
            <w:tcW w:w="2808" w:type="dxa"/>
            <w:vMerge/>
          </w:tcPr>
          <w:p w14:paraId="55D363B9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24EAAAA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szCs w:val="24"/>
                <w:lang w:eastAsia="ar-SA"/>
              </w:rPr>
              <w:t>Eivenių g. 2, 50161 Kaunas</w:t>
            </w:r>
          </w:p>
        </w:tc>
      </w:tr>
      <w:tr w:rsidR="00115FCD" w14:paraId="10BDDB35" w14:textId="77777777">
        <w:tc>
          <w:tcPr>
            <w:tcW w:w="2808" w:type="dxa"/>
            <w:vMerge/>
          </w:tcPr>
          <w:p w14:paraId="7C0FB73C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4EF626D4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szCs w:val="24"/>
                <w:lang w:eastAsia="ar-SA"/>
              </w:rPr>
              <w:t>LT351634917</w:t>
            </w:r>
          </w:p>
        </w:tc>
      </w:tr>
      <w:tr w:rsidR="00115FCD" w14:paraId="4A389B23" w14:textId="77777777">
        <w:tc>
          <w:tcPr>
            <w:tcW w:w="2808" w:type="dxa"/>
            <w:vMerge/>
          </w:tcPr>
          <w:p w14:paraId="5E8F3B72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543C8295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szCs w:val="24"/>
                <w:lang w:eastAsia="ar-SA"/>
              </w:rPr>
              <w:t>LT70 7044 0600 0336  9297</w:t>
            </w:r>
          </w:p>
        </w:tc>
      </w:tr>
      <w:tr w:rsidR="00115FCD" w14:paraId="53C6C3C5" w14:textId="77777777">
        <w:tc>
          <w:tcPr>
            <w:tcW w:w="2808" w:type="dxa"/>
            <w:vMerge/>
          </w:tcPr>
          <w:p w14:paraId="78A46E72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306A79BA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szCs w:val="24"/>
                <w:lang w:eastAsia="ar-SA"/>
              </w:rPr>
              <w:t>AB SEB bankas, banko kodas 70440</w:t>
            </w:r>
          </w:p>
        </w:tc>
      </w:tr>
      <w:tr w:rsidR="00115FCD" w14:paraId="0AD028CC" w14:textId="77777777">
        <w:tc>
          <w:tcPr>
            <w:tcW w:w="2808" w:type="dxa"/>
            <w:vMerge/>
          </w:tcPr>
          <w:p w14:paraId="0B51355C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FCCA81D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kern w:val="2"/>
                <w:szCs w:val="24"/>
              </w:rPr>
              <w:t>+370 37 32 6768</w:t>
            </w:r>
          </w:p>
        </w:tc>
      </w:tr>
      <w:tr w:rsidR="00115FCD" w14:paraId="18884704" w14:textId="77777777">
        <w:tc>
          <w:tcPr>
            <w:tcW w:w="2808" w:type="dxa"/>
            <w:vMerge/>
          </w:tcPr>
          <w:p w14:paraId="6EB9CA70" w14:textId="77777777" w:rsidR="00115FCD" w:rsidRDefault="00115FCD" w:rsidP="00115FC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115FCD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695A4EAD" w:rsidR="00115FCD" w:rsidRDefault="00115FCD" w:rsidP="00115FCD">
            <w:pPr>
              <w:rPr>
                <w:kern w:val="2"/>
                <w:szCs w:val="24"/>
              </w:rPr>
            </w:pPr>
            <w:r w:rsidRPr="00F97B5A">
              <w:rPr>
                <w:szCs w:val="24"/>
              </w:rPr>
              <w:t>rastine</w:t>
            </w:r>
            <w:r w:rsidRPr="00F97B5A">
              <w:rPr>
                <w:szCs w:val="24"/>
                <w:lang w:val="en-US"/>
              </w:rPr>
              <w:t>@kaunoklinikos.lt</w:t>
            </w: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D93E577" w:rsidR="00027B83" w:rsidRDefault="00115FCD" w:rsidP="00115F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Generalinis direktorius </w:t>
            </w:r>
            <w:r>
              <w:rPr>
                <w:color w:val="000000"/>
                <w:szCs w:val="24"/>
              </w:rPr>
              <w:t>prof. habil. dr. Renaldas Jurkevičius</w:t>
            </w: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096745D" w:rsidR="00027B83" w:rsidRDefault="00115FCD" w:rsidP="00115FCD">
            <w:pPr>
              <w:rPr>
                <w:kern w:val="2"/>
                <w:szCs w:val="24"/>
              </w:rPr>
            </w:pPr>
            <w:r w:rsidRPr="00151005">
              <w:rPr>
                <w:kern w:val="2"/>
                <w:szCs w:val="24"/>
              </w:rPr>
              <w:t>Pagal įstaigos įstatus</w:t>
            </w: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</w:t>
            </w:r>
            <w:r>
              <w:rPr>
                <w:b/>
                <w:kern w:val="2"/>
                <w:szCs w:val="24"/>
              </w:rPr>
              <w:lastRenderedPageBreak/>
              <w:t>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5BF93E18" w:rsidR="00027B83" w:rsidRDefault="00027B83" w:rsidP="00C054D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03D0060D" w:rsidR="00027B83" w:rsidRPr="00115FCD" w:rsidRDefault="00027B83" w:rsidP="00115FCD">
            <w:pPr>
              <w:rPr>
                <w:color w:val="4472C4"/>
                <w:kern w:val="2"/>
                <w:szCs w:val="24"/>
                <w:lang w:val="en-GB"/>
              </w:rPr>
            </w:pP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Pr="008B0CD3" w:rsidRDefault="000B0897">
            <w:pPr>
              <w:rPr>
                <w:b/>
                <w:kern w:val="2"/>
                <w:szCs w:val="24"/>
              </w:rPr>
            </w:pPr>
            <w:r w:rsidRPr="008B0CD3"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759E25E6" w:rsidR="00027B83" w:rsidRPr="008B0CD3" w:rsidRDefault="000B0897">
            <w:pPr>
              <w:rPr>
                <w:kern w:val="2"/>
                <w:szCs w:val="24"/>
              </w:rPr>
            </w:pPr>
            <w:r w:rsidRPr="008B0CD3">
              <w:rPr>
                <w:kern w:val="2"/>
                <w:szCs w:val="24"/>
              </w:rPr>
              <w:t xml:space="preserve">Tiekėjas įsipareigoja Sutartyje numatytomis sąlygomis suteikti </w:t>
            </w:r>
            <w:r w:rsidR="00C17647">
              <w:rPr>
                <w:kern w:val="2"/>
                <w:szCs w:val="24"/>
              </w:rPr>
              <w:t>antibiotikų koncentracijų kraujo plazmoje laboratorinius tyrimus</w:t>
            </w:r>
            <w:r w:rsidR="00590E74">
              <w:rPr>
                <w:kern w:val="2"/>
                <w:szCs w:val="24"/>
              </w:rPr>
              <w:t xml:space="preserve"> </w:t>
            </w:r>
            <w:r w:rsidR="006302AB" w:rsidRPr="008B0CD3">
              <w:rPr>
                <w:kern w:val="2"/>
                <w:szCs w:val="24"/>
              </w:rPr>
              <w:t>p</w:t>
            </w:r>
            <w:r w:rsidRPr="008B0CD3">
              <w:rPr>
                <w:kern w:val="2"/>
                <w:szCs w:val="24"/>
              </w:rPr>
              <w:t>aslaugas (toliau – Paslaugos).</w:t>
            </w:r>
          </w:p>
          <w:p w14:paraId="6B5360F1" w14:textId="4A123EC2" w:rsidR="00027B83" w:rsidRPr="008B0CD3" w:rsidRDefault="000B0897">
            <w:pPr>
              <w:rPr>
                <w:kern w:val="2"/>
                <w:szCs w:val="24"/>
              </w:rPr>
            </w:pPr>
            <w:r w:rsidRPr="008B0CD3">
              <w:rPr>
                <w:kern w:val="2"/>
                <w:szCs w:val="24"/>
              </w:rPr>
              <w:t xml:space="preserve">Išsamus </w:t>
            </w:r>
            <w:r w:rsidRPr="008B0CD3">
              <w:rPr>
                <w:szCs w:val="24"/>
              </w:rPr>
              <w:t>Paslaugų</w:t>
            </w:r>
            <w:r w:rsidRPr="008B0CD3">
              <w:rPr>
                <w:kern w:val="2"/>
                <w:szCs w:val="24"/>
              </w:rPr>
              <w:t xml:space="preserve"> aprašymas ir kiti reikalavimai teikiamoms </w:t>
            </w:r>
            <w:r w:rsidRPr="008B0CD3">
              <w:rPr>
                <w:szCs w:val="24"/>
              </w:rPr>
              <w:t>Paslaugoms</w:t>
            </w:r>
            <w:r w:rsidRPr="008B0CD3">
              <w:rPr>
                <w:kern w:val="2"/>
                <w:szCs w:val="24"/>
              </w:rPr>
              <w:t xml:space="preserve"> nustatyti Sutarties priede Nr. </w:t>
            </w:r>
            <w:r w:rsidR="00C054D3" w:rsidRPr="008B0CD3">
              <w:rPr>
                <w:kern w:val="2"/>
                <w:szCs w:val="24"/>
              </w:rPr>
              <w:t xml:space="preserve">1 </w:t>
            </w:r>
            <w:r w:rsidRPr="008B0CD3">
              <w:rPr>
                <w:kern w:val="2"/>
                <w:szCs w:val="24"/>
              </w:rPr>
              <w:t>„</w:t>
            </w:r>
            <w:r w:rsidR="00473F81">
              <w:rPr>
                <w:kern w:val="2"/>
                <w:szCs w:val="24"/>
              </w:rPr>
              <w:t>Pasiūlymas</w:t>
            </w:r>
            <w:r w:rsidRPr="008B0CD3">
              <w:rPr>
                <w:kern w:val="2"/>
                <w:szCs w:val="24"/>
              </w:rPr>
              <w:t xml:space="preserve">“ (toliau – </w:t>
            </w:r>
            <w:r w:rsidR="00473F81">
              <w:rPr>
                <w:kern w:val="2"/>
                <w:szCs w:val="24"/>
              </w:rPr>
              <w:t>Pasiūlymas</w:t>
            </w:r>
            <w:r w:rsidRPr="008B0CD3">
              <w:rPr>
                <w:kern w:val="2"/>
                <w:szCs w:val="24"/>
              </w:rPr>
              <w:t>).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1F35C0D0" w:rsidR="00027B83" w:rsidRDefault="00B1633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EA4A352" w14:textId="197EA4D7" w:rsidR="00027B83" w:rsidRPr="003924B5" w:rsidRDefault="00FB0D87">
            <w:pPr>
              <w:rPr>
                <w:color w:val="000000" w:themeColor="text1"/>
                <w:kern w:val="2"/>
                <w:szCs w:val="24"/>
              </w:rPr>
            </w:pPr>
            <w:r w:rsidRPr="00C77A98">
              <w:rPr>
                <w:color w:val="000000" w:themeColor="text1"/>
                <w:kern w:val="2"/>
                <w:szCs w:val="24"/>
              </w:rPr>
              <w:t>Paslaugos finansuojamos VšĮ Lietuvos sveikatos mokslų universiteto Kauno ligoninės vykdomo projekto „Antimikrobinių vaistų vartojimo valdymo plėtojimas" Antimikrobinių vaistų vartojimo valdymo stacionarinėse asmens sveikatos priežiūros įstaigose modelio bandomasis diegimas Nr. 1VS-0557/PPP-38 (2024-06-05) 9 veiklos lėšomis</w:t>
            </w: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74165744" w14:textId="77777777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3E7D5461" w14:textId="0E1E642D" w:rsidR="00CE3EF5" w:rsidRPr="00B16338" w:rsidRDefault="00CE3EF5" w:rsidP="00CE3EF5">
            <w:pPr>
              <w:rPr>
                <w:szCs w:val="24"/>
              </w:rPr>
            </w:pPr>
            <w:r w:rsidRPr="00B16338">
              <w:rPr>
                <w:szCs w:val="24"/>
              </w:rPr>
              <w:t xml:space="preserve">Tiekėjas </w:t>
            </w:r>
            <w:r w:rsidR="00C17647">
              <w:rPr>
                <w:szCs w:val="24"/>
              </w:rPr>
              <w:t>tyrimus</w:t>
            </w:r>
            <w:r w:rsidRPr="00B16338">
              <w:rPr>
                <w:szCs w:val="24"/>
              </w:rPr>
              <w:t xml:space="preserve"> įsipareigoja </w:t>
            </w:r>
            <w:r w:rsidR="00C17647">
              <w:rPr>
                <w:szCs w:val="24"/>
              </w:rPr>
              <w:t xml:space="preserve">atlikti </w:t>
            </w:r>
            <w:r w:rsidRPr="00B16338">
              <w:rPr>
                <w:szCs w:val="24"/>
              </w:rPr>
              <w:t xml:space="preserve"> </w:t>
            </w:r>
            <w:r w:rsidRPr="00B16338">
              <w:rPr>
                <w:b/>
                <w:szCs w:val="24"/>
              </w:rPr>
              <w:t>ne vėliau kaip per</w:t>
            </w:r>
            <w:r w:rsidRPr="00B16338">
              <w:rPr>
                <w:szCs w:val="24"/>
              </w:rPr>
              <w:t xml:space="preserve"> </w:t>
            </w:r>
            <w:r w:rsidR="00C17647">
              <w:rPr>
                <w:szCs w:val="24"/>
              </w:rPr>
              <w:t>1</w:t>
            </w:r>
            <w:r w:rsidR="003B23D8" w:rsidRPr="003B23D8">
              <w:rPr>
                <w:b/>
                <w:bCs/>
                <w:szCs w:val="24"/>
              </w:rPr>
              <w:t xml:space="preserve"> darbo dienas</w:t>
            </w:r>
            <w:r w:rsidRPr="003B23D8">
              <w:rPr>
                <w:b/>
                <w:bCs/>
                <w:szCs w:val="24"/>
              </w:rPr>
              <w:t xml:space="preserve"> </w:t>
            </w:r>
            <w:r w:rsidRPr="00B16338">
              <w:rPr>
                <w:szCs w:val="24"/>
              </w:rPr>
              <w:t xml:space="preserve">nuo </w:t>
            </w:r>
            <w:r w:rsidR="00C17647">
              <w:rPr>
                <w:szCs w:val="24"/>
              </w:rPr>
              <w:t>mėginio pristatymo į laboratoriją.</w:t>
            </w:r>
          </w:p>
          <w:p w14:paraId="77B84AB1" w14:textId="4B49379E" w:rsidR="00027B83" w:rsidRPr="00B16338" w:rsidRDefault="00027B83">
            <w:pPr>
              <w:rPr>
                <w:kern w:val="2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184DD6A" w:rsidR="00027B83" w:rsidRDefault="00027B83" w:rsidP="00CE605D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Pr="006302AB" w:rsidRDefault="000B0897">
            <w:pPr>
              <w:rPr>
                <w:b/>
                <w:kern w:val="2"/>
                <w:szCs w:val="24"/>
              </w:rPr>
            </w:pPr>
            <w:r w:rsidRPr="006302AB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4F02E9B" w14:textId="4755B858" w:rsidR="00027B83" w:rsidRPr="006302AB" w:rsidRDefault="008B0CD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A8802D2" w14:textId="77777777" w:rsidTr="006302AB">
        <w:trPr>
          <w:trHeight w:val="79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1857E4" w14:textId="77777777" w:rsidR="00027B83" w:rsidRDefault="00027B83">
            <w:pPr>
              <w:rPr>
                <w:kern w:val="2"/>
                <w:szCs w:val="24"/>
              </w:rPr>
            </w:pPr>
          </w:p>
          <w:p w14:paraId="6CA61532" w14:textId="1AAE0EEE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3D1EC16E" w:rsidR="00027B83" w:rsidRPr="004038D4" w:rsidRDefault="000B0897">
            <w:pPr>
              <w:rPr>
                <w:szCs w:val="24"/>
              </w:rPr>
            </w:pPr>
            <w:r w:rsidRPr="004038D4">
              <w:rPr>
                <w:kern w:val="2"/>
                <w:szCs w:val="24"/>
              </w:rPr>
              <w:t>Turi būti pateikiami šie dokumentai: Paslaugų perdavimo-priėmimo aktas ir Sąskaita</w:t>
            </w:r>
            <w:r w:rsidR="009C695E">
              <w:rPr>
                <w:kern w:val="2"/>
                <w:szCs w:val="24"/>
              </w:rPr>
              <w:t xml:space="preserve">. </w:t>
            </w:r>
            <w:r w:rsidRPr="004038D4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 w:rsidTr="004038D4">
        <w:trPr>
          <w:trHeight w:val="515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07EB22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3A26B52B" w14:textId="37DE769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B9972D4" w14:textId="77777777">
        <w:trPr>
          <w:trHeight w:val="300"/>
        </w:trPr>
        <w:tc>
          <w:tcPr>
            <w:tcW w:w="3094" w:type="dxa"/>
            <w:gridSpan w:val="2"/>
          </w:tcPr>
          <w:p w14:paraId="520DB15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72591E8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FF555F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1F0E49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17E3D3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30012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4D1603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3B5B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3D0FE0E" w14:textId="77777777" w:rsidR="00027B83" w:rsidRDefault="00027B83" w:rsidP="004038D4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3AF3E51" w14:textId="77A7C79F" w:rsidR="00027B83" w:rsidRPr="00C77A98" w:rsidRDefault="000B0897">
            <w:pPr>
              <w:rPr>
                <w:color w:val="000000" w:themeColor="text1"/>
                <w:szCs w:val="24"/>
              </w:rPr>
            </w:pPr>
            <w:r w:rsidRPr="00C77A98">
              <w:rPr>
                <w:color w:val="000000" w:themeColor="text1"/>
                <w:kern w:val="2"/>
                <w:szCs w:val="24"/>
              </w:rPr>
              <w:lastRenderedPageBreak/>
              <w:t xml:space="preserve">Pradinės Sutarties vertė yra 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>8380,</w:t>
            </w:r>
            <w:r w:rsidR="00DB62B8">
              <w:rPr>
                <w:color w:val="000000" w:themeColor="text1"/>
                <w:kern w:val="2"/>
                <w:szCs w:val="24"/>
              </w:rPr>
              <w:t>8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 xml:space="preserve">0 </w:t>
            </w:r>
            <w:r w:rsidRPr="00C77A98">
              <w:rPr>
                <w:color w:val="000000" w:themeColor="text1"/>
                <w:kern w:val="2"/>
                <w:szCs w:val="24"/>
              </w:rPr>
              <w:t>Eur (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 xml:space="preserve">aštuoni tūkstančiai trys šimtai aštuoniasdešimt eurų, </w:t>
            </w:r>
            <w:r w:rsidR="00DB62B8">
              <w:rPr>
                <w:color w:val="000000" w:themeColor="text1"/>
                <w:kern w:val="2"/>
                <w:szCs w:val="24"/>
              </w:rPr>
              <w:t>8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>0 centų</w:t>
            </w:r>
            <w:r w:rsidRPr="00C77A98">
              <w:rPr>
                <w:color w:val="000000" w:themeColor="text1"/>
                <w:kern w:val="2"/>
                <w:szCs w:val="24"/>
              </w:rPr>
              <w:t>) be PVM.</w:t>
            </w:r>
          </w:p>
          <w:p w14:paraId="24F6A476" w14:textId="35A3AB92" w:rsidR="00027B83" w:rsidRPr="00C77A98" w:rsidRDefault="000B0897">
            <w:pPr>
              <w:rPr>
                <w:color w:val="000000" w:themeColor="text1"/>
                <w:szCs w:val="24"/>
              </w:rPr>
            </w:pPr>
            <w:r w:rsidRPr="00C77A98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 xml:space="preserve">0 </w:t>
            </w:r>
            <w:r w:rsidRPr="00C77A98">
              <w:rPr>
                <w:color w:val="000000" w:themeColor="text1"/>
                <w:kern w:val="2"/>
                <w:szCs w:val="24"/>
              </w:rPr>
              <w:t>Eur (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>nul</w:t>
            </w:r>
            <w:r w:rsidR="008C3624">
              <w:rPr>
                <w:color w:val="000000" w:themeColor="text1"/>
                <w:kern w:val="2"/>
                <w:szCs w:val="24"/>
              </w:rPr>
              <w:t>į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 xml:space="preserve"> eurų</w:t>
            </w:r>
            <w:r w:rsidRPr="00C77A98">
              <w:rPr>
                <w:color w:val="000000" w:themeColor="text1"/>
                <w:kern w:val="2"/>
                <w:szCs w:val="24"/>
              </w:rPr>
              <w:t>)</w:t>
            </w:r>
            <w:r w:rsidR="002A64C1" w:rsidRPr="00C77A98">
              <w:rPr>
                <w:color w:val="000000" w:themeColor="text1"/>
                <w:kern w:val="2"/>
                <w:szCs w:val="24"/>
              </w:rPr>
              <w:t xml:space="preserve">, </w:t>
            </w:r>
          </w:p>
          <w:p w14:paraId="2510003C" w14:textId="77C25D49" w:rsidR="00027B83" w:rsidRPr="00C77A98" w:rsidRDefault="000B0897">
            <w:pPr>
              <w:rPr>
                <w:color w:val="000000" w:themeColor="text1"/>
                <w:szCs w:val="24"/>
              </w:rPr>
            </w:pPr>
            <w:r w:rsidRPr="00C77A98">
              <w:rPr>
                <w:color w:val="000000" w:themeColor="text1"/>
                <w:kern w:val="2"/>
                <w:szCs w:val="24"/>
              </w:rPr>
              <w:t>Sutarties kaina</w:t>
            </w:r>
            <w:r w:rsidR="002A64C1" w:rsidRPr="00C77A9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DB62B8">
              <w:rPr>
                <w:color w:val="000000" w:themeColor="text1"/>
                <w:kern w:val="2"/>
                <w:szCs w:val="24"/>
              </w:rPr>
              <w:t>8380.</w:t>
            </w:r>
            <w:r w:rsidR="003C57CB">
              <w:rPr>
                <w:color w:val="000000" w:themeColor="text1"/>
                <w:kern w:val="2"/>
                <w:szCs w:val="24"/>
              </w:rPr>
              <w:t>8</w:t>
            </w:r>
            <w:r w:rsidR="00DB62B8">
              <w:rPr>
                <w:color w:val="000000" w:themeColor="text1"/>
                <w:kern w:val="2"/>
                <w:szCs w:val="24"/>
              </w:rPr>
              <w:t xml:space="preserve">0 </w:t>
            </w:r>
            <w:r w:rsidR="002A64C1" w:rsidRPr="00C77A98">
              <w:rPr>
                <w:color w:val="000000" w:themeColor="text1"/>
                <w:kern w:val="2"/>
                <w:szCs w:val="24"/>
              </w:rPr>
              <w:t>Eur (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 xml:space="preserve">aštuoni tūkstančiai trys šimtai aštuoniasdešimt eurų, </w:t>
            </w:r>
            <w:r w:rsidR="00DB62B8">
              <w:rPr>
                <w:color w:val="000000" w:themeColor="text1"/>
                <w:kern w:val="2"/>
                <w:szCs w:val="24"/>
              </w:rPr>
              <w:t>8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>0 centų</w:t>
            </w:r>
            <w:r w:rsidR="002A64C1" w:rsidRPr="00C77A98">
              <w:rPr>
                <w:color w:val="000000" w:themeColor="text1"/>
                <w:kern w:val="2"/>
                <w:szCs w:val="24"/>
              </w:rPr>
              <w:t>)</w:t>
            </w:r>
            <w:r w:rsidRPr="00C77A98">
              <w:rPr>
                <w:color w:val="000000" w:themeColor="text1"/>
                <w:kern w:val="2"/>
                <w:szCs w:val="24"/>
              </w:rPr>
              <w:t xml:space="preserve"> su PVM.</w:t>
            </w:r>
          </w:p>
          <w:p w14:paraId="71E5CE91" w14:textId="77777777" w:rsidR="00027B83" w:rsidRPr="00C77A98" w:rsidRDefault="00027B83">
            <w:pPr>
              <w:rPr>
                <w:color w:val="000000" w:themeColor="text1"/>
                <w:kern w:val="2"/>
                <w:szCs w:val="24"/>
              </w:rPr>
            </w:pPr>
          </w:p>
          <w:p w14:paraId="6ADF7805" w14:textId="129765AC" w:rsidR="00C4219F" w:rsidRPr="00C4219F" w:rsidRDefault="00C4219F" w:rsidP="00C4219F">
            <w:pPr>
              <w:rPr>
                <w:color w:val="000000" w:themeColor="text1"/>
                <w:kern w:val="2"/>
                <w:szCs w:val="24"/>
              </w:rPr>
            </w:pPr>
            <w:r w:rsidRPr="00C4219F">
              <w:rPr>
                <w:color w:val="000000" w:themeColor="text1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 w:rsidRPr="00C4219F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>maksimalų Prekių kiekį</w:t>
            </w:r>
            <w:r w:rsidRPr="00C4219F">
              <w:rPr>
                <w:color w:val="000000" w:themeColor="text1"/>
                <w:kern w:val="2"/>
                <w:szCs w:val="24"/>
              </w:rPr>
              <w:t xml:space="preserve"> iš Tiekėjo pasiūlyto įkainio be PVM. Pirkėjas perka Prekes pagal poreikį Sutartyje arba jos priede Nr.</w:t>
            </w:r>
            <w:r>
              <w:rPr>
                <w:color w:val="000000" w:themeColor="text1"/>
                <w:kern w:val="2"/>
                <w:szCs w:val="24"/>
              </w:rPr>
              <w:t xml:space="preserve"> 1</w:t>
            </w:r>
            <w:r w:rsidRPr="00C4219F">
              <w:rPr>
                <w:color w:val="000000" w:themeColor="text1"/>
                <w:kern w:val="2"/>
                <w:szCs w:val="24"/>
              </w:rPr>
              <w:t xml:space="preserve">  nurodytais įkainiais, neviršijant jame nurodyto Prekių maksimalaus kiekio. </w:t>
            </w:r>
          </w:p>
          <w:p w14:paraId="4C4DB159" w14:textId="2A869324" w:rsidR="00027B83" w:rsidRPr="003924B5" w:rsidRDefault="00CE3EF5">
            <w:pPr>
              <w:rPr>
                <w:color w:val="000000" w:themeColor="text1"/>
                <w:kern w:val="2"/>
                <w:szCs w:val="24"/>
              </w:rPr>
            </w:pPr>
            <w:r w:rsidRPr="00C77A98">
              <w:rPr>
                <w:color w:val="000000" w:themeColor="text1"/>
                <w:kern w:val="2"/>
                <w:szCs w:val="24"/>
              </w:rPr>
              <w:t xml:space="preserve">Pirkėjas neįsipareigoja išpirkti </w:t>
            </w:r>
            <w:r w:rsidR="00C4219F">
              <w:rPr>
                <w:color w:val="000000" w:themeColor="text1"/>
                <w:kern w:val="2"/>
                <w:szCs w:val="24"/>
              </w:rPr>
              <w:t>maksimalaus</w:t>
            </w:r>
            <w:r w:rsidR="00C77A98" w:rsidRPr="00C77A98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C77A98">
              <w:rPr>
                <w:color w:val="000000" w:themeColor="text1"/>
                <w:szCs w:val="24"/>
              </w:rPr>
              <w:t>Paslaugų</w:t>
            </w:r>
            <w:r w:rsidRPr="00C77A98">
              <w:rPr>
                <w:color w:val="000000" w:themeColor="text1"/>
                <w:kern w:val="2"/>
                <w:szCs w:val="24"/>
              </w:rPr>
              <w:t xml:space="preserve"> kiekio ar bet kokios jo dalies.</w:t>
            </w:r>
          </w:p>
        </w:tc>
      </w:tr>
      <w:tr w:rsidR="00027B83" w14:paraId="1A7054EB" w14:textId="77777777" w:rsidTr="00F726F5">
        <w:trPr>
          <w:trHeight w:val="876"/>
        </w:trPr>
        <w:tc>
          <w:tcPr>
            <w:tcW w:w="3094" w:type="dxa"/>
            <w:gridSpan w:val="2"/>
          </w:tcPr>
          <w:p w14:paraId="57F4DE2E" w14:textId="18AFA602" w:rsidR="00027B83" w:rsidRPr="004038D4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77777777" w:rsidR="00027B83" w:rsidRPr="004038D4" w:rsidRDefault="000B0897">
            <w:pPr>
              <w:rPr>
                <w:szCs w:val="24"/>
              </w:rPr>
            </w:pPr>
            <w:r w:rsidRPr="004038D4">
              <w:rPr>
                <w:kern w:val="2"/>
                <w:szCs w:val="24"/>
              </w:rPr>
              <w:t>Sutarties kaina / įkainiai bus perskaičiuojami:</w:t>
            </w:r>
          </w:p>
          <w:p w14:paraId="054DF302" w14:textId="0C94AF54" w:rsidR="00027B83" w:rsidRPr="003924B5" w:rsidRDefault="00B04C0E">
            <w:pPr>
              <w:rPr>
                <w:color w:val="000000" w:themeColor="text1"/>
                <w:kern w:val="2"/>
                <w:szCs w:val="24"/>
              </w:rPr>
            </w:pPr>
            <w:r w:rsidRPr="00E03153">
              <w:rPr>
                <w:color w:val="000000" w:themeColor="text1"/>
                <w:kern w:val="2"/>
                <w:szCs w:val="24"/>
              </w:rPr>
              <w:t>5.3.1. dėl PVM tarifo pasikeitimo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4A00C30" w14:textId="77777777" w:rsidR="00027B83" w:rsidRDefault="00027B83">
            <w:pPr>
              <w:rPr>
                <w:kern w:val="2"/>
                <w:szCs w:val="24"/>
              </w:rPr>
            </w:pPr>
          </w:p>
          <w:p w14:paraId="4B006FAB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F749DD" w14:textId="77777777" w:rsidR="00027B83" w:rsidRDefault="00027B83">
            <w:pPr>
              <w:rPr>
                <w:kern w:val="2"/>
                <w:szCs w:val="24"/>
              </w:rPr>
            </w:pPr>
          </w:p>
          <w:p w14:paraId="4CFB97C1" w14:textId="6611E03A" w:rsidR="00027B83" w:rsidRDefault="00027B83" w:rsidP="00093204">
            <w:pPr>
              <w:rPr>
                <w:szCs w:val="24"/>
              </w:rPr>
            </w:pPr>
          </w:p>
        </w:tc>
      </w:tr>
      <w:tr w:rsidR="00B04C0E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17B35871" w14:textId="3F16E66F" w:rsidR="00B04C0E" w:rsidRDefault="00B04C0E" w:rsidP="00B04C0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417F8E45" w14:textId="05304A13" w:rsidR="00C4219F" w:rsidRPr="004E1AD6" w:rsidRDefault="00C4219F" w:rsidP="00C4219F">
            <w:pPr>
              <w:rPr>
                <w:kern w:val="2"/>
                <w:szCs w:val="24"/>
                <w:bdr w:val="none" w:sz="0" w:space="0" w:color="auto" w:frame="1"/>
              </w:rPr>
            </w:pPr>
            <w:r>
              <w:rPr>
                <w:kern w:val="2"/>
                <w:szCs w:val="24"/>
                <w:bdr w:val="none" w:sz="0" w:space="0" w:color="auto" w:frame="1"/>
              </w:rPr>
              <w:t>Netaikoma</w:t>
            </w:r>
          </w:p>
          <w:p w14:paraId="3486C5A4" w14:textId="4E91F93A" w:rsidR="00B04C0E" w:rsidRPr="004E1AD6" w:rsidRDefault="00B04C0E" w:rsidP="00B04C0E">
            <w:pPr>
              <w:rPr>
                <w:kern w:val="2"/>
                <w:szCs w:val="24"/>
                <w:bdr w:val="none" w:sz="0" w:space="0" w:color="auto" w:frame="1"/>
              </w:rPr>
            </w:pP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645996FC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D54CF4" w14:textId="77777777" w:rsidR="00027B83" w:rsidRDefault="00027B83">
            <w:pPr>
              <w:rPr>
                <w:kern w:val="2"/>
                <w:szCs w:val="24"/>
              </w:rPr>
            </w:pPr>
          </w:p>
          <w:p w14:paraId="566C354A" w14:textId="1ED78F14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Pr="00500286" w:rsidRDefault="000B0897">
            <w:pPr>
              <w:rPr>
                <w:b/>
                <w:kern w:val="2"/>
                <w:szCs w:val="24"/>
              </w:rPr>
            </w:pPr>
            <w:r w:rsidRPr="00500286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298C2C0D" w:rsidR="00027B83" w:rsidRPr="00500286" w:rsidRDefault="000B0897">
            <w:pPr>
              <w:rPr>
                <w:kern w:val="2"/>
                <w:szCs w:val="24"/>
              </w:rPr>
            </w:pPr>
            <w:r w:rsidRPr="00500286">
              <w:rPr>
                <w:kern w:val="2"/>
                <w:szCs w:val="24"/>
              </w:rPr>
              <w:t xml:space="preserve">Pirkėjas atsiskaito su Tiekėju ne vėliau kaip per </w:t>
            </w:r>
            <w:r w:rsidR="004F432E" w:rsidRPr="00500286">
              <w:rPr>
                <w:kern w:val="2"/>
                <w:szCs w:val="24"/>
              </w:rPr>
              <w:t>30 kalendorinių dienų</w:t>
            </w:r>
            <w:r w:rsidR="004F432E" w:rsidRPr="00500286" w:rsidDel="004F432E">
              <w:rPr>
                <w:kern w:val="2"/>
                <w:szCs w:val="24"/>
              </w:rPr>
              <w:t xml:space="preserve"> </w:t>
            </w:r>
            <w:r w:rsidRPr="00500286">
              <w:rPr>
                <w:kern w:val="2"/>
                <w:szCs w:val="24"/>
              </w:rPr>
              <w:t>nuo Sąskaitos gavimo dienos.</w:t>
            </w:r>
          </w:p>
          <w:p w14:paraId="6CDA289E" w14:textId="77777777" w:rsidR="00027B83" w:rsidRPr="00500286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08552532" w14:textId="039C61A4" w:rsidR="00027B83" w:rsidRPr="005B0886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5B0886">
              <w:rPr>
                <w:kern w:val="2"/>
                <w:szCs w:val="24"/>
                <w:shd w:val="clear" w:color="auto" w:fill="FFFFFF"/>
              </w:rPr>
              <w:t>Apmokėjimo sąlygos</w:t>
            </w:r>
          </w:p>
          <w:p w14:paraId="38EC9A63" w14:textId="4FEE84B6" w:rsidR="00944456" w:rsidRPr="003924B5" w:rsidRDefault="00E25B3B" w:rsidP="00944456">
            <w:pPr>
              <w:pStyle w:val="Sraopastraipa"/>
              <w:numPr>
                <w:ilvl w:val="0"/>
                <w:numId w:val="1"/>
              </w:numPr>
              <w:rPr>
                <w:bCs/>
                <w:sz w:val="22"/>
              </w:rPr>
            </w:pPr>
            <w:r w:rsidRPr="005B0886">
              <w:rPr>
                <w:bCs/>
                <w:sz w:val="22"/>
              </w:rPr>
              <w:t>įvykdžius Užsakymą, mokama už konkretų kiekį / apimtį pagal nustatytus įkainius</w:t>
            </w:r>
            <w:r w:rsidR="00B23E18" w:rsidRPr="005B0886">
              <w:rPr>
                <w:bCs/>
                <w:sz w:val="22"/>
              </w:rPr>
              <w:t>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63FB4A3B" w:rsidR="00027B83" w:rsidRPr="00C77320" w:rsidRDefault="000B0897" w:rsidP="00C7732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663375D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5F3CB09D" w:rsidR="00027B83" w:rsidRPr="00C77320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DB5CD93" w14:textId="36506C6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C105553" w14:textId="479F3AB0" w:rsidR="00027B83" w:rsidRDefault="000B0897" w:rsidP="0065390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398856C" w14:textId="0C6629D7" w:rsidR="00027B83" w:rsidRDefault="00027B83">
            <w:pPr>
              <w:rPr>
                <w:b/>
                <w:kern w:val="2"/>
                <w:szCs w:val="24"/>
              </w:rPr>
            </w:pP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601D967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49AB15C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7E80913C" w14:textId="0FD49EA8" w:rsidR="00027B83" w:rsidRDefault="000B0897">
            <w:pPr>
              <w:rPr>
                <w:kern w:val="2"/>
                <w:szCs w:val="24"/>
              </w:rPr>
            </w:pPr>
            <w:r w:rsidRPr="00E45905">
              <w:rPr>
                <w:kern w:val="2"/>
                <w:szCs w:val="24"/>
              </w:rPr>
              <w:t>Kitais Lietuvos Respublikos civiliniame kodekse ir (ar)</w:t>
            </w:r>
            <w:r w:rsidR="00E45905">
              <w:rPr>
                <w:kern w:val="2"/>
                <w:szCs w:val="24"/>
              </w:rPr>
              <w:t>;</w:t>
            </w:r>
            <w:r w:rsidRPr="00E45905">
              <w:rPr>
                <w:kern w:val="2"/>
                <w:szCs w:val="24"/>
              </w:rPr>
              <w:t xml:space="preserve"> Sutartyje nurodytais prievolių įvykdymo užtikrinimo būdais</w:t>
            </w:r>
            <w:r w:rsidR="00E45905">
              <w:rPr>
                <w:kern w:val="2"/>
                <w:szCs w:val="24"/>
              </w:rPr>
              <w:t>.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7BEBB" w14:textId="77777777" w:rsidR="00027B83" w:rsidRDefault="00027B83">
            <w:pPr>
              <w:rPr>
                <w:kern w:val="2"/>
                <w:szCs w:val="24"/>
              </w:rPr>
            </w:pPr>
          </w:p>
          <w:p w14:paraId="49273A25" w14:textId="13923C9E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138AEF19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16BA28FA" w:rsidR="00027B83" w:rsidRPr="00F726F5" w:rsidRDefault="000B0897" w:rsidP="00F726F5">
            <w:pPr>
              <w:rPr>
                <w:kern w:val="2"/>
                <w:szCs w:val="24"/>
              </w:rPr>
            </w:pPr>
            <w:r w:rsidRPr="00C14D4A">
              <w:rPr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="0065390D" w:rsidRPr="00C14D4A">
              <w:rPr>
                <w:kern w:val="2"/>
                <w:szCs w:val="24"/>
              </w:rPr>
              <w:t xml:space="preserve">0,05 (penkios šimtosios) </w:t>
            </w:r>
            <w:r w:rsidRPr="00C14D4A">
              <w:rPr>
                <w:kern w:val="2"/>
                <w:szCs w:val="24"/>
              </w:rPr>
              <w:t>dydžio delspinigius nuo neapmokėtos sumos be PVM už kiekvieną vėlavimo dieną</w:t>
            </w:r>
            <w:r w:rsidR="00C14D4A" w:rsidRPr="00C14D4A">
              <w:rPr>
                <w:kern w:val="2"/>
                <w:szCs w:val="24"/>
              </w:rPr>
              <w:t>.</w:t>
            </w:r>
            <w:r w:rsidRPr="00C14D4A">
              <w:rPr>
                <w:kern w:val="2"/>
                <w:szCs w:val="24"/>
              </w:rPr>
              <w:t xml:space="preserve"> </w:t>
            </w: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7256BCB4" w:rsidR="00027B83" w:rsidRDefault="000B0897">
            <w:pPr>
              <w:rPr>
                <w:color w:val="000000"/>
                <w:kern w:val="2"/>
                <w:szCs w:val="24"/>
              </w:rPr>
            </w:pPr>
            <w:r w:rsidRPr="00C14D4A">
              <w:rPr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="009F07D0" w:rsidRPr="00C14D4A">
              <w:rPr>
                <w:kern w:val="2"/>
                <w:szCs w:val="24"/>
              </w:rPr>
              <w:t>0,05 (penkios šimtosios)</w:t>
            </w:r>
            <w:r w:rsidRPr="00C14D4A">
              <w:rPr>
                <w:kern w:val="2"/>
                <w:szCs w:val="24"/>
              </w:rPr>
              <w:t xml:space="preserve"> dydžio delspinigius už kiekvieną uždelstą dieną nuo laiku nesuteiktų Paslaugų ar kitų sutartinių įsipareigojimų nevykdymo kainos be PVM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006A0368" w14:textId="77777777" w:rsidR="00027B83" w:rsidRDefault="00027B83">
            <w:pPr>
              <w:rPr>
                <w:color w:val="000000"/>
                <w:kern w:val="2"/>
                <w:szCs w:val="24"/>
              </w:rPr>
            </w:pPr>
          </w:p>
          <w:p w14:paraId="5B4D2AAF" w14:textId="6C314E9A" w:rsidR="00027B83" w:rsidRPr="00C14D4A" w:rsidRDefault="000B0897">
            <w:pPr>
              <w:rPr>
                <w:szCs w:val="24"/>
              </w:rPr>
            </w:pPr>
            <w:r w:rsidRPr="00C14D4A">
              <w:rPr>
                <w:kern w:val="2"/>
                <w:szCs w:val="24"/>
              </w:rPr>
              <w:t xml:space="preserve">9.2.2. Tiekėjas privalo sumokėti Pirkėjui netesybas per </w:t>
            </w:r>
            <w:r w:rsidR="0065390D" w:rsidRPr="00C14D4A">
              <w:rPr>
                <w:kern w:val="2"/>
                <w:szCs w:val="24"/>
              </w:rPr>
              <w:t>30 kalendorinių dienų</w:t>
            </w:r>
            <w:r w:rsidRPr="00C14D4A">
              <w:rPr>
                <w:kern w:val="2"/>
                <w:szCs w:val="24"/>
              </w:rPr>
              <w:t xml:space="preserve"> nuo Pirkėjo pareikalavimo, jeigu netesybų suma nėra </w:t>
            </w:r>
            <w:r w:rsidRPr="00C14D4A">
              <w:rPr>
                <w:szCs w:val="24"/>
              </w:rPr>
              <w:t>išskaitoma iš Tiekėjui mokėtinos sumos.</w:t>
            </w:r>
          </w:p>
          <w:p w14:paraId="73044B7D" w14:textId="77777777" w:rsidR="0065390D" w:rsidRDefault="0065390D">
            <w:pPr>
              <w:rPr>
                <w:b/>
                <w:szCs w:val="24"/>
              </w:rPr>
            </w:pPr>
          </w:p>
          <w:p w14:paraId="7E114F52" w14:textId="507672B9" w:rsidR="0065390D" w:rsidRPr="00C14D4A" w:rsidRDefault="0065390D">
            <w:pPr>
              <w:rPr>
                <w:bCs/>
                <w:kern w:val="2"/>
                <w:szCs w:val="24"/>
              </w:rPr>
            </w:pPr>
            <w:r w:rsidRPr="00C14D4A">
              <w:rPr>
                <w:bCs/>
                <w:kern w:val="2"/>
                <w:szCs w:val="24"/>
              </w:rPr>
              <w:t>9.2.3. Pirkėjas turi teisę išskaičiuoti netesybų sumą iš Tiekėjui mokėtinų sumų. Pirkėjas neprivalo įrodyti Tiekėjui, jog patyrė nuostolių.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DFBE768" w:rsidR="00027B83" w:rsidRPr="00C14D4A" w:rsidRDefault="000B0897">
            <w:pPr>
              <w:rPr>
                <w:szCs w:val="24"/>
              </w:rPr>
            </w:pPr>
            <w:r w:rsidRPr="00C14D4A"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65390D" w:rsidRPr="00C14D4A">
              <w:rPr>
                <w:kern w:val="2"/>
                <w:szCs w:val="24"/>
              </w:rPr>
              <w:t xml:space="preserve">(10 procentų dydžio) </w:t>
            </w:r>
            <w:r w:rsidRPr="00C14D4A"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E529C11" w14:textId="77777777" w:rsidR="00027B83" w:rsidRDefault="00027B83">
            <w:pPr>
              <w:rPr>
                <w:kern w:val="2"/>
                <w:szCs w:val="24"/>
              </w:rPr>
            </w:pPr>
          </w:p>
          <w:p w14:paraId="54EE418B" w14:textId="2B09F08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specialistų pakeitimo / </w:t>
            </w:r>
            <w:r>
              <w:rPr>
                <w:b/>
                <w:kern w:val="2"/>
                <w:szCs w:val="24"/>
              </w:rPr>
              <w:lastRenderedPageBreak/>
              <w:t>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1456C8D1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60EDCD6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7FD572F" w14:textId="77777777" w:rsidR="00027B83" w:rsidRDefault="00027B83">
            <w:pPr>
              <w:rPr>
                <w:kern w:val="2"/>
                <w:szCs w:val="24"/>
              </w:rPr>
            </w:pPr>
          </w:p>
          <w:p w14:paraId="4C8C0993" w14:textId="27930A7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B53226" w14:textId="77777777" w:rsidR="00027B83" w:rsidRDefault="00027B83">
            <w:pPr>
              <w:rPr>
                <w:kern w:val="2"/>
                <w:szCs w:val="24"/>
              </w:rPr>
            </w:pPr>
          </w:p>
          <w:p w14:paraId="32D97D93" w14:textId="0C53396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003FECA6" w14:textId="044814ED" w:rsidR="00027B83" w:rsidRDefault="000B0897" w:rsidP="00FC0454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</w:tc>
      </w:tr>
      <w:tr w:rsidR="00027B83" w14:paraId="0058BAA4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1F3DAD1C" w:rsidR="00F726F5" w:rsidRPr="00F726F5" w:rsidRDefault="000B0897" w:rsidP="00F726F5">
            <w:pPr>
              <w:rPr>
                <w:b/>
                <w:bCs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="00E45BA2">
              <w:rPr>
                <w:b/>
                <w:kern w:val="2"/>
                <w:szCs w:val="24"/>
              </w:rPr>
              <w:t>n</w:t>
            </w:r>
            <w:r>
              <w:rPr>
                <w:b/>
                <w:bCs/>
                <w:szCs w:val="24"/>
              </w:rPr>
              <w:t>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7E2EE013" w:rsidR="00E45BA2" w:rsidRPr="00E45BA2" w:rsidRDefault="00E45BA2" w:rsidP="00E45BA2">
            <w:pPr>
              <w:rPr>
                <w:szCs w:val="24"/>
              </w:rPr>
            </w:pP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0AEF38FB" w14:textId="5CE80BC2" w:rsidR="00027B83" w:rsidRPr="00C14D4A" w:rsidRDefault="00C14D4A">
            <w:pPr>
              <w:rPr>
                <w:kern w:val="2"/>
                <w:szCs w:val="24"/>
              </w:rPr>
            </w:pPr>
            <w:r w:rsidRPr="00C14D4A">
              <w:rPr>
                <w:kern w:val="2"/>
                <w:szCs w:val="24"/>
              </w:rPr>
              <w:t>Netaikoma</w:t>
            </w:r>
          </w:p>
          <w:p w14:paraId="70413880" w14:textId="77777777" w:rsidR="00027B83" w:rsidRPr="00C14D4A" w:rsidRDefault="00027B83">
            <w:pPr>
              <w:rPr>
                <w:szCs w:val="24"/>
              </w:rPr>
            </w:pPr>
          </w:p>
          <w:p w14:paraId="1121832F" w14:textId="77777777" w:rsidR="00027B83" w:rsidRPr="00C14D4A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35304F12" w:rsidR="00027B83" w:rsidRPr="00C14D4A" w:rsidRDefault="005E2203">
            <w:pPr>
              <w:rPr>
                <w:kern w:val="2"/>
                <w:szCs w:val="24"/>
              </w:rPr>
            </w:pPr>
            <w:r w:rsidRPr="00C14D4A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E67C8FE" w14:textId="1E0B3B99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 w:rsidTr="005B0886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  <w:shd w:val="clear" w:color="auto" w:fill="auto"/>
          </w:tcPr>
          <w:p w14:paraId="16C571AA" w14:textId="77777777" w:rsidR="00027B83" w:rsidRPr="005B0886" w:rsidRDefault="000B0897">
            <w:pPr>
              <w:rPr>
                <w:kern w:val="2"/>
                <w:szCs w:val="24"/>
              </w:rPr>
            </w:pPr>
            <w:r w:rsidRPr="005B0886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403B13ED" w:rsidR="00027B83" w:rsidRPr="005B0886" w:rsidRDefault="000B0897">
            <w:pPr>
              <w:rPr>
                <w:kern w:val="2"/>
                <w:szCs w:val="24"/>
              </w:rPr>
            </w:pPr>
            <w:r w:rsidRPr="005B0886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D66E5D">
              <w:rPr>
                <w:color w:val="000000"/>
                <w:kern w:val="2"/>
                <w:szCs w:val="24"/>
              </w:rPr>
              <w:t>iki 2025-12-31.</w:t>
            </w:r>
          </w:p>
        </w:tc>
      </w:tr>
      <w:tr w:rsidR="00027B83" w14:paraId="27B67AC5" w14:textId="77777777" w:rsidTr="005B0886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  <w:shd w:val="clear" w:color="auto" w:fill="auto"/>
          </w:tcPr>
          <w:p w14:paraId="6D566D92" w14:textId="20F3F8D5" w:rsidR="00027B83" w:rsidRPr="002A74E2" w:rsidRDefault="00D66E5D" w:rsidP="00D23358">
            <w:pPr>
              <w:rPr>
                <w:rFonts w:eastAsia="Arial"/>
                <w:color w:val="FF0000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06217E89" w:rsidR="00027B83" w:rsidRPr="00E45BA2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027B83" w14:paraId="3FAA1B2E" w14:textId="77777777" w:rsidTr="00E45BA2">
        <w:trPr>
          <w:trHeight w:val="411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793BFF" w:rsidRDefault="000B0897">
            <w:pPr>
              <w:rPr>
                <w:b/>
                <w:kern w:val="2"/>
                <w:szCs w:val="24"/>
              </w:rPr>
            </w:pPr>
            <w:r w:rsidRPr="00793BFF">
              <w:rPr>
                <w:b/>
                <w:kern w:val="2"/>
                <w:szCs w:val="24"/>
              </w:rPr>
              <w:t xml:space="preserve">12.2. Esminiai Sutarties </w:t>
            </w:r>
            <w:r w:rsidRPr="00793BFF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793BFF" w:rsidRDefault="000B0897">
            <w:pPr>
              <w:rPr>
                <w:kern w:val="2"/>
                <w:szCs w:val="24"/>
              </w:rPr>
            </w:pPr>
            <w:r w:rsidRPr="00793BFF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63F46089" w14:textId="5D1F82EE" w:rsidR="00027B83" w:rsidRPr="00793BFF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93BFF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B6874" w:rsidRPr="00793BFF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793BFF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73E20761" w14:textId="2A9077F7" w:rsidR="00027B83" w:rsidRPr="00793BFF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93BFF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B6874" w:rsidRPr="00793BFF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793BFF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1DE93274" w14:textId="3AB61FFE" w:rsidR="00027B83" w:rsidRPr="00793BFF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93BFF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B6874" w:rsidRPr="00793BFF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793BFF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2AC0C09D" w14:textId="4DFFF508" w:rsidR="00027B83" w:rsidRPr="00E45BA2" w:rsidRDefault="000B0897" w:rsidP="00BE4A45">
            <w:pPr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793BFF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B6874" w:rsidRPr="00793BFF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793BFF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662420A3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1E787B93" w14:textId="6A4AFEE1" w:rsidR="00027B83" w:rsidRPr="00C14D4A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C14D4A">
              <w:rPr>
                <w:kern w:val="2"/>
                <w:szCs w:val="24"/>
                <w:shd w:val="clear" w:color="auto" w:fill="FFFFFF"/>
              </w:rPr>
              <w:t xml:space="preserve">Paslaugomis susijusius aplinkos apsaugos kriterijus. </w:t>
            </w:r>
          </w:p>
          <w:p w14:paraId="53C9F569" w14:textId="5199B526" w:rsidR="00027B83" w:rsidRPr="00F726F5" w:rsidRDefault="000B0897" w:rsidP="00E444F9">
            <w:pPr>
              <w:rPr>
                <w:kern w:val="2"/>
                <w:szCs w:val="24"/>
                <w:shd w:val="clear" w:color="auto" w:fill="FFFFFF"/>
              </w:rPr>
            </w:pPr>
            <w:r w:rsidRPr="00C14D4A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patvirtinimo“)</w:t>
            </w:r>
            <w:r w:rsidR="00D601E6" w:rsidRPr="00C14D4A">
              <w:rPr>
                <w:kern w:val="2"/>
                <w:szCs w:val="24"/>
                <w:shd w:val="clear" w:color="auto" w:fill="FFFFFF"/>
              </w:rPr>
              <w:t xml:space="preserve"> (toliau – Tvarkos aprašas)  4.4.3. papunkčiu.</w:t>
            </w:r>
            <w:r w:rsidR="00D601E6" w:rsidRPr="00C14D4A">
              <w:rPr>
                <w:kern w:val="2"/>
                <w:szCs w:val="24"/>
              </w:rPr>
              <w:t> </w:t>
            </w: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1C733549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0ACFFCC0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19AD1D59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A60B23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0CACD5B6" w:rsidR="00027B83" w:rsidRPr="0028132F" w:rsidRDefault="00C75747" w:rsidP="0028132F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4EB1825A" w:rsidR="00027B83" w:rsidRPr="0028132F" w:rsidRDefault="00027B83" w:rsidP="0028132F">
            <w:pPr>
              <w:rPr>
                <w:bCs/>
                <w:kern w:val="2"/>
                <w:szCs w:val="24"/>
              </w:rPr>
            </w:pP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>
        <w:tc>
          <w:tcPr>
            <w:tcW w:w="5224" w:type="dxa"/>
            <w:gridSpan w:val="3"/>
          </w:tcPr>
          <w:p w14:paraId="173ABDC4" w14:textId="259724DE" w:rsidR="00027B83" w:rsidRDefault="00BC17BD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medicinai Justinas Dzidzevičius</w:t>
            </w:r>
          </w:p>
        </w:tc>
        <w:tc>
          <w:tcPr>
            <w:tcW w:w="4311" w:type="dxa"/>
          </w:tcPr>
          <w:p w14:paraId="438EBAC8" w14:textId="2A5D0A95" w:rsidR="00027B83" w:rsidRDefault="00115FC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Generalinis direktorius </w:t>
            </w:r>
            <w:r>
              <w:rPr>
                <w:color w:val="000000"/>
                <w:szCs w:val="24"/>
              </w:rPr>
              <w:t>prof. habil. dr. Renaldas Jurkevičius</w:t>
            </w:r>
          </w:p>
        </w:tc>
      </w:tr>
      <w:tr w:rsidR="00027B83" w14:paraId="7E437DD3" w14:textId="77777777">
        <w:tc>
          <w:tcPr>
            <w:tcW w:w="5224" w:type="dxa"/>
            <w:gridSpan w:val="3"/>
          </w:tcPr>
          <w:p w14:paraId="02FA67C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3131FFC4" w14:textId="77777777" w:rsidR="00BC17BD" w:rsidRDefault="00BC17BD" w:rsidP="00254CF8">
      <w:pPr>
        <w:jc w:val="right"/>
        <w:rPr>
          <w:szCs w:val="24"/>
          <w:lang w:val="en-US"/>
        </w:rPr>
      </w:pPr>
    </w:p>
    <w:p w14:paraId="32BBBF43" w14:textId="77777777" w:rsidR="00F726F5" w:rsidRDefault="00F726F5" w:rsidP="00F726F5">
      <w:pPr>
        <w:rPr>
          <w:szCs w:val="24"/>
          <w:lang w:val="en-US"/>
        </w:rPr>
      </w:pPr>
    </w:p>
    <w:p w14:paraId="38D4B3A8" w14:textId="6FFC0795" w:rsidR="00254CF8" w:rsidRPr="00254CF8" w:rsidRDefault="00254CF8" w:rsidP="00254CF8">
      <w:pPr>
        <w:jc w:val="right"/>
        <w:rPr>
          <w:szCs w:val="24"/>
        </w:rPr>
      </w:pPr>
      <w:r w:rsidRPr="00254CF8">
        <w:rPr>
          <w:szCs w:val="24"/>
          <w:lang w:val="en-US"/>
        </w:rPr>
        <w:t>1</w:t>
      </w:r>
      <w:r w:rsidRPr="00254CF8">
        <w:rPr>
          <w:szCs w:val="24"/>
        </w:rPr>
        <w:t xml:space="preserve"> priedas</w:t>
      </w:r>
    </w:p>
    <w:p w14:paraId="52FD0E3E" w14:textId="16A1681E" w:rsidR="00254CF8" w:rsidRPr="00254CF8" w:rsidRDefault="00254CF8" w:rsidP="00254CF8">
      <w:pPr>
        <w:jc w:val="right"/>
        <w:rPr>
          <w:szCs w:val="24"/>
        </w:rPr>
      </w:pPr>
      <w:r w:rsidRPr="00254CF8">
        <w:rPr>
          <w:szCs w:val="24"/>
        </w:rPr>
        <w:t>prie 202</w:t>
      </w:r>
      <w:r>
        <w:rPr>
          <w:szCs w:val="24"/>
        </w:rPr>
        <w:t xml:space="preserve">5 </w:t>
      </w:r>
      <w:r w:rsidRPr="00254CF8">
        <w:rPr>
          <w:szCs w:val="24"/>
        </w:rPr>
        <w:t>m. _________ ___ d. viešojo pirkimo – pardavimo Sutarties Nr. ............</w:t>
      </w:r>
    </w:p>
    <w:p w14:paraId="7E3EF5A5" w14:textId="77777777" w:rsidR="00027B83" w:rsidRDefault="00027B83">
      <w:pPr>
        <w:rPr>
          <w:szCs w:val="24"/>
        </w:rPr>
      </w:pPr>
    </w:p>
    <w:p w14:paraId="2D1B45D0" w14:textId="77777777" w:rsidR="000409BA" w:rsidRPr="000409BA" w:rsidRDefault="000409BA" w:rsidP="000409BA"/>
    <w:p w14:paraId="08426567" w14:textId="77777777" w:rsidR="000409BA" w:rsidRPr="000409BA" w:rsidRDefault="000409BA" w:rsidP="000409BA"/>
    <w:p w14:paraId="7D4118A2" w14:textId="0D6EDBF9" w:rsidR="000409BA" w:rsidRPr="007B2E37" w:rsidRDefault="007B2E37" w:rsidP="007B2E37">
      <w:pPr>
        <w:jc w:val="center"/>
        <w:rPr>
          <w:b/>
          <w:bCs/>
        </w:rPr>
      </w:pPr>
      <w:r w:rsidRPr="007B2E37">
        <w:rPr>
          <w:b/>
          <w:bCs/>
        </w:rPr>
        <w:t>PASIŪLYMAS</w:t>
      </w:r>
    </w:p>
    <w:p w14:paraId="4BE9B102" w14:textId="77777777" w:rsidR="000409BA" w:rsidRPr="000409BA" w:rsidRDefault="000409BA" w:rsidP="000409BA"/>
    <w:tbl>
      <w:tblPr>
        <w:tblW w:w="9776" w:type="dxa"/>
        <w:tblLook w:val="04A0" w:firstRow="1" w:lastRow="0" w:firstColumn="1" w:lastColumn="0" w:noHBand="0" w:noVBand="1"/>
      </w:tblPr>
      <w:tblGrid>
        <w:gridCol w:w="718"/>
        <w:gridCol w:w="3530"/>
        <w:gridCol w:w="1134"/>
        <w:gridCol w:w="1276"/>
        <w:gridCol w:w="1559"/>
        <w:gridCol w:w="1559"/>
      </w:tblGrid>
      <w:tr w:rsidR="00454C19" w:rsidRPr="003E1EDD" w14:paraId="571A300E" w14:textId="77777777" w:rsidTr="00454C19">
        <w:trPr>
          <w:trHeight w:val="3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408EB8D3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3E5550DE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6A0C22CC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6E9FD741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Mato vienetas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0511CF14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1741EC7D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Suma be PVM, Eur</w:t>
            </w:r>
          </w:p>
        </w:tc>
      </w:tr>
      <w:tr w:rsidR="00454C19" w:rsidRPr="003E1EDD" w14:paraId="1A0B5AB9" w14:textId="77777777" w:rsidTr="00454C1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22B26F37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32615A90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Betalaktaminių</w:t>
            </w:r>
            <w:proofErr w:type="spellEnd"/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antimikrobinių vaistų ir </w:t>
            </w:r>
            <w:proofErr w:type="spellStart"/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linezolido</w:t>
            </w:r>
            <w:proofErr w:type="spellEnd"/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koncentracijų kraujo plazmoje tyrimai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5BDC0806" w14:textId="77777777" w:rsidR="003E1EDD" w:rsidRPr="003E1EDD" w:rsidRDefault="003E1EDD" w:rsidP="003E1E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232CB37C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EE65B5" w14:textId="447AA499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  <w:r w:rsidR="00DB62B8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48C07312" w14:textId="14FDF96C" w:rsidR="003E1EDD" w:rsidRPr="00DB62B8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  <w:r w:rsidR="00DB62B8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8380,80</w:t>
            </w:r>
          </w:p>
        </w:tc>
      </w:tr>
      <w:tr w:rsidR="00454C19" w:rsidRPr="003E1EDD" w14:paraId="193AFE12" w14:textId="77777777" w:rsidTr="00454C19">
        <w:trPr>
          <w:trHeight w:val="80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0ABD7420" w14:textId="2B81025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1.1.1.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211C93E4" w14:textId="6638A15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Laboratorini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ai</w:t>
            </w: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tyrim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ai </w:t>
            </w: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atli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ekami </w:t>
            </w: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HPLC-MS/MS metodu, naudojant trigubo </w:t>
            </w:r>
            <w:proofErr w:type="spellStart"/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kvadrupolio</w:t>
            </w:r>
            <w:proofErr w:type="spellEnd"/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detektorių.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6062685E" w14:textId="77777777" w:rsidR="00454C19" w:rsidRPr="003E1EDD" w:rsidRDefault="00454C19" w:rsidP="003E1E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3A4AD67C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41321F2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4D0A2505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454C19" w:rsidRPr="003E1EDD" w14:paraId="023ED2B4" w14:textId="77777777" w:rsidTr="00454C1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5FE0B8DE" w14:textId="5C6CF5BA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1.1.2.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4B20F750" w14:textId="25928370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Tiksl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ūs</w:t>
            </w: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kiekybin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iai</w:t>
            </w: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rezultat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ai</w:t>
            </w: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su norminėmis ribomis ir matavimo vienetais.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4ABC89A9" w14:textId="77777777" w:rsidR="00454C19" w:rsidRPr="003E1EDD" w:rsidRDefault="00454C19" w:rsidP="003E1E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3DF9EAD1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7B22646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487316CF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454C19" w:rsidRPr="003E1EDD" w14:paraId="38F9BB66" w14:textId="77777777" w:rsidTr="00454C1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7995C867" w14:textId="6D69C095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1.1.3.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023600B2" w14:textId="404BD68E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Bendradarbiavim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as</w:t>
            </w:r>
            <w:r w:rsidRPr="00454C19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su gydytojais klinikinei interpretacijai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6CC56814" w14:textId="77777777" w:rsidR="00454C19" w:rsidRPr="003E1EDD" w:rsidRDefault="00454C19" w:rsidP="003E1E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6C36C90B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CCB8CA2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</w:tcPr>
          <w:p w14:paraId="77DECA09" w14:textId="77777777" w:rsidR="00454C19" w:rsidRPr="003E1EDD" w:rsidRDefault="00454C19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454C19" w:rsidRPr="003E1EDD" w14:paraId="77B1C63B" w14:textId="77777777" w:rsidTr="00454C19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4353D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B2A51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3585E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1DA34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4F2CBE61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Suma be PVM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02905FA4" w14:textId="0594C81F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  <w:r w:rsidR="00F726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8380</w:t>
            </w:r>
          </w:p>
        </w:tc>
      </w:tr>
      <w:tr w:rsidR="00454C19" w:rsidRPr="003E1EDD" w14:paraId="3303B320" w14:textId="77777777" w:rsidTr="00454C19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EB35A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38673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1F499BE8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Taikomas PVM dydis (%)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EEDA9C" w14:textId="37CE0C5A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  <w:r w:rsidR="00F726F5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17458FE1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62AD7238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454C19" w:rsidRPr="003E1EDD" w14:paraId="1794190A" w14:textId="77777777" w:rsidTr="00454C19">
        <w:trPr>
          <w:trHeight w:val="30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B91DE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7B0D0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6FA1F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659F2" w14:textId="77777777" w:rsidR="003E1EDD" w:rsidRPr="003E1EDD" w:rsidRDefault="003E1EDD" w:rsidP="003E1ED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508554DB" w14:textId="77777777" w:rsidR="003E1EDD" w:rsidRPr="003E1EDD" w:rsidRDefault="003E1EDD" w:rsidP="003E1E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Suma su PVM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noWrap/>
            <w:vAlign w:val="bottom"/>
            <w:hideMark/>
          </w:tcPr>
          <w:p w14:paraId="26153B63" w14:textId="37DA6D23" w:rsidR="003E1EDD" w:rsidRPr="003E1EDD" w:rsidRDefault="00F726F5" w:rsidP="00F726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8380</w:t>
            </w:r>
          </w:p>
        </w:tc>
      </w:tr>
    </w:tbl>
    <w:p w14:paraId="15F2599D" w14:textId="77777777" w:rsidR="000409BA" w:rsidRPr="000409BA" w:rsidRDefault="000409BA" w:rsidP="000409BA"/>
    <w:p w14:paraId="69661DC8" w14:textId="77777777" w:rsidR="000409BA" w:rsidRPr="000409BA" w:rsidRDefault="000409BA" w:rsidP="000409BA"/>
    <w:p w14:paraId="1E8970A1" w14:textId="77777777" w:rsidR="000409BA" w:rsidRPr="000409BA" w:rsidRDefault="000409BA" w:rsidP="000409BA"/>
    <w:p w14:paraId="1B25E3A2" w14:textId="77777777" w:rsidR="000409BA" w:rsidRPr="000409BA" w:rsidRDefault="000409BA" w:rsidP="00A4268B"/>
    <w:sectPr w:rsidR="000409BA" w:rsidRPr="000409BA" w:rsidSect="00A4268B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1AA1" w14:textId="77777777" w:rsidR="003033E2" w:rsidRDefault="003033E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447C54B" w14:textId="77777777" w:rsidR="003033E2" w:rsidRDefault="003033E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CD3C555" w14:textId="77777777" w:rsidR="003033E2" w:rsidRDefault="00303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9A21" w14:textId="77777777" w:rsidR="003033E2" w:rsidRDefault="003033E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C5360CC" w14:textId="77777777" w:rsidR="003033E2" w:rsidRDefault="003033E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4441C92" w14:textId="77777777" w:rsidR="003033E2" w:rsidRDefault="00303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6C445B64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115FCD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065D0"/>
    <w:multiLevelType w:val="hybridMultilevel"/>
    <w:tmpl w:val="F6F833DA"/>
    <w:lvl w:ilvl="0" w:tplc="367A4E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409BA"/>
    <w:rsid w:val="00063F8C"/>
    <w:rsid w:val="00085B82"/>
    <w:rsid w:val="00093204"/>
    <w:rsid w:val="00096E2A"/>
    <w:rsid w:val="000A197A"/>
    <w:rsid w:val="000B0897"/>
    <w:rsid w:val="000B3E38"/>
    <w:rsid w:val="000D13A9"/>
    <w:rsid w:val="000F25D1"/>
    <w:rsid w:val="00115FCD"/>
    <w:rsid w:val="001D2622"/>
    <w:rsid w:val="00214C60"/>
    <w:rsid w:val="00254CF8"/>
    <w:rsid w:val="00273D0B"/>
    <w:rsid w:val="0028132F"/>
    <w:rsid w:val="002A4F11"/>
    <w:rsid w:val="002A64C1"/>
    <w:rsid w:val="002A74E2"/>
    <w:rsid w:val="002B6874"/>
    <w:rsid w:val="002E475D"/>
    <w:rsid w:val="003033E2"/>
    <w:rsid w:val="00332511"/>
    <w:rsid w:val="00366024"/>
    <w:rsid w:val="003924B5"/>
    <w:rsid w:val="00396B42"/>
    <w:rsid w:val="003B23D8"/>
    <w:rsid w:val="003B2A7B"/>
    <w:rsid w:val="003C57CB"/>
    <w:rsid w:val="003C79A3"/>
    <w:rsid w:val="003E1EDD"/>
    <w:rsid w:val="003F0F5C"/>
    <w:rsid w:val="003F22B1"/>
    <w:rsid w:val="004038D4"/>
    <w:rsid w:val="00454C19"/>
    <w:rsid w:val="004675AB"/>
    <w:rsid w:val="00473F81"/>
    <w:rsid w:val="004E1AD6"/>
    <w:rsid w:val="004F432E"/>
    <w:rsid w:val="00500286"/>
    <w:rsid w:val="005511D1"/>
    <w:rsid w:val="00562B9F"/>
    <w:rsid w:val="005678FF"/>
    <w:rsid w:val="00573622"/>
    <w:rsid w:val="00590E74"/>
    <w:rsid w:val="005B0886"/>
    <w:rsid w:val="005C0E95"/>
    <w:rsid w:val="005C56BC"/>
    <w:rsid w:val="005E2203"/>
    <w:rsid w:val="005F5A6A"/>
    <w:rsid w:val="0060383C"/>
    <w:rsid w:val="006302AB"/>
    <w:rsid w:val="0065390D"/>
    <w:rsid w:val="006851E4"/>
    <w:rsid w:val="007039E5"/>
    <w:rsid w:val="007154E2"/>
    <w:rsid w:val="00775228"/>
    <w:rsid w:val="00793BFF"/>
    <w:rsid w:val="007B2E37"/>
    <w:rsid w:val="00845F6E"/>
    <w:rsid w:val="00873DFF"/>
    <w:rsid w:val="008B0CD3"/>
    <w:rsid w:val="008C3624"/>
    <w:rsid w:val="008C4BFB"/>
    <w:rsid w:val="008E5D5F"/>
    <w:rsid w:val="008E5D99"/>
    <w:rsid w:val="00911CE9"/>
    <w:rsid w:val="00914EF9"/>
    <w:rsid w:val="00917406"/>
    <w:rsid w:val="0093101C"/>
    <w:rsid w:val="00944456"/>
    <w:rsid w:val="0096362E"/>
    <w:rsid w:val="009664AD"/>
    <w:rsid w:val="009728BC"/>
    <w:rsid w:val="009C695E"/>
    <w:rsid w:val="009D3A0A"/>
    <w:rsid w:val="009E0159"/>
    <w:rsid w:val="009F07D0"/>
    <w:rsid w:val="00A008E5"/>
    <w:rsid w:val="00A01883"/>
    <w:rsid w:val="00A32D6E"/>
    <w:rsid w:val="00A403BE"/>
    <w:rsid w:val="00A4268B"/>
    <w:rsid w:val="00A440E5"/>
    <w:rsid w:val="00A60B23"/>
    <w:rsid w:val="00A72765"/>
    <w:rsid w:val="00A92F6C"/>
    <w:rsid w:val="00A97CAE"/>
    <w:rsid w:val="00AA354F"/>
    <w:rsid w:val="00AF538F"/>
    <w:rsid w:val="00B04C0E"/>
    <w:rsid w:val="00B16338"/>
    <w:rsid w:val="00B21662"/>
    <w:rsid w:val="00B23E18"/>
    <w:rsid w:val="00B26D48"/>
    <w:rsid w:val="00B40388"/>
    <w:rsid w:val="00B45FE5"/>
    <w:rsid w:val="00BB2756"/>
    <w:rsid w:val="00BC17BD"/>
    <w:rsid w:val="00BE4A45"/>
    <w:rsid w:val="00C054D3"/>
    <w:rsid w:val="00C14D4A"/>
    <w:rsid w:val="00C17647"/>
    <w:rsid w:val="00C17821"/>
    <w:rsid w:val="00C4219F"/>
    <w:rsid w:val="00C75747"/>
    <w:rsid w:val="00C77320"/>
    <w:rsid w:val="00C77A98"/>
    <w:rsid w:val="00C8653C"/>
    <w:rsid w:val="00C926FC"/>
    <w:rsid w:val="00C9614D"/>
    <w:rsid w:val="00CC314A"/>
    <w:rsid w:val="00CD50A7"/>
    <w:rsid w:val="00CE3EF5"/>
    <w:rsid w:val="00CE605D"/>
    <w:rsid w:val="00D1326D"/>
    <w:rsid w:val="00D23358"/>
    <w:rsid w:val="00D505BA"/>
    <w:rsid w:val="00D601E6"/>
    <w:rsid w:val="00D66E5D"/>
    <w:rsid w:val="00D7315E"/>
    <w:rsid w:val="00D942F1"/>
    <w:rsid w:val="00DA4E0C"/>
    <w:rsid w:val="00DB1B74"/>
    <w:rsid w:val="00DB62B8"/>
    <w:rsid w:val="00DC0F73"/>
    <w:rsid w:val="00DC352C"/>
    <w:rsid w:val="00DF7602"/>
    <w:rsid w:val="00E25B3B"/>
    <w:rsid w:val="00E35227"/>
    <w:rsid w:val="00E444F9"/>
    <w:rsid w:val="00E45905"/>
    <w:rsid w:val="00E45BA2"/>
    <w:rsid w:val="00E97BA1"/>
    <w:rsid w:val="00EA1E4F"/>
    <w:rsid w:val="00EB63E2"/>
    <w:rsid w:val="00EC01F1"/>
    <w:rsid w:val="00EC765C"/>
    <w:rsid w:val="00F13AA5"/>
    <w:rsid w:val="00F26068"/>
    <w:rsid w:val="00F279A9"/>
    <w:rsid w:val="00F41848"/>
    <w:rsid w:val="00F60BD9"/>
    <w:rsid w:val="00F63157"/>
    <w:rsid w:val="00F726F5"/>
    <w:rsid w:val="00F76D33"/>
    <w:rsid w:val="00F940C6"/>
    <w:rsid w:val="00FB0D87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Pataisymai">
    <w:name w:val="Revision"/>
    <w:hidden/>
    <w:semiHidden/>
    <w:rsid w:val="00C054D3"/>
  </w:style>
  <w:style w:type="character" w:styleId="Hipersaitas">
    <w:name w:val="Hyperlink"/>
    <w:basedOn w:val="Numatytasispastraiposriftas"/>
    <w:unhideWhenUsed/>
    <w:rsid w:val="00C054D3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DF76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F76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F760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F76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F7602"/>
    <w:rPr>
      <w:b/>
      <w:bCs/>
      <w:sz w:val="20"/>
    </w:rPr>
  </w:style>
  <w:style w:type="paragraph" w:customStyle="1" w:styleId="Default">
    <w:name w:val="Default"/>
    <w:rsid w:val="00C77320"/>
    <w:pPr>
      <w:suppressAutoHyphens/>
      <w:autoSpaceDE w:val="0"/>
      <w:autoSpaceDN w:val="0"/>
      <w:textAlignment w:val="baseline"/>
    </w:pPr>
    <w:rPr>
      <w:rFonts w:eastAsia="Calibri"/>
      <w:color w:val="000000"/>
      <w:szCs w:val="24"/>
      <w:lang w:val="en-US"/>
    </w:rPr>
  </w:style>
  <w:style w:type="paragraph" w:styleId="Sraopastraipa">
    <w:name w:val="List Paragraph"/>
    <w:basedOn w:val="prastasis"/>
    <w:rsid w:val="00944456"/>
    <w:pPr>
      <w:ind w:left="720"/>
      <w:contextualSpacing/>
    </w:pPr>
  </w:style>
  <w:style w:type="paragraph" w:styleId="prastasiniatinklio">
    <w:name w:val="Normal (Web)"/>
    <w:basedOn w:val="prastasis"/>
    <w:semiHidden/>
    <w:unhideWhenUsed/>
    <w:rsid w:val="003B23D8"/>
    <w:rPr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ligonine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E1C29-7121-4197-8F32-91F9AEA68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7661</Words>
  <Characters>4368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Aušra Baltrušaitė</cp:lastModifiedBy>
  <cp:revision>6</cp:revision>
  <cp:lastPrinted>2017-06-29T23:42:00Z</cp:lastPrinted>
  <dcterms:created xsi:type="dcterms:W3CDTF">2025-07-29T08:54:00Z</dcterms:created>
  <dcterms:modified xsi:type="dcterms:W3CDTF">2025-07-31T10:17:00Z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