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3C307E61" w:rsidR="00D76AC9" w:rsidRPr="00D76AC9" w:rsidRDefault="00D76AC9" w:rsidP="00E7593D">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703E9F12"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B957B8">
        <w:rPr>
          <w:b/>
          <w:bCs/>
        </w:rPr>
        <w:t>R</w:t>
      </w:r>
      <w:r w:rsidR="00430474">
        <w:rPr>
          <w:b/>
          <w:bCs/>
        </w:rPr>
        <w:t>ingaudų</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64382515" w:rsidR="00062C2B" w:rsidRPr="007A3DBC" w:rsidRDefault="00430474" w:rsidP="00B73A9B">
            <w:pPr>
              <w:jc w:val="left"/>
            </w:pPr>
            <w:r w:rsidRPr="00430474">
              <w:t>Rūta Slivinskienė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3403EFBA" w:rsidR="00062C2B" w:rsidRPr="00A927B4" w:rsidRDefault="00430474" w:rsidP="005E5E7B">
            <w:pPr>
              <w:pStyle w:val="Sraopastraipa"/>
              <w:spacing w:line="240" w:lineRule="auto"/>
              <w:ind w:left="0"/>
              <w:jc w:val="left"/>
            </w:pPr>
            <w:r w:rsidRPr="00430474">
              <w:t>Studentų g. 3, 53358</w:t>
            </w:r>
            <w:r>
              <w:t xml:space="preserve"> </w:t>
            </w:r>
            <w:r w:rsidRPr="00430474">
              <w:t>Akademij</w:t>
            </w:r>
            <w:r>
              <w:t>a</w:t>
            </w:r>
            <w:r w:rsidRPr="00430474">
              <w:t xml:space="preserve">, </w:t>
            </w:r>
            <w:r>
              <w:br/>
            </w:r>
            <w:r w:rsidRPr="00430474">
              <w:t>Kauno r.</w:t>
            </w:r>
          </w:p>
        </w:tc>
        <w:tc>
          <w:tcPr>
            <w:tcW w:w="4013" w:type="dxa"/>
          </w:tcPr>
          <w:p w14:paraId="4502A0E7" w14:textId="4D2EA53C" w:rsidR="00062C2B" w:rsidRPr="00A927B4" w:rsidRDefault="00382C67" w:rsidP="005E5E7B">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3E1D4E88" w:rsidR="00062C2B" w:rsidRPr="00A927B4" w:rsidRDefault="00430474" w:rsidP="00505385">
            <w:pPr>
              <w:pStyle w:val="Sraopastraipa"/>
              <w:ind w:left="0"/>
              <w:jc w:val="left"/>
            </w:pPr>
            <w:r w:rsidRPr="00430474">
              <w:t>(+370 687) 88 135</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260E20EE" w:rsidR="00062C2B" w:rsidRPr="007A3DBC" w:rsidRDefault="00430474" w:rsidP="00505385">
            <w:pPr>
              <w:pStyle w:val="Sraopastraipa"/>
              <w:ind w:left="0"/>
              <w:jc w:val="left"/>
            </w:pPr>
            <w:r w:rsidRPr="00430474">
              <w:t>seniunija@ringaudai.krs.lt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DF5A15">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DF5A15">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5DF38895" w14:textId="77777777" w:rsidR="00F65EEF" w:rsidRDefault="00A83C71" w:rsidP="00DF5A15">
            <w:pPr>
              <w:pStyle w:val="Sraopastraipa"/>
              <w:ind w:left="0"/>
              <w:contextualSpacing w:val="0"/>
              <w:rPr>
                <w:noProof/>
              </w:rPr>
            </w:pPr>
            <w:r w:rsidRPr="00A83C71">
              <w:rPr>
                <w:noProof/>
              </w:rPr>
              <w:t>Giedrius Šidlauskas</w:t>
            </w:r>
          </w:p>
          <w:p w14:paraId="60D0F407" w14:textId="77777777" w:rsidR="00B77DE7" w:rsidRDefault="00B77DE7"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1B5D" w14:textId="77777777" w:rsidR="0080579B" w:rsidRDefault="0080579B" w:rsidP="00420370">
      <w:pPr>
        <w:spacing w:line="240" w:lineRule="auto"/>
      </w:pPr>
      <w:r>
        <w:separator/>
      </w:r>
    </w:p>
  </w:endnote>
  <w:endnote w:type="continuationSeparator" w:id="0">
    <w:p w14:paraId="7A61A03F" w14:textId="77777777" w:rsidR="0080579B" w:rsidRDefault="0080579B"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AF07" w14:textId="77777777" w:rsidR="0080579B" w:rsidRDefault="0080579B" w:rsidP="00420370">
      <w:pPr>
        <w:spacing w:line="240" w:lineRule="auto"/>
      </w:pPr>
      <w:r>
        <w:separator/>
      </w:r>
    </w:p>
  </w:footnote>
  <w:footnote w:type="continuationSeparator" w:id="0">
    <w:p w14:paraId="247CAA10" w14:textId="77777777" w:rsidR="0080579B" w:rsidRDefault="0080579B"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90C7A"/>
    <w:rsid w:val="00493FBB"/>
    <w:rsid w:val="004951E8"/>
    <w:rsid w:val="00495CC4"/>
    <w:rsid w:val="004A75B2"/>
    <w:rsid w:val="004C045B"/>
    <w:rsid w:val="004C7E33"/>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7291"/>
    <w:rsid w:val="00A77416"/>
    <w:rsid w:val="00A8332A"/>
    <w:rsid w:val="00A83C71"/>
    <w:rsid w:val="00A91987"/>
    <w:rsid w:val="00A927B4"/>
    <w:rsid w:val="00AB4BE9"/>
    <w:rsid w:val="00AB7C95"/>
    <w:rsid w:val="00AC7273"/>
    <w:rsid w:val="00AE15EE"/>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4782"/>
    <w:rsid w:val="00BD04FA"/>
    <w:rsid w:val="00BD2A0A"/>
    <w:rsid w:val="00BD34AA"/>
    <w:rsid w:val="00BD4948"/>
    <w:rsid w:val="00BE53FD"/>
    <w:rsid w:val="00BE7DAC"/>
    <w:rsid w:val="00C32580"/>
    <w:rsid w:val="00C350C9"/>
    <w:rsid w:val="00C357C4"/>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A49E1"/>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11654</Words>
  <Characters>6643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2025-11-11T07:52:00Z</dcterms:created>
  <dcterms:modified xsi:type="dcterms:W3CDTF">2025-11-11T07:52:00Z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