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AD60" w14:textId="06313E1A" w:rsidR="008B451E" w:rsidRDefault="004F5404" w:rsidP="003E74A9">
      <w:pPr>
        <w:ind w:left="6480"/>
        <w:rPr>
          <w:b/>
        </w:rPr>
      </w:pPr>
      <w:r>
        <w:rPr>
          <w:rFonts w:eastAsia="Calibri"/>
          <w:szCs w:val="22"/>
        </w:rPr>
        <w:t xml:space="preserve">       </w:t>
      </w:r>
      <w:r w:rsidR="00010655">
        <w:rPr>
          <w:rFonts w:eastAsia="Calibri"/>
          <w:szCs w:val="22"/>
        </w:rPr>
        <w:t xml:space="preserve">     </w:t>
      </w:r>
    </w:p>
    <w:p w14:paraId="6988F604" w14:textId="47C7312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3E74A9">
        <w:rPr>
          <w:b/>
        </w:rPr>
        <w:t>S</w:t>
      </w:r>
    </w:p>
    <w:p w14:paraId="23C24D7C" w14:textId="77777777" w:rsidR="002102BC" w:rsidRDefault="002102BC" w:rsidP="002102BC">
      <w:pPr>
        <w:ind w:left="2880" w:firstLine="720"/>
        <w:jc w:val="both"/>
      </w:pPr>
    </w:p>
    <w:p w14:paraId="7BF38BB0" w14:textId="20850EA8" w:rsidR="002102BC" w:rsidRDefault="00ED71C9" w:rsidP="002102BC">
      <w:pPr>
        <w:ind w:left="2880" w:firstLine="720"/>
        <w:jc w:val="both"/>
      </w:pPr>
      <w:r>
        <w:t>2025 m. gruodžio 17</w:t>
      </w:r>
      <w:r w:rsidR="002102BC">
        <w:t xml:space="preserve">  d.   Nr.</w:t>
      </w:r>
      <w:r>
        <w:t xml:space="preserve"> DPS-672</w:t>
      </w:r>
    </w:p>
    <w:p w14:paraId="4942D3C0" w14:textId="77777777" w:rsidR="002102BC" w:rsidRDefault="002102BC" w:rsidP="002102BC">
      <w:pPr>
        <w:ind w:left="3600"/>
        <w:jc w:val="both"/>
        <w:rPr>
          <w:i/>
          <w:sz w:val="20"/>
          <w:szCs w:val="20"/>
        </w:rPr>
      </w:pPr>
      <w:r>
        <w:t xml:space="preserve">                </w:t>
      </w:r>
      <w:r>
        <w:rPr>
          <w:i/>
          <w:sz w:val="20"/>
          <w:szCs w:val="20"/>
        </w:rP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56617891" w:rsidR="001E2757" w:rsidRDefault="001E2757" w:rsidP="006F2E3C">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6F2E3C">
        <w:t>GRA Atsargų valdymo departamento direktoriaus plk. ltn. Audriaus Buivydo</w:t>
      </w:r>
      <w:r w:rsidR="006F2E3C" w:rsidRPr="0028680C">
        <w:t>, veikiančio pagal</w:t>
      </w:r>
      <w:r w:rsidR="006F2E3C">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rsidR="007270A2">
        <w:t xml:space="preserve"> </w:t>
      </w:r>
      <w:r w:rsidR="00BF01A7" w:rsidRPr="00A76B28">
        <w:rPr>
          <w:b/>
        </w:rPr>
        <w:t xml:space="preserve">UAB </w:t>
      </w:r>
      <w:r w:rsidR="00BF01A7">
        <w:rPr>
          <w:b/>
        </w:rPr>
        <w:t>„Samsonas“</w:t>
      </w:r>
      <w:r w:rsidR="00BF01A7" w:rsidRPr="0028680C">
        <w:t>, atstovaujama</w:t>
      </w:r>
      <w:r w:rsidR="00BF01A7">
        <w:t xml:space="preserve"> generalinio direktoriaus pavaduotojo Andriaus Lepinaičio, veikiančio pagal 2024 m. gruodžio 13 d. generalinio direktoriaus Henriko </w:t>
      </w:r>
      <w:proofErr w:type="spellStart"/>
      <w:r w:rsidR="00BF01A7">
        <w:t>Urbštos</w:t>
      </w:r>
      <w:proofErr w:type="spellEnd"/>
      <w:r w:rsidR="00BF01A7">
        <w:t xml:space="preserve"> įgaliojimą Nr. i20/2024</w:t>
      </w:r>
      <w:r w:rsidR="00BF01A7" w:rsidRPr="0028680C">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D72A3B">
        <w:rPr>
          <w:color w:val="000000" w:themeColor="text1"/>
        </w:rPr>
        <w:t xml:space="preserve"> m. rugpjūčio 6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A46A61">
        <w:rPr>
          <w:color w:val="000000" w:themeColor="text1"/>
        </w:rPr>
        <w:t>Miltiniai gaminiai</w:t>
      </w:r>
      <w:r w:rsidR="00D72A3B">
        <w:rPr>
          <w:color w:val="000000" w:themeColor="text1"/>
        </w:rPr>
        <w:t xml:space="preserve">“ (pirkimo </w:t>
      </w:r>
      <w:r w:rsidR="00D72A3B">
        <w:rPr>
          <w:spacing w:val="4"/>
        </w:rPr>
        <w:t>ID 3968881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FDBB699" w:rsidR="0051758C" w:rsidRPr="00C07D2A" w:rsidRDefault="0051758C">
            <w:pPr>
              <w:jc w:val="both"/>
              <w:rPr>
                <w:lang w:val="en-US" w:eastAsia="en-US"/>
              </w:rPr>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w:t>
            </w:r>
            <w:r w:rsidR="00A46A61" w:rsidRPr="00A91497">
              <w:t>pristatyti</w:t>
            </w:r>
            <w:r w:rsidR="00A46A61">
              <w:t xml:space="preserve"> </w:t>
            </w:r>
            <w:r w:rsidR="00E40EB7" w:rsidRPr="00E40EB7">
              <w:rPr>
                <w:b/>
              </w:rPr>
              <w:t>mėsainio bandelę  su sezamo sėklomis (užšaldyta),</w:t>
            </w:r>
            <w:r w:rsidR="00E40EB7">
              <w:t xml:space="preserve"> </w:t>
            </w:r>
            <w:r w:rsidR="00E40EB7" w:rsidRPr="00E40EB7">
              <w:rPr>
                <w:b/>
              </w:rPr>
              <w:t>viso grūdo ruginę duoną</w:t>
            </w:r>
            <w:r w:rsidR="00E40EB7">
              <w:t xml:space="preserve">, </w:t>
            </w:r>
            <w:r w:rsidR="007D35C8" w:rsidRPr="007D35C8">
              <w:rPr>
                <w:b/>
              </w:rPr>
              <w:t>koldūnus su daržovėmis</w:t>
            </w:r>
            <w:r w:rsidR="007D35C8">
              <w:t xml:space="preserve">, </w:t>
            </w:r>
            <w:r w:rsidR="007D35C8" w:rsidRPr="007D35C8">
              <w:rPr>
                <w:b/>
              </w:rPr>
              <w:t xml:space="preserve">miltinius </w:t>
            </w:r>
            <w:proofErr w:type="spellStart"/>
            <w:r w:rsidR="007D35C8" w:rsidRPr="007D35C8">
              <w:rPr>
                <w:b/>
              </w:rPr>
              <w:t>virtinukus</w:t>
            </w:r>
            <w:proofErr w:type="spellEnd"/>
            <w:r w:rsidR="007D35C8" w:rsidRPr="007D35C8">
              <w:rPr>
                <w:b/>
              </w:rPr>
              <w:t xml:space="preserve"> ,,Ežiukai"</w:t>
            </w:r>
            <w:r w:rsidR="007D35C8">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28D5011A" w:rsidR="004D7B17" w:rsidRPr="001D3F90"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397C2A">
              <w:t xml:space="preserve"> sutarties </w:t>
            </w:r>
            <w:r w:rsidR="00112E84">
              <w:t xml:space="preserve">vertė </w:t>
            </w:r>
            <w:r w:rsidR="00124B81">
              <w:t xml:space="preserve">420 362,40 </w:t>
            </w:r>
            <w:proofErr w:type="spellStart"/>
            <w:r w:rsidR="004D7B17" w:rsidRPr="004D7B17">
              <w:t>Eur</w:t>
            </w:r>
            <w:proofErr w:type="spellEnd"/>
            <w:r w:rsidR="004D7B17" w:rsidRPr="004D7B17">
              <w:t xml:space="preserve"> (</w:t>
            </w:r>
            <w:r w:rsidR="00124B81">
              <w:rPr>
                <w:i/>
              </w:rPr>
              <w:t>keturi</w:t>
            </w:r>
            <w:r w:rsidR="00CC12D5">
              <w:rPr>
                <w:i/>
              </w:rPr>
              <w:t xml:space="preserve"> šimtai </w:t>
            </w:r>
            <w:r w:rsidR="00124B81">
              <w:rPr>
                <w:i/>
              </w:rPr>
              <w:t xml:space="preserve">dvidešimt </w:t>
            </w:r>
            <w:r w:rsidR="00656499">
              <w:rPr>
                <w:i/>
              </w:rPr>
              <w:t xml:space="preserve">tūkstančių trys šimtai šešiasdešimt du </w:t>
            </w:r>
            <w:r w:rsidR="00124B81">
              <w:rPr>
                <w:i/>
              </w:rPr>
              <w:t>eurai 40</w:t>
            </w:r>
            <w:r w:rsidR="00112E84">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021DBD">
              <w:t xml:space="preserve"> ir </w:t>
            </w:r>
            <w:r w:rsidR="00124B81">
              <w:t xml:space="preserve">508 638,50 </w:t>
            </w:r>
            <w:proofErr w:type="spellStart"/>
            <w:r w:rsidR="00AE2D8A">
              <w:rPr>
                <w:rFonts w:eastAsia="Calibri"/>
                <w:color w:val="000000"/>
              </w:rPr>
              <w:t>Eur</w:t>
            </w:r>
            <w:proofErr w:type="spellEnd"/>
            <w:r w:rsidR="00AE2D8A">
              <w:rPr>
                <w:rFonts w:eastAsia="Calibri"/>
                <w:color w:val="000000"/>
              </w:rPr>
              <w:t xml:space="preserve"> (</w:t>
            </w:r>
            <w:r w:rsidR="00124B81">
              <w:rPr>
                <w:rFonts w:eastAsia="Calibri"/>
                <w:i/>
                <w:color w:val="000000"/>
              </w:rPr>
              <w:t>penki šimtai aštuoni tūkstančiai šeši šimtai trisdešimt aštuoni eurai 50</w:t>
            </w:r>
            <w:r w:rsidR="00021DBD" w:rsidRPr="00021DBD">
              <w:rPr>
                <w:rFonts w:eastAsia="Calibri"/>
                <w:i/>
                <w:color w:val="000000"/>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 xml:space="preserve">21 </w:t>
            </w:r>
            <w:r w:rsidR="00945D4B">
              <w:rPr>
                <w:rFonts w:eastAsia="Calibri"/>
                <w:color w:val="000000"/>
              </w:rPr>
              <w:t>proc. PVM</w:t>
            </w:r>
            <w:r w:rsidR="00AE2D8A">
              <w:rPr>
                <w:rFonts w:eastAsia="Calibri"/>
                <w:color w:val="000000"/>
              </w:rPr>
              <w:t>.</w:t>
            </w:r>
          </w:p>
          <w:p w14:paraId="6AD34126" w14:textId="3E7575D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w:t>
            </w:r>
            <w:r w:rsidR="001059D6" w:rsidRPr="001059D6">
              <w:lastRenderedPageBreak/>
              <w:t>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BB1A02" w:rsidRDefault="004D7B17" w:rsidP="00A44A73">
            <w:pPr>
              <w:jc w:val="both"/>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234F05"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BB1A02">
              <w:t xml:space="preserve"> </w:t>
            </w:r>
            <w:r w:rsidR="00BB1A02"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4B126E1"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BB1A02">
              <w:rPr>
                <w:lang w:eastAsia="en-US"/>
              </w:rPr>
              <w:t>pateikimo</w:t>
            </w:r>
            <w:r w:rsidR="00BB1A02" w:rsidRPr="00AD3525">
              <w:rPr>
                <w:lang w:eastAsia="en-US"/>
              </w:rPr>
              <w:t xml:space="preserve"> </w:t>
            </w:r>
            <w:r w:rsidR="00A25A50" w:rsidRPr="00AD3525">
              <w:rPr>
                <w:lang w:eastAsia="en-US"/>
              </w:rPr>
              <w:t>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4D08D6E2" w:rsidR="00705258" w:rsidRPr="00BE38CC" w:rsidRDefault="00705258" w:rsidP="00945D4B">
            <w:pPr>
              <w:jc w:val="both"/>
              <w:rPr>
                <w:rFonts w:eastAsia="Calibri"/>
              </w:rPr>
            </w:pPr>
            <w:r w:rsidRPr="00204990">
              <w:rPr>
                <w:rFonts w:eastAsia="Calibri"/>
              </w:rPr>
              <w:t>3.8</w:t>
            </w:r>
            <w:r w:rsidRPr="00945D4B">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 xml:space="preserve">15 </w:t>
            </w:r>
            <w:r w:rsidR="00945D4B">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D5C4E92"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BB1A02">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BF95D4A" w:rsidR="0051758C" w:rsidRDefault="004D7B17" w:rsidP="00BB1A02">
            <w:pPr>
              <w:jc w:val="both"/>
              <w:rPr>
                <w:b/>
              </w:rPr>
            </w:pPr>
            <w:r>
              <w:t>5.2</w:t>
            </w:r>
            <w:r w:rsidR="00A25A50" w:rsidRPr="00F025EE">
              <w:t xml:space="preserve">. Kitais Sutarties </w:t>
            </w:r>
            <w:r w:rsidR="00BB1A02">
              <w:t xml:space="preserve">Specialiosios dalies 9.6, </w:t>
            </w:r>
            <w:r w:rsidR="00A25A50" w:rsidRPr="00F025EE">
              <w:t xml:space="preserve">Bendrosios dalies 9.2 </w:t>
            </w:r>
            <w:r w:rsidR="00344DAF">
              <w:t>punkt</w:t>
            </w:r>
            <w:r w:rsidR="00BB1A02">
              <w:t>uos</w:t>
            </w:r>
            <w:r w:rsidR="00344DAF">
              <w: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487CAB43"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BB1A02">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6B03486B"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1C2F8D6"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BB1A02">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1CB98112"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AE0DAA">
              <w:t>tartų min</w:t>
            </w:r>
            <w:r w:rsidR="00B20FB4">
              <w:t xml:space="preserve">imalių nuostolių dydis </w:t>
            </w:r>
            <w:r w:rsidR="001C5E20">
              <w:t xml:space="preserve">29 425,37 </w:t>
            </w:r>
            <w:proofErr w:type="spellStart"/>
            <w:r w:rsidR="004D7B17" w:rsidRPr="004625D0">
              <w:rPr>
                <w:bCs/>
              </w:rPr>
              <w:t>Eur</w:t>
            </w:r>
            <w:proofErr w:type="spellEnd"/>
            <w:r w:rsidR="004D7B17" w:rsidRPr="004625D0">
              <w:rPr>
                <w:bCs/>
              </w:rPr>
              <w:t xml:space="preserve"> (</w:t>
            </w:r>
            <w:r w:rsidR="00E7300D">
              <w:rPr>
                <w:bCs/>
                <w:i/>
              </w:rPr>
              <w:t>dvidešimt devyni tūkstančiai keturi šimtai dvidešimt penki eurai 37</w:t>
            </w:r>
            <w:r w:rsidR="00AE0DAA">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0E93A07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4141B3">
              <w:t xml:space="preserve"> </w:t>
            </w:r>
            <w:r w:rsidR="00E7300D">
              <w:t>63 054,36</w:t>
            </w:r>
            <w:r w:rsidR="00793E5E">
              <w:t xml:space="preserve"> </w:t>
            </w:r>
            <w:proofErr w:type="spellStart"/>
            <w:r w:rsidR="00793E5E">
              <w:t>Eur</w:t>
            </w:r>
            <w:proofErr w:type="spellEnd"/>
            <w:r w:rsidR="00793E5E">
              <w:t xml:space="preserve"> (</w:t>
            </w:r>
            <w:r w:rsidR="00E7300D">
              <w:rPr>
                <w:i/>
              </w:rPr>
              <w:t>šešiasdešimt trys tūkstančiai penkiasdešimt keturi eurai 36</w:t>
            </w:r>
            <w:r w:rsidR="00793E5E" w:rsidRPr="00793E5E">
              <w:rPr>
                <w:i/>
              </w:rPr>
              <w:t xml:space="preserve"> ct</w:t>
            </w:r>
            <w:r w:rsidR="00793E5E">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5A293C" w:rsidR="00E20F85" w:rsidRPr="000814BD" w:rsidRDefault="00E20F85" w:rsidP="00E20F85">
            <w:pPr>
              <w:jc w:val="both"/>
            </w:pPr>
            <w:r>
              <w:t xml:space="preserve">9.6. </w:t>
            </w:r>
            <w:r w:rsidRPr="00950E34">
              <w:rPr>
                <w:b/>
              </w:rPr>
              <w:t>Pardavėjas</w:t>
            </w:r>
            <w:r w:rsidRPr="000814BD">
              <w:t xml:space="preserve"> įsipareigoja susipažinti ir </w:t>
            </w:r>
            <w:r w:rsidR="006D32DC">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645A3A4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w:t>
            </w:r>
            <w:r w:rsidR="006D32DC">
              <w:t xml:space="preserve"> dali</w:t>
            </w:r>
            <w:r w:rsidRPr="000814BD">
              <w:t>e</w:t>
            </w:r>
            <w:r w:rsidR="006D32DC">
              <w:t>s 9.2 punkto</w:t>
            </w:r>
            <w:r w:rsidRPr="000814BD">
              <w:t xml:space="preserve"> sąlygose nustatyta tvarka.</w:t>
            </w:r>
          </w:p>
          <w:p w14:paraId="6D2136C5" w14:textId="3CCE4152" w:rsidR="00204990" w:rsidRDefault="00204990" w:rsidP="00E20F85">
            <w:pPr>
              <w:jc w:val="both"/>
            </w:pPr>
            <w:r>
              <w:t>9.7.</w:t>
            </w:r>
            <w:r w:rsidRPr="00204990">
              <w:rPr>
                <w:color w:val="000000"/>
                <w:kern w:val="2"/>
                <w:lang w:eastAsia="en-US"/>
              </w:rPr>
              <w:t xml:space="preserve">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6D32DC">
              <w:rPr>
                <w:color w:val="000000"/>
                <w:kern w:val="2"/>
                <w:lang w:eastAsia="en-US"/>
              </w:rPr>
              <w:t>Specialiosios dalies</w:t>
            </w:r>
            <w:r w:rsidRPr="00204990">
              <w:rPr>
                <w:color w:val="000000"/>
                <w:kern w:val="2"/>
                <w:lang w:eastAsia="en-US"/>
              </w:rPr>
              <w:t xml:space="preserve"> </w:t>
            </w:r>
            <w:r w:rsidR="00695963">
              <w:rPr>
                <w:color w:val="000000"/>
                <w:kern w:val="2"/>
                <w:lang w:eastAsia="en-US"/>
              </w:rPr>
              <w:t>3.8</w:t>
            </w:r>
            <w:r w:rsidRPr="00204990">
              <w:rPr>
                <w:color w:val="000000"/>
                <w:kern w:val="2"/>
                <w:lang w:eastAsia="en-US"/>
              </w:rPr>
              <w:t xml:space="preserve"> punktas) įgyvendinimu ir 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 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eurų) </w:t>
            </w:r>
            <w:proofErr w:type="spellStart"/>
            <w:r w:rsidRPr="00204990">
              <w:rPr>
                <w:color w:val="000000"/>
                <w:kern w:val="2"/>
                <w:lang w:eastAsia="en-US"/>
              </w:rPr>
              <w:t>Eur</w:t>
            </w:r>
            <w:proofErr w:type="spellEnd"/>
            <w:r w:rsidRPr="00204990">
              <w:rPr>
                <w:color w:val="000000"/>
                <w:kern w:val="2"/>
                <w:lang w:eastAsia="en-US"/>
              </w:rPr>
              <w:t xml:space="preserve">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w:t>
            </w:r>
            <w:r w:rsidR="006D32DC">
              <w:rPr>
                <w:color w:val="000000"/>
                <w:kern w:val="2"/>
                <w:lang w:eastAsia="en-US"/>
              </w:rPr>
              <w:t xml:space="preserve">tą patį </w:t>
            </w:r>
            <w:r w:rsidRPr="00204990">
              <w:rPr>
                <w:color w:val="000000"/>
                <w:kern w:val="2"/>
                <w:lang w:eastAsia="en-US"/>
              </w:rPr>
              <w:t xml:space="preserve">ketvirtį, nesilaiko </w:t>
            </w:r>
            <w:r w:rsidR="006D32DC">
              <w:rPr>
                <w:color w:val="000000"/>
                <w:kern w:val="2"/>
                <w:lang w:eastAsia="en-US"/>
              </w:rPr>
              <w:t xml:space="preserve">minėtų </w:t>
            </w:r>
            <w:r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6D32DC">
              <w:rPr>
                <w:color w:val="000000"/>
                <w:kern w:val="2"/>
                <w:lang w:eastAsia="en-US"/>
              </w:rPr>
              <w:t xml:space="preserve">ir </w:t>
            </w:r>
            <w:r w:rsidRPr="00204990">
              <w:rPr>
                <w:color w:val="000000"/>
                <w:kern w:val="2"/>
                <w:lang w:eastAsia="en-US"/>
              </w:rPr>
              <w:t>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w:t>
            </w:r>
            <w:r w:rsidRPr="00204990">
              <w:rPr>
                <w:color w:val="000000"/>
                <w:kern w:val="2"/>
                <w:lang w:eastAsia="en-US"/>
              </w:rPr>
              <w:t xml:space="preserve"> </w:t>
            </w:r>
            <w:r w:rsidR="006D32DC">
              <w:rPr>
                <w:color w:val="000000"/>
                <w:kern w:val="2"/>
                <w:lang w:eastAsia="en-US"/>
              </w:rPr>
              <w:t>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eurų) </w:t>
            </w:r>
            <w:proofErr w:type="spellStart"/>
            <w:r w:rsidRPr="00204990">
              <w:rPr>
                <w:color w:val="000000"/>
                <w:kern w:val="2"/>
                <w:lang w:eastAsia="en-US"/>
              </w:rPr>
              <w:t>Eur</w:t>
            </w:r>
            <w:proofErr w:type="spellEnd"/>
            <w:r w:rsidR="006D32DC">
              <w:rPr>
                <w:color w:val="000000"/>
                <w:kern w:val="2"/>
                <w:lang w:eastAsia="en-US"/>
              </w:rPr>
              <w:t xml:space="preserve"> dydžio baudą</w:t>
            </w:r>
            <w:r>
              <w:rPr>
                <w:color w:val="000000"/>
                <w:kern w:val="2"/>
                <w:lang w:eastAsia="en-US"/>
              </w:rPr>
              <w:t>.</w:t>
            </w:r>
          </w:p>
          <w:p w14:paraId="3AC4CB8A" w14:textId="307AA7B9"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AB6915">
              <w:t>yti subtiekėjo (-ų) nepasitelks.</w:t>
            </w:r>
          </w:p>
          <w:p w14:paraId="53693F01" w14:textId="250E26F0" w:rsidR="004B51ED" w:rsidRDefault="00E20F85" w:rsidP="00BF1731">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BF1731">
              <w:t>rekių kokybę atsakinga</w:t>
            </w:r>
            <w:r w:rsidR="00841B00">
              <w:t>s</w:t>
            </w:r>
            <w:r w:rsidR="003C486F">
              <w:t xml:space="preserve"> </w:t>
            </w:r>
            <w:r w:rsidR="00841B00" w:rsidRPr="00EA2FC9">
              <w:t>Generalinio direktoriaus pavaduotojas Andrius Lepinaitis,</w:t>
            </w:r>
            <w:r w:rsidR="00EE4AC7">
              <w:t xml:space="preserve">   </w:t>
            </w:r>
            <w:r w:rsidR="00841B00" w:rsidRPr="004625D0">
              <w:t>.</w:t>
            </w:r>
            <w:r w:rsidR="00841B00">
              <w:t xml:space="preserve"> </w:t>
            </w:r>
          </w:p>
          <w:p w14:paraId="1B1CCDB5" w14:textId="3B0C49FC" w:rsidR="00EE4AC7" w:rsidRPr="00D4028D" w:rsidRDefault="00BF1731" w:rsidP="00BF1731">
            <w:pPr>
              <w:jc w:val="both"/>
            </w:pPr>
            <w:r>
              <w:t>9.10</w:t>
            </w:r>
            <w:r w:rsidRPr="004625D0">
              <w:t xml:space="preserve">. </w:t>
            </w:r>
            <w:r w:rsidRPr="004625D0">
              <w:rPr>
                <w:b/>
              </w:rPr>
              <w:t>Pirkėjo</w:t>
            </w:r>
            <w:r w:rsidRPr="004625D0">
              <w:t xml:space="preserve"> atstovas (-ai): už Sutarties vykdymą</w:t>
            </w:r>
            <w:r>
              <w:t xml:space="preserve"> atsakinga</w:t>
            </w:r>
            <w:r w:rsidRPr="004625D0">
              <w:t xml:space="preserve"> </w:t>
            </w:r>
            <w:r w:rsidRPr="000851A4">
              <w:t xml:space="preserve">Rima </w:t>
            </w:r>
            <w:proofErr w:type="spellStart"/>
            <w:r w:rsidRPr="000851A4">
              <w:t>Tuganauskaitė</w:t>
            </w:r>
            <w:proofErr w:type="spellEnd"/>
            <w:r w:rsidRPr="000851A4">
              <w:t xml:space="preserve">, tel. Nr. +370 </w:t>
            </w:r>
          </w:p>
          <w:p w14:paraId="4CE489FB" w14:textId="4EA86AAB" w:rsidR="00BF1731" w:rsidRPr="00C57604" w:rsidRDefault="00BF1731" w:rsidP="00BF1731">
            <w:pPr>
              <w:autoSpaceDE w:val="0"/>
              <w:autoSpaceDN w:val="0"/>
              <w:adjustRightInd w:val="0"/>
              <w:contextualSpacing/>
              <w:jc w:val="both"/>
              <w:rPr>
                <w:color w:val="000000"/>
              </w:rPr>
            </w:pPr>
            <w:r>
              <w:t xml:space="preserve">9.11. </w:t>
            </w:r>
            <w:r w:rsidRPr="002258BA">
              <w:t>Asmuo, atsakingas už Sutarties paskelbimą –</w:t>
            </w:r>
            <w:r>
              <w:t xml:space="preserve"> </w:t>
            </w:r>
            <w:r w:rsidRPr="00C57604">
              <w:rPr>
                <w:color w:val="000000"/>
              </w:rPr>
              <w:t>Vilija Burokienė, GRA prie KAM Karinių atsargų įsigijimų koordinavimo skyriaus vyriausioji specialistė, tel., el. p.</w:t>
            </w:r>
            <w:r w:rsidR="00EE4AC7">
              <w:t xml:space="preserve">  </w:t>
            </w:r>
            <w:r w:rsidRPr="00C57604">
              <w:rPr>
                <w:color w:val="000000"/>
              </w:rPr>
              <w:t>;</w:t>
            </w:r>
          </w:p>
          <w:p w14:paraId="768E3AE5" w14:textId="56C0BE92" w:rsidR="00BF1731" w:rsidRDefault="00BF1731" w:rsidP="00BF1731">
            <w:pPr>
              <w:jc w:val="both"/>
            </w:pPr>
            <w:r>
              <w:t xml:space="preserve">9.12. </w:t>
            </w:r>
            <w:r w:rsidRPr="002258BA">
              <w:t>Asmuo, atsakingas už Sutarties pakeitimų paskelbimą –</w:t>
            </w:r>
            <w:r>
              <w:t xml:space="preserve"> </w:t>
            </w:r>
            <w:r w:rsidRPr="00EA6D56">
              <w:t>Jurgita Narkevičienė tel.</w:t>
            </w:r>
            <w:r>
              <w:t xml:space="preserve"> </w:t>
            </w:r>
            <w:r w:rsidRPr="00EA6D56">
              <w:t xml:space="preserve">Nr. </w:t>
            </w:r>
            <w:r>
              <w:t xml:space="preserve">                  </w:t>
            </w:r>
            <w:bookmarkStart w:id="0" w:name="_GoBack"/>
            <w:bookmarkEnd w:id="0"/>
            <w:r w:rsidRPr="00AF1C1F">
              <w:rPr>
                <w:rStyle w:val="Hyperlink"/>
              </w:rPr>
              <w:t>.</w:t>
            </w:r>
            <w:r>
              <w:t xml:space="preserve"> </w:t>
            </w:r>
          </w:p>
          <w:p w14:paraId="497665CB" w14:textId="77777777" w:rsidR="00BF1731" w:rsidRPr="004625D0" w:rsidRDefault="00BF1731" w:rsidP="00BF1731">
            <w:pPr>
              <w:jc w:val="both"/>
            </w:pPr>
            <w:r>
              <w:t>9.13</w:t>
            </w:r>
            <w:r w:rsidRPr="004625D0">
              <w:t>. Sutarties priedai:</w:t>
            </w:r>
          </w:p>
          <w:p w14:paraId="5E2BE74C" w14:textId="77777777" w:rsidR="00BF1731" w:rsidRPr="00D00536" w:rsidRDefault="00BF1731" w:rsidP="00BF1731">
            <w:pPr>
              <w:jc w:val="both"/>
              <w:rPr>
                <w:rFonts w:eastAsia="Calibri"/>
              </w:rPr>
            </w:pPr>
            <w:r>
              <w:rPr>
                <w:rFonts w:eastAsia="Calibri"/>
              </w:rPr>
              <w:t xml:space="preserve">9.13.1. 1 </w:t>
            </w:r>
            <w:r w:rsidRPr="00D00536">
              <w:rPr>
                <w:rFonts w:eastAsia="Calibri"/>
              </w:rPr>
              <w:t xml:space="preserve">priedas </w:t>
            </w:r>
            <w:r w:rsidRPr="00ED6F22">
              <w:t>„Prekių pavadinimai, reikalavimai, kiekiai, pristatymo dažnumas ir įkainiai“</w:t>
            </w:r>
            <w:r>
              <w:rPr>
                <w:rFonts w:eastAsia="Calibri"/>
              </w:rPr>
              <w:t>, 2 lapai</w:t>
            </w:r>
            <w:r w:rsidRPr="00D00536">
              <w:rPr>
                <w:rFonts w:eastAsia="Calibri"/>
              </w:rPr>
              <w:t>;</w:t>
            </w:r>
          </w:p>
          <w:p w14:paraId="5555448C" w14:textId="77777777" w:rsidR="00BF1731" w:rsidRPr="002B2BAD" w:rsidRDefault="00BF1731" w:rsidP="00BF1731">
            <w:pPr>
              <w:jc w:val="both"/>
              <w:rPr>
                <w:rFonts w:eastAsia="Calibri"/>
                <w:lang w:eastAsia="en-US"/>
              </w:rPr>
            </w:pPr>
            <w:r>
              <w:rPr>
                <w:rFonts w:eastAsia="Calibri"/>
                <w:lang w:eastAsia="en-US"/>
              </w:rPr>
              <w:t xml:space="preserve">9.13.2. </w:t>
            </w:r>
            <w:r w:rsidRPr="002B2BAD">
              <w:rPr>
                <w:rFonts w:eastAsia="Calibri"/>
                <w:lang w:eastAsia="en-US"/>
              </w:rPr>
              <w:t>2 priedas „</w:t>
            </w:r>
            <w:r>
              <w:rPr>
                <w:rFonts w:eastAsia="Calibri"/>
                <w:lang w:eastAsia="en-US"/>
              </w:rPr>
              <w:t>Užsakymas“ (forma pildymui)</w:t>
            </w:r>
            <w:r w:rsidRPr="002B2BAD">
              <w:rPr>
                <w:rFonts w:eastAsia="Calibri"/>
                <w:lang w:eastAsia="en-US"/>
              </w:rPr>
              <w:t>, 1 lapas</w:t>
            </w:r>
            <w:r>
              <w:rPr>
                <w:rFonts w:eastAsia="Calibri"/>
                <w:lang w:eastAsia="en-US"/>
              </w:rPr>
              <w:t>;</w:t>
            </w:r>
          </w:p>
          <w:p w14:paraId="433384F4" w14:textId="77777777" w:rsidR="00BF1731" w:rsidRPr="002B2BAD" w:rsidRDefault="00BF1731" w:rsidP="00BF1731">
            <w:pPr>
              <w:spacing w:line="276" w:lineRule="auto"/>
              <w:contextualSpacing/>
              <w:jc w:val="both"/>
              <w:rPr>
                <w:rFonts w:eastAsia="Calibri"/>
                <w:lang w:eastAsia="en-US"/>
              </w:rPr>
            </w:pPr>
            <w:r>
              <w:rPr>
                <w:rFonts w:eastAsia="Calibri"/>
                <w:lang w:eastAsia="en-US"/>
              </w:rPr>
              <w:t>9.13.3. 3 priedas „Gavėjai ir jų adresai“</w:t>
            </w:r>
            <w:r w:rsidRPr="002B2BAD">
              <w:rPr>
                <w:rFonts w:eastAsia="Calibri"/>
                <w:lang w:eastAsia="en-US"/>
              </w:rPr>
              <w:t>, 2 lapai</w:t>
            </w:r>
            <w:r>
              <w:rPr>
                <w:rFonts w:eastAsia="Calibri"/>
                <w:lang w:eastAsia="en-US"/>
              </w:rPr>
              <w:t>;</w:t>
            </w:r>
          </w:p>
          <w:p w14:paraId="44711E35" w14:textId="2A80532B" w:rsidR="001927FB" w:rsidRPr="00B22732" w:rsidRDefault="00BF1731" w:rsidP="00BF1731">
            <w:pPr>
              <w:jc w:val="both"/>
              <w:rPr>
                <w:rFonts w:eastAsia="Calibri"/>
                <w:lang w:eastAsia="en-US"/>
              </w:rPr>
            </w:pPr>
            <w:r>
              <w:rPr>
                <w:rFonts w:eastAsia="Calibri"/>
                <w:lang w:eastAsia="en-US"/>
              </w:rPr>
              <w:t xml:space="preserve">9.13.4. </w:t>
            </w:r>
            <w:r w:rsidRPr="002B2BAD">
              <w:rPr>
                <w:rFonts w:eastAsia="Calibri"/>
                <w:lang w:eastAsia="en-US"/>
              </w:rPr>
              <w:t xml:space="preserve">4 </w:t>
            </w:r>
            <w:r>
              <w:rPr>
                <w:rFonts w:eastAsia="Calibri"/>
                <w:lang w:eastAsia="en-US"/>
              </w:rPr>
              <w:t>priedas „Kainodaros taisyklės“, 3</w:t>
            </w:r>
            <w:r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6B9F0D7B" w14:textId="77777777" w:rsidR="00E427D3" w:rsidRDefault="00C61B59" w:rsidP="00E427D3">
            <w:pPr>
              <w:jc w:val="both"/>
              <w:rPr>
                <w:bCs/>
              </w:rPr>
            </w:pPr>
            <w:r w:rsidRPr="00EB4422">
              <w:rPr>
                <w:bCs/>
              </w:rPr>
              <w:t xml:space="preserve">10.1. </w:t>
            </w:r>
            <w:r w:rsidR="00E427D3"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2E9029C4"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7560C659" w14:textId="77777777" w:rsidR="00FD06B6" w:rsidRPr="00897C03" w:rsidRDefault="00FD06B6" w:rsidP="00FD06B6">
            <w:pPr>
              <w:rPr>
                <w:b/>
              </w:rPr>
            </w:pPr>
            <w:r w:rsidRPr="00897C03">
              <w:rPr>
                <w:b/>
              </w:rPr>
              <w:t>UAB „</w:t>
            </w:r>
            <w:r>
              <w:rPr>
                <w:b/>
              </w:rPr>
              <w:t>Samsonas</w:t>
            </w:r>
            <w:r w:rsidRPr="00897C03">
              <w:rPr>
                <w:b/>
              </w:rPr>
              <w:t>“</w:t>
            </w:r>
          </w:p>
          <w:p w14:paraId="1CA63F85" w14:textId="77777777" w:rsidR="00FD06B6" w:rsidRDefault="00FD06B6" w:rsidP="00FD06B6">
            <w:r>
              <w:t xml:space="preserve">Kodas </w:t>
            </w:r>
            <w:r w:rsidRPr="00CB4E79">
              <w:t>133140587</w:t>
            </w:r>
          </w:p>
          <w:p w14:paraId="30DF8D2F" w14:textId="77777777" w:rsidR="00FD06B6" w:rsidRPr="00897C03" w:rsidRDefault="00FD06B6" w:rsidP="00FD06B6">
            <w:r w:rsidRPr="007526BB">
              <w:rPr>
                <w:rFonts w:eastAsia="Calibri"/>
                <w:lang w:eastAsia="en-US"/>
              </w:rPr>
              <w:t xml:space="preserve">PVM mokėtojo kodas </w:t>
            </w:r>
            <w:r>
              <w:rPr>
                <w:rFonts w:eastAsia="Calibri"/>
                <w:lang w:eastAsia="en-US"/>
              </w:rPr>
              <w:t>–</w:t>
            </w:r>
            <w:r w:rsidRPr="00897C03">
              <w:t xml:space="preserve"> </w:t>
            </w:r>
            <w:r w:rsidRPr="00CB4E79">
              <w:t>LT331405811</w:t>
            </w:r>
          </w:p>
          <w:p w14:paraId="0B3822F0" w14:textId="77777777" w:rsidR="00FD06B6" w:rsidRPr="00897C03" w:rsidRDefault="00FD06B6" w:rsidP="00FD06B6">
            <w:r w:rsidRPr="00CB4E79">
              <w:t>Europos pr. 38, Kaunas</w:t>
            </w:r>
            <w:r>
              <w:t>, Lietuva</w:t>
            </w:r>
          </w:p>
          <w:p w14:paraId="03A10305" w14:textId="77777777" w:rsidR="00FD06B6" w:rsidRDefault="00FD06B6" w:rsidP="00FD06B6">
            <w:r w:rsidRPr="009021AC">
              <w:t>A.</w:t>
            </w:r>
            <w:r>
              <w:t xml:space="preserve"> </w:t>
            </w:r>
            <w:r w:rsidRPr="009021AC">
              <w:t xml:space="preserve">s. </w:t>
            </w:r>
            <w:r w:rsidRPr="00CB4E79">
              <w:t>LT277044060002846368</w:t>
            </w:r>
          </w:p>
          <w:p w14:paraId="6DB9519A" w14:textId="52FD8246" w:rsidR="00934585" w:rsidRPr="002606B2" w:rsidRDefault="00FD06B6" w:rsidP="00FD06B6">
            <w:pPr>
              <w:rPr>
                <w:rFonts w:eastAsia="Calibri"/>
                <w:lang w:eastAsia="en-US"/>
              </w:rPr>
            </w:pPr>
            <w:r w:rsidRPr="00CB4E79">
              <w:t>AB SEB bankas</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p w14:paraId="64A5FACE" w14:textId="77777777" w:rsidR="00D05557" w:rsidRDefault="00D05557" w:rsidP="003D3BB4"/>
    <w:tbl>
      <w:tblPr>
        <w:tblW w:w="5007" w:type="pct"/>
        <w:tblInd w:w="-5" w:type="dxa"/>
        <w:tblLook w:val="04A0" w:firstRow="1" w:lastRow="0" w:firstColumn="1" w:lastColumn="0" w:noHBand="0" w:noVBand="1"/>
      </w:tblPr>
      <w:tblGrid>
        <w:gridCol w:w="3802"/>
        <w:gridCol w:w="2059"/>
        <w:gridCol w:w="3366"/>
      </w:tblGrid>
      <w:tr w:rsidR="00DB1A9B" w:rsidRPr="00BD57A6" w14:paraId="1D155FBE" w14:textId="77777777" w:rsidTr="009C249D">
        <w:tc>
          <w:tcPr>
            <w:tcW w:w="2060" w:type="pct"/>
            <w:shd w:val="clear" w:color="auto" w:fill="auto"/>
          </w:tcPr>
          <w:p w14:paraId="075BF8A2" w14:textId="77777777" w:rsidR="00DB1A9B" w:rsidRDefault="00DB1A9B" w:rsidP="009C249D">
            <w:pPr>
              <w:widowControl w:val="0"/>
              <w:suppressAutoHyphens/>
              <w:jc w:val="both"/>
              <w:rPr>
                <w:rFonts w:eastAsia="Arial Unicode MS"/>
                <w:b/>
                <w:color w:val="000000"/>
                <w:lang w:eastAsia="en-US" w:bidi="lt-LT"/>
              </w:rPr>
            </w:pPr>
          </w:p>
          <w:p w14:paraId="6E5E225C" w14:textId="77777777" w:rsidR="00DB1A9B" w:rsidRPr="00BD57A6" w:rsidRDefault="00DB1A9B" w:rsidP="009C249D">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C591683" w14:textId="77777777" w:rsidR="00DB1A9B" w:rsidRPr="00BD57A6" w:rsidRDefault="00DB1A9B" w:rsidP="009C249D">
            <w:pPr>
              <w:widowControl w:val="0"/>
              <w:suppressAutoHyphens/>
              <w:rPr>
                <w:rFonts w:eastAsia="Arial Unicode MS"/>
                <w:b/>
                <w:color w:val="000000"/>
                <w:lang w:eastAsia="en-US" w:bidi="lt-LT"/>
              </w:rPr>
            </w:pPr>
          </w:p>
          <w:p w14:paraId="70C1796D" w14:textId="77777777" w:rsidR="00DB1A9B" w:rsidRPr="00BD57A6" w:rsidRDefault="00DB1A9B" w:rsidP="009C249D">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495C42A2" w14:textId="77777777" w:rsidR="00DB1A9B" w:rsidRPr="00BD57A6" w:rsidRDefault="00DB1A9B" w:rsidP="009C249D">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3751A63" w14:textId="77777777" w:rsidR="00DB1A9B" w:rsidRDefault="00DB1A9B" w:rsidP="009C249D">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6E824A7D" w14:textId="77777777" w:rsidR="00DB1A9B" w:rsidRPr="00BD57A6" w:rsidRDefault="00DB1A9B" w:rsidP="009C249D">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7708770" w14:textId="77777777" w:rsidR="00DB1A9B" w:rsidRPr="00BD57A6" w:rsidRDefault="00DB1A9B" w:rsidP="009C249D">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53088810" w14:textId="77777777" w:rsidR="00DB1A9B" w:rsidRPr="00BD57A6" w:rsidRDefault="00DB1A9B" w:rsidP="009C249D">
            <w:pPr>
              <w:widowControl w:val="0"/>
              <w:suppressAutoHyphens/>
              <w:ind w:right="870"/>
              <w:jc w:val="both"/>
              <w:rPr>
                <w:rFonts w:eastAsia="Arial Unicode MS"/>
                <w:b/>
                <w:color w:val="000000"/>
                <w:lang w:eastAsia="en-US" w:bidi="lt-LT"/>
              </w:rPr>
            </w:pPr>
          </w:p>
        </w:tc>
        <w:tc>
          <w:tcPr>
            <w:tcW w:w="1824" w:type="pct"/>
            <w:shd w:val="clear" w:color="auto" w:fill="auto"/>
          </w:tcPr>
          <w:p w14:paraId="0958A662" w14:textId="77777777" w:rsidR="00DB1A9B" w:rsidRDefault="00DB1A9B" w:rsidP="009C249D">
            <w:pPr>
              <w:widowControl w:val="0"/>
              <w:suppressAutoHyphens/>
              <w:jc w:val="both"/>
              <w:rPr>
                <w:rFonts w:eastAsia="Arial Unicode MS"/>
                <w:b/>
                <w:color w:val="000000"/>
                <w:lang w:eastAsia="en-US" w:bidi="lt-LT"/>
              </w:rPr>
            </w:pPr>
          </w:p>
          <w:p w14:paraId="28F3A58A" w14:textId="77777777" w:rsidR="00DB1A9B" w:rsidRDefault="00DB1A9B" w:rsidP="009C249D">
            <w:pPr>
              <w:widowControl w:val="0"/>
              <w:suppressAutoHyphens/>
              <w:jc w:val="both"/>
              <w:rPr>
                <w:rFonts w:eastAsia="Arial Unicode MS"/>
                <w:b/>
                <w:color w:val="000000"/>
                <w:lang w:eastAsia="en-US" w:bidi="lt-LT"/>
              </w:rPr>
            </w:pPr>
          </w:p>
          <w:p w14:paraId="262271DB" w14:textId="77777777" w:rsidR="00DB1A9B" w:rsidRPr="00BD57A6" w:rsidRDefault="00DB1A9B" w:rsidP="009C249D">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276A66B" w14:textId="77777777" w:rsidR="00DB1A9B" w:rsidRPr="00BD57A6" w:rsidRDefault="00DB1A9B" w:rsidP="009C249D">
            <w:pPr>
              <w:widowControl w:val="0"/>
              <w:suppressAutoHyphens/>
              <w:jc w:val="both"/>
              <w:rPr>
                <w:rFonts w:eastAsia="Arial Unicode MS"/>
                <w:b/>
                <w:color w:val="000000"/>
                <w:lang w:eastAsia="en-US" w:bidi="lt-LT"/>
              </w:rPr>
            </w:pPr>
          </w:p>
          <w:p w14:paraId="6CDB11C3" w14:textId="77777777" w:rsidR="00DB1A9B" w:rsidRPr="006C727A" w:rsidRDefault="00DB1A9B" w:rsidP="009C249D">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2B455D34" w14:textId="77777777" w:rsidR="00DB1A9B" w:rsidRDefault="00DB1A9B" w:rsidP="009C249D">
            <w:pPr>
              <w:widowControl w:val="0"/>
              <w:suppressAutoHyphens/>
              <w:jc w:val="both"/>
            </w:pPr>
            <w:r>
              <w:t xml:space="preserve">Generalinio </w:t>
            </w:r>
          </w:p>
          <w:p w14:paraId="1F155501" w14:textId="77777777" w:rsidR="00DB1A9B" w:rsidRDefault="00DB1A9B" w:rsidP="009C249D">
            <w:pPr>
              <w:widowControl w:val="0"/>
              <w:suppressAutoHyphens/>
              <w:jc w:val="both"/>
            </w:pPr>
            <w:r>
              <w:t>direktoriaus pavaduotojas</w:t>
            </w:r>
          </w:p>
          <w:p w14:paraId="106ADB49" w14:textId="77777777" w:rsidR="00DB1A9B" w:rsidRDefault="00DB1A9B" w:rsidP="009C249D">
            <w:pPr>
              <w:widowControl w:val="0"/>
              <w:suppressAutoHyphens/>
              <w:jc w:val="both"/>
              <w:rPr>
                <w:rFonts w:eastAsia="Arial Unicode MS"/>
                <w:b/>
                <w:color w:val="000000"/>
                <w:lang w:eastAsia="en-US" w:bidi="lt-LT"/>
              </w:rPr>
            </w:pPr>
          </w:p>
          <w:p w14:paraId="6E6B43C7" w14:textId="77777777" w:rsidR="00DB1A9B" w:rsidRDefault="00DB1A9B" w:rsidP="009C249D">
            <w:pPr>
              <w:widowControl w:val="0"/>
              <w:suppressAutoHyphens/>
              <w:jc w:val="both"/>
              <w:rPr>
                <w:rFonts w:eastAsia="Arial"/>
                <w:color w:val="000000"/>
                <w:lang w:eastAsia="ar-SA" w:bidi="lt-LT"/>
              </w:rPr>
            </w:pPr>
          </w:p>
          <w:p w14:paraId="24141557" w14:textId="77777777" w:rsidR="00DB1A9B" w:rsidRPr="006C727A" w:rsidRDefault="00DB1A9B" w:rsidP="009C249D">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318381C0" w14:textId="77777777" w:rsidR="00DB1A9B" w:rsidRPr="00BD57A6" w:rsidRDefault="00DB1A9B" w:rsidP="009C249D">
            <w:pPr>
              <w:widowControl w:val="0"/>
              <w:suppressAutoHyphens/>
              <w:jc w:val="both"/>
              <w:rPr>
                <w:rFonts w:eastAsia="Arial Unicode MS"/>
                <w:color w:val="000000"/>
                <w:lang w:eastAsia="en-US" w:bidi="lt-LT"/>
              </w:rPr>
            </w:pPr>
            <w:r w:rsidRPr="00EA2FC9">
              <w:rPr>
                <w:rFonts w:eastAsia="Arial Unicode MS"/>
                <w:color w:val="000000"/>
                <w:lang w:eastAsia="en-US" w:bidi="lt-LT"/>
              </w:rPr>
              <w:t>Andrius Lepinaitis</w:t>
            </w: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4E939431" w14:textId="77777777" w:rsidR="00D05557" w:rsidRDefault="00D05557" w:rsidP="00A93FA2">
      <w:pPr>
        <w:jc w:val="center"/>
        <w:rPr>
          <w:b/>
        </w:rPr>
      </w:pPr>
    </w:p>
    <w:p w14:paraId="059D2F19" w14:textId="77777777" w:rsidR="006D0054" w:rsidRDefault="006D0054" w:rsidP="006D0054">
      <w:pPr>
        <w:rPr>
          <w:b/>
        </w:rPr>
      </w:pPr>
    </w:p>
    <w:p w14:paraId="5806D051" w14:textId="77777777" w:rsidR="00DB1A9B" w:rsidRDefault="00DB1A9B" w:rsidP="006D0054">
      <w:pP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4721739" w14:textId="77777777" w:rsidR="00515AC5" w:rsidRDefault="00515AC5" w:rsidP="00646DC6">
      <w:pPr>
        <w:jc w:val="both"/>
      </w:pPr>
    </w:p>
    <w:p w14:paraId="17F1B85B" w14:textId="77777777" w:rsidR="002A740D" w:rsidRPr="00AC2E69" w:rsidRDefault="003B1F71" w:rsidP="00F6734F">
      <w:pPr>
        <w:pStyle w:val="BodyText1"/>
        <w:ind w:firstLine="0"/>
        <w:rPr>
          <w:lang w:val="lt-LT"/>
        </w:rPr>
      </w:pPr>
      <w:r w:rsidRPr="00AC2E69">
        <w:rPr>
          <w:lang w:val="lt-LT"/>
        </w:rPr>
        <w:t xml:space="preserve"> </w:t>
      </w:r>
    </w:p>
    <w:tbl>
      <w:tblPr>
        <w:tblW w:w="5007" w:type="pct"/>
        <w:tblInd w:w="-5" w:type="dxa"/>
        <w:tblLook w:val="04A0" w:firstRow="1" w:lastRow="0" w:firstColumn="1" w:lastColumn="0" w:noHBand="0" w:noVBand="1"/>
      </w:tblPr>
      <w:tblGrid>
        <w:gridCol w:w="3802"/>
        <w:gridCol w:w="2059"/>
        <w:gridCol w:w="3366"/>
      </w:tblGrid>
      <w:tr w:rsidR="00DB1A9B" w:rsidRPr="00BD57A6" w14:paraId="6C0DAB2F" w14:textId="77777777" w:rsidTr="009C249D">
        <w:tc>
          <w:tcPr>
            <w:tcW w:w="2060" w:type="pct"/>
            <w:shd w:val="clear" w:color="auto" w:fill="auto"/>
          </w:tcPr>
          <w:p w14:paraId="18729A88" w14:textId="77777777" w:rsidR="00DB1A9B" w:rsidRDefault="00DB1A9B" w:rsidP="009C249D">
            <w:pPr>
              <w:widowControl w:val="0"/>
              <w:suppressAutoHyphens/>
              <w:jc w:val="both"/>
              <w:rPr>
                <w:rFonts w:eastAsia="Arial Unicode MS"/>
                <w:b/>
                <w:color w:val="000000"/>
                <w:lang w:eastAsia="en-US" w:bidi="lt-LT"/>
              </w:rPr>
            </w:pPr>
          </w:p>
          <w:p w14:paraId="7F9F047B" w14:textId="77777777" w:rsidR="00DB1A9B" w:rsidRPr="00BD57A6" w:rsidRDefault="00DB1A9B" w:rsidP="009C249D">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27BE1EA" w14:textId="77777777" w:rsidR="00DB1A9B" w:rsidRPr="00BD57A6" w:rsidRDefault="00DB1A9B" w:rsidP="009C249D">
            <w:pPr>
              <w:widowControl w:val="0"/>
              <w:suppressAutoHyphens/>
              <w:rPr>
                <w:rFonts w:eastAsia="Arial Unicode MS"/>
                <w:b/>
                <w:color w:val="000000"/>
                <w:lang w:eastAsia="en-US" w:bidi="lt-LT"/>
              </w:rPr>
            </w:pPr>
          </w:p>
          <w:p w14:paraId="359691F8" w14:textId="77777777" w:rsidR="00DB1A9B" w:rsidRPr="00BD57A6" w:rsidRDefault="00DB1A9B" w:rsidP="009C249D">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C6AA744" w14:textId="77777777" w:rsidR="00DB1A9B" w:rsidRPr="00BD57A6" w:rsidRDefault="00DB1A9B" w:rsidP="009C249D">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529FC32E" w14:textId="77777777" w:rsidR="00DB1A9B" w:rsidRDefault="00DB1A9B" w:rsidP="009C249D">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560F8FB4" w14:textId="77777777" w:rsidR="00DB1A9B" w:rsidRPr="00BD57A6" w:rsidRDefault="00DB1A9B" w:rsidP="009C249D">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E08DDFC" w14:textId="77777777" w:rsidR="00DB1A9B" w:rsidRPr="00BD57A6" w:rsidRDefault="00DB1A9B" w:rsidP="009C249D">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2538CE1C" w14:textId="77777777" w:rsidR="00DB1A9B" w:rsidRPr="00BD57A6" w:rsidRDefault="00DB1A9B" w:rsidP="009C249D">
            <w:pPr>
              <w:widowControl w:val="0"/>
              <w:suppressAutoHyphens/>
              <w:ind w:right="870"/>
              <w:jc w:val="both"/>
              <w:rPr>
                <w:rFonts w:eastAsia="Arial Unicode MS"/>
                <w:b/>
                <w:color w:val="000000"/>
                <w:lang w:eastAsia="en-US" w:bidi="lt-LT"/>
              </w:rPr>
            </w:pPr>
          </w:p>
        </w:tc>
        <w:tc>
          <w:tcPr>
            <w:tcW w:w="1824" w:type="pct"/>
            <w:shd w:val="clear" w:color="auto" w:fill="auto"/>
          </w:tcPr>
          <w:p w14:paraId="0F47DF8B" w14:textId="77777777" w:rsidR="00DB1A9B" w:rsidRDefault="00DB1A9B" w:rsidP="009C249D">
            <w:pPr>
              <w:widowControl w:val="0"/>
              <w:suppressAutoHyphens/>
              <w:jc w:val="both"/>
              <w:rPr>
                <w:rFonts w:eastAsia="Arial Unicode MS"/>
                <w:b/>
                <w:color w:val="000000"/>
                <w:lang w:eastAsia="en-US" w:bidi="lt-LT"/>
              </w:rPr>
            </w:pPr>
          </w:p>
          <w:p w14:paraId="53578307" w14:textId="77777777" w:rsidR="00DB1A9B" w:rsidRDefault="00DB1A9B" w:rsidP="009C249D">
            <w:pPr>
              <w:widowControl w:val="0"/>
              <w:suppressAutoHyphens/>
              <w:jc w:val="both"/>
              <w:rPr>
                <w:rFonts w:eastAsia="Arial Unicode MS"/>
                <w:b/>
                <w:color w:val="000000"/>
                <w:lang w:eastAsia="en-US" w:bidi="lt-LT"/>
              </w:rPr>
            </w:pPr>
          </w:p>
          <w:p w14:paraId="5F4A91D6" w14:textId="77777777" w:rsidR="00DB1A9B" w:rsidRPr="00BD57A6" w:rsidRDefault="00DB1A9B" w:rsidP="009C249D">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AC9A6F8" w14:textId="77777777" w:rsidR="00DB1A9B" w:rsidRPr="00BD57A6" w:rsidRDefault="00DB1A9B" w:rsidP="009C249D">
            <w:pPr>
              <w:widowControl w:val="0"/>
              <w:suppressAutoHyphens/>
              <w:jc w:val="both"/>
              <w:rPr>
                <w:rFonts w:eastAsia="Arial Unicode MS"/>
                <w:b/>
                <w:color w:val="000000"/>
                <w:lang w:eastAsia="en-US" w:bidi="lt-LT"/>
              </w:rPr>
            </w:pPr>
          </w:p>
          <w:p w14:paraId="351744F9" w14:textId="77777777" w:rsidR="00DB1A9B" w:rsidRPr="006C727A" w:rsidRDefault="00DB1A9B" w:rsidP="009C249D">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58BDC5DE" w14:textId="77777777" w:rsidR="00DB1A9B" w:rsidRDefault="00DB1A9B" w:rsidP="009C249D">
            <w:pPr>
              <w:widowControl w:val="0"/>
              <w:suppressAutoHyphens/>
              <w:jc w:val="both"/>
            </w:pPr>
            <w:r>
              <w:t xml:space="preserve">Generalinio </w:t>
            </w:r>
          </w:p>
          <w:p w14:paraId="035CC572" w14:textId="77777777" w:rsidR="00DB1A9B" w:rsidRDefault="00DB1A9B" w:rsidP="009C249D">
            <w:pPr>
              <w:widowControl w:val="0"/>
              <w:suppressAutoHyphens/>
              <w:jc w:val="both"/>
            </w:pPr>
            <w:r>
              <w:t>direktoriaus pavaduotojas</w:t>
            </w:r>
          </w:p>
          <w:p w14:paraId="190F5A31" w14:textId="77777777" w:rsidR="00DB1A9B" w:rsidRDefault="00DB1A9B" w:rsidP="009C249D">
            <w:pPr>
              <w:widowControl w:val="0"/>
              <w:suppressAutoHyphens/>
              <w:jc w:val="both"/>
              <w:rPr>
                <w:rFonts w:eastAsia="Arial Unicode MS"/>
                <w:b/>
                <w:color w:val="000000"/>
                <w:lang w:eastAsia="en-US" w:bidi="lt-LT"/>
              </w:rPr>
            </w:pPr>
          </w:p>
          <w:p w14:paraId="7D03D0FB" w14:textId="77777777" w:rsidR="00DB1A9B" w:rsidRDefault="00DB1A9B" w:rsidP="009C249D">
            <w:pPr>
              <w:widowControl w:val="0"/>
              <w:suppressAutoHyphens/>
              <w:jc w:val="both"/>
              <w:rPr>
                <w:rFonts w:eastAsia="Arial"/>
                <w:color w:val="000000"/>
                <w:lang w:eastAsia="ar-SA" w:bidi="lt-LT"/>
              </w:rPr>
            </w:pPr>
          </w:p>
          <w:p w14:paraId="16751C74" w14:textId="77777777" w:rsidR="00DB1A9B" w:rsidRPr="006C727A" w:rsidRDefault="00DB1A9B" w:rsidP="009C249D">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5D15DF1" w14:textId="77777777" w:rsidR="00DB1A9B" w:rsidRPr="00BD57A6" w:rsidRDefault="00DB1A9B" w:rsidP="009C249D">
            <w:pPr>
              <w:widowControl w:val="0"/>
              <w:suppressAutoHyphens/>
              <w:jc w:val="both"/>
              <w:rPr>
                <w:rFonts w:eastAsia="Arial Unicode MS"/>
                <w:color w:val="000000"/>
                <w:lang w:eastAsia="en-US" w:bidi="lt-LT"/>
              </w:rPr>
            </w:pPr>
            <w:r w:rsidRPr="00EA2FC9">
              <w:rPr>
                <w:rFonts w:eastAsia="Arial Unicode MS"/>
                <w:color w:val="000000"/>
                <w:lang w:eastAsia="en-US" w:bidi="lt-LT"/>
              </w:rPr>
              <w:t>Andrius Lepinaitis</w:t>
            </w: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37DE3" w14:textId="77777777" w:rsidR="0070109C" w:rsidRDefault="0070109C">
      <w:r>
        <w:separator/>
      </w:r>
    </w:p>
  </w:endnote>
  <w:endnote w:type="continuationSeparator" w:id="0">
    <w:p w14:paraId="76D3AC9F" w14:textId="77777777" w:rsidR="0070109C" w:rsidRDefault="0070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285C5" w14:textId="77777777" w:rsidR="0070109C" w:rsidRDefault="0070109C">
      <w:r>
        <w:separator/>
      </w:r>
    </w:p>
  </w:footnote>
  <w:footnote w:type="continuationSeparator" w:id="0">
    <w:p w14:paraId="7EF62189" w14:textId="77777777" w:rsidR="0070109C" w:rsidRDefault="0070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F7F"/>
    <w:rsid w:val="000044FB"/>
    <w:rsid w:val="00006E0F"/>
    <w:rsid w:val="00010655"/>
    <w:rsid w:val="00010D70"/>
    <w:rsid w:val="000134F5"/>
    <w:rsid w:val="000137AA"/>
    <w:rsid w:val="000155AF"/>
    <w:rsid w:val="000163AF"/>
    <w:rsid w:val="00017F60"/>
    <w:rsid w:val="0002013B"/>
    <w:rsid w:val="00020ABB"/>
    <w:rsid w:val="00021DBD"/>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3385"/>
    <w:rsid w:val="00074550"/>
    <w:rsid w:val="00074DAB"/>
    <w:rsid w:val="00075263"/>
    <w:rsid w:val="000803B6"/>
    <w:rsid w:val="0008050E"/>
    <w:rsid w:val="000822B2"/>
    <w:rsid w:val="000843C0"/>
    <w:rsid w:val="00085C6E"/>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86F"/>
    <w:rsid w:val="000E5D67"/>
    <w:rsid w:val="000E6C17"/>
    <w:rsid w:val="000E7ECE"/>
    <w:rsid w:val="000F1E27"/>
    <w:rsid w:val="000F2AD0"/>
    <w:rsid w:val="000F3206"/>
    <w:rsid w:val="000F50B3"/>
    <w:rsid w:val="000F55AE"/>
    <w:rsid w:val="000F6744"/>
    <w:rsid w:val="0010248B"/>
    <w:rsid w:val="00104989"/>
    <w:rsid w:val="001059D6"/>
    <w:rsid w:val="0010619B"/>
    <w:rsid w:val="00107939"/>
    <w:rsid w:val="00107F79"/>
    <w:rsid w:val="00107FA3"/>
    <w:rsid w:val="001101A3"/>
    <w:rsid w:val="001112AB"/>
    <w:rsid w:val="00112687"/>
    <w:rsid w:val="00112E84"/>
    <w:rsid w:val="00114A8E"/>
    <w:rsid w:val="00114D68"/>
    <w:rsid w:val="00115837"/>
    <w:rsid w:val="00116D84"/>
    <w:rsid w:val="001172CC"/>
    <w:rsid w:val="00117375"/>
    <w:rsid w:val="00122596"/>
    <w:rsid w:val="001238E7"/>
    <w:rsid w:val="00123EEF"/>
    <w:rsid w:val="00123F75"/>
    <w:rsid w:val="00124B81"/>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5E20"/>
    <w:rsid w:val="001C61FF"/>
    <w:rsid w:val="001D005E"/>
    <w:rsid w:val="001D1EEA"/>
    <w:rsid w:val="001D222D"/>
    <w:rsid w:val="001D3F90"/>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2BC"/>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2A3F"/>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909"/>
    <w:rsid w:val="002E6F8C"/>
    <w:rsid w:val="002F0539"/>
    <w:rsid w:val="002F54E9"/>
    <w:rsid w:val="002F65A5"/>
    <w:rsid w:val="002F6DBC"/>
    <w:rsid w:val="002F6E38"/>
    <w:rsid w:val="00300B56"/>
    <w:rsid w:val="00300CF8"/>
    <w:rsid w:val="00303CE1"/>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8A7"/>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1C33"/>
    <w:rsid w:val="00392292"/>
    <w:rsid w:val="003932BE"/>
    <w:rsid w:val="00393E7A"/>
    <w:rsid w:val="00394EA5"/>
    <w:rsid w:val="00396C9D"/>
    <w:rsid w:val="003971F1"/>
    <w:rsid w:val="00397C2A"/>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486F"/>
    <w:rsid w:val="003C63B2"/>
    <w:rsid w:val="003D09D2"/>
    <w:rsid w:val="003D3BB4"/>
    <w:rsid w:val="003D3FC8"/>
    <w:rsid w:val="003D5542"/>
    <w:rsid w:val="003D5E39"/>
    <w:rsid w:val="003D7292"/>
    <w:rsid w:val="003D784A"/>
    <w:rsid w:val="003E090F"/>
    <w:rsid w:val="003E2463"/>
    <w:rsid w:val="003E258F"/>
    <w:rsid w:val="003E4185"/>
    <w:rsid w:val="003E6412"/>
    <w:rsid w:val="003E73D8"/>
    <w:rsid w:val="003E74A9"/>
    <w:rsid w:val="003E7AF9"/>
    <w:rsid w:val="003F1425"/>
    <w:rsid w:val="003F1FD7"/>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41B3"/>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51ED"/>
    <w:rsid w:val="004B726F"/>
    <w:rsid w:val="004C1DC9"/>
    <w:rsid w:val="004C6623"/>
    <w:rsid w:val="004C6864"/>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BD9"/>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4C3B"/>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453"/>
    <w:rsid w:val="005F26B1"/>
    <w:rsid w:val="005F31EA"/>
    <w:rsid w:val="005F5E52"/>
    <w:rsid w:val="005F673C"/>
    <w:rsid w:val="005F7FFB"/>
    <w:rsid w:val="00600BEB"/>
    <w:rsid w:val="006022F2"/>
    <w:rsid w:val="00602C9F"/>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6D48"/>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499"/>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2D2"/>
    <w:rsid w:val="006C24BC"/>
    <w:rsid w:val="006C4385"/>
    <w:rsid w:val="006C50F0"/>
    <w:rsid w:val="006D0054"/>
    <w:rsid w:val="006D1B17"/>
    <w:rsid w:val="006D32DC"/>
    <w:rsid w:val="006D3818"/>
    <w:rsid w:val="006D5131"/>
    <w:rsid w:val="006D67EE"/>
    <w:rsid w:val="006E16CC"/>
    <w:rsid w:val="006E3687"/>
    <w:rsid w:val="006F008D"/>
    <w:rsid w:val="006F078E"/>
    <w:rsid w:val="006F24D5"/>
    <w:rsid w:val="006F2E3C"/>
    <w:rsid w:val="006F3C3F"/>
    <w:rsid w:val="006F5433"/>
    <w:rsid w:val="006F675A"/>
    <w:rsid w:val="006F709F"/>
    <w:rsid w:val="006F70F8"/>
    <w:rsid w:val="00700824"/>
    <w:rsid w:val="0070109C"/>
    <w:rsid w:val="0070112A"/>
    <w:rsid w:val="0070327D"/>
    <w:rsid w:val="007049FC"/>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1F5B"/>
    <w:rsid w:val="00793E5E"/>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5C8"/>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1B00"/>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C6F81"/>
    <w:rsid w:val="008D2A34"/>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4585"/>
    <w:rsid w:val="009364EC"/>
    <w:rsid w:val="009405E7"/>
    <w:rsid w:val="0094227D"/>
    <w:rsid w:val="00942961"/>
    <w:rsid w:val="00943766"/>
    <w:rsid w:val="009440EA"/>
    <w:rsid w:val="0094474A"/>
    <w:rsid w:val="00945D4B"/>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020"/>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2FA8"/>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497"/>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6915"/>
    <w:rsid w:val="00AB7155"/>
    <w:rsid w:val="00AB796B"/>
    <w:rsid w:val="00AC017B"/>
    <w:rsid w:val="00AC110A"/>
    <w:rsid w:val="00AC2E69"/>
    <w:rsid w:val="00AC356B"/>
    <w:rsid w:val="00AC38B8"/>
    <w:rsid w:val="00AC3965"/>
    <w:rsid w:val="00AC4AC9"/>
    <w:rsid w:val="00AC5798"/>
    <w:rsid w:val="00AC5C03"/>
    <w:rsid w:val="00AC739B"/>
    <w:rsid w:val="00AD1F49"/>
    <w:rsid w:val="00AD36F7"/>
    <w:rsid w:val="00AD3B2E"/>
    <w:rsid w:val="00AD3B5E"/>
    <w:rsid w:val="00AD67C9"/>
    <w:rsid w:val="00AE0DAA"/>
    <w:rsid w:val="00AE153C"/>
    <w:rsid w:val="00AE2D8A"/>
    <w:rsid w:val="00AE2E0F"/>
    <w:rsid w:val="00AE446D"/>
    <w:rsid w:val="00AE6CE0"/>
    <w:rsid w:val="00AE7E1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2A86"/>
    <w:rsid w:val="00B131B8"/>
    <w:rsid w:val="00B16867"/>
    <w:rsid w:val="00B178BE"/>
    <w:rsid w:val="00B20FB4"/>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371A"/>
    <w:rsid w:val="00B475CF"/>
    <w:rsid w:val="00B517EB"/>
    <w:rsid w:val="00B5208D"/>
    <w:rsid w:val="00B530AD"/>
    <w:rsid w:val="00B5425A"/>
    <w:rsid w:val="00B55010"/>
    <w:rsid w:val="00B565DC"/>
    <w:rsid w:val="00B5664B"/>
    <w:rsid w:val="00B56C6E"/>
    <w:rsid w:val="00B577A8"/>
    <w:rsid w:val="00B57D76"/>
    <w:rsid w:val="00B606CC"/>
    <w:rsid w:val="00B62915"/>
    <w:rsid w:val="00B65819"/>
    <w:rsid w:val="00B65DB8"/>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1A02"/>
    <w:rsid w:val="00BB4725"/>
    <w:rsid w:val="00BB53D3"/>
    <w:rsid w:val="00BC08D4"/>
    <w:rsid w:val="00BC230A"/>
    <w:rsid w:val="00BC2357"/>
    <w:rsid w:val="00BC3320"/>
    <w:rsid w:val="00BC3AEA"/>
    <w:rsid w:val="00BC5906"/>
    <w:rsid w:val="00BD01CB"/>
    <w:rsid w:val="00BD030F"/>
    <w:rsid w:val="00BD16E1"/>
    <w:rsid w:val="00BD3350"/>
    <w:rsid w:val="00BD4A1E"/>
    <w:rsid w:val="00BD6EF3"/>
    <w:rsid w:val="00BE211B"/>
    <w:rsid w:val="00BE2C85"/>
    <w:rsid w:val="00BE2DCC"/>
    <w:rsid w:val="00BE31B6"/>
    <w:rsid w:val="00BE38CC"/>
    <w:rsid w:val="00BE57A9"/>
    <w:rsid w:val="00BF01A7"/>
    <w:rsid w:val="00BF0F3D"/>
    <w:rsid w:val="00BF13D5"/>
    <w:rsid w:val="00BF1731"/>
    <w:rsid w:val="00BF18DE"/>
    <w:rsid w:val="00BF2728"/>
    <w:rsid w:val="00BF33CA"/>
    <w:rsid w:val="00BF5D9E"/>
    <w:rsid w:val="00C0224A"/>
    <w:rsid w:val="00C031CB"/>
    <w:rsid w:val="00C03DBC"/>
    <w:rsid w:val="00C0644E"/>
    <w:rsid w:val="00C066EB"/>
    <w:rsid w:val="00C07D2A"/>
    <w:rsid w:val="00C102B0"/>
    <w:rsid w:val="00C10459"/>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20D2"/>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B691E"/>
    <w:rsid w:val="00CC060A"/>
    <w:rsid w:val="00CC12D5"/>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5557"/>
    <w:rsid w:val="00D06140"/>
    <w:rsid w:val="00D061C8"/>
    <w:rsid w:val="00D06ACE"/>
    <w:rsid w:val="00D1015D"/>
    <w:rsid w:val="00D10A04"/>
    <w:rsid w:val="00D10AA5"/>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A3B"/>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1A9B"/>
    <w:rsid w:val="00DB200C"/>
    <w:rsid w:val="00DB2A11"/>
    <w:rsid w:val="00DB2C66"/>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439"/>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27852"/>
    <w:rsid w:val="00E30893"/>
    <w:rsid w:val="00E30EFC"/>
    <w:rsid w:val="00E31EED"/>
    <w:rsid w:val="00E3569C"/>
    <w:rsid w:val="00E35D4E"/>
    <w:rsid w:val="00E40BDB"/>
    <w:rsid w:val="00E40EB7"/>
    <w:rsid w:val="00E427D3"/>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00D"/>
    <w:rsid w:val="00E73CCA"/>
    <w:rsid w:val="00E7431C"/>
    <w:rsid w:val="00E77758"/>
    <w:rsid w:val="00E8189E"/>
    <w:rsid w:val="00E822C0"/>
    <w:rsid w:val="00E835AF"/>
    <w:rsid w:val="00E8665D"/>
    <w:rsid w:val="00E86815"/>
    <w:rsid w:val="00E92BFD"/>
    <w:rsid w:val="00E92FB3"/>
    <w:rsid w:val="00E9496F"/>
    <w:rsid w:val="00E95D2A"/>
    <w:rsid w:val="00EA2AFF"/>
    <w:rsid w:val="00EA38ED"/>
    <w:rsid w:val="00EA3BF4"/>
    <w:rsid w:val="00EA4347"/>
    <w:rsid w:val="00EA4DE9"/>
    <w:rsid w:val="00EA654F"/>
    <w:rsid w:val="00EA67D6"/>
    <w:rsid w:val="00EA6CFD"/>
    <w:rsid w:val="00EA73AC"/>
    <w:rsid w:val="00EA7641"/>
    <w:rsid w:val="00EB04AE"/>
    <w:rsid w:val="00EB1674"/>
    <w:rsid w:val="00EB1CB3"/>
    <w:rsid w:val="00EB1DD8"/>
    <w:rsid w:val="00EB1EC4"/>
    <w:rsid w:val="00EB3B83"/>
    <w:rsid w:val="00EB3C2A"/>
    <w:rsid w:val="00EB4422"/>
    <w:rsid w:val="00EB5367"/>
    <w:rsid w:val="00EB5D84"/>
    <w:rsid w:val="00EB7F79"/>
    <w:rsid w:val="00EC1340"/>
    <w:rsid w:val="00EC3DE5"/>
    <w:rsid w:val="00EC69B8"/>
    <w:rsid w:val="00ED052B"/>
    <w:rsid w:val="00ED0D23"/>
    <w:rsid w:val="00ED17AE"/>
    <w:rsid w:val="00ED2225"/>
    <w:rsid w:val="00ED2599"/>
    <w:rsid w:val="00ED2CF8"/>
    <w:rsid w:val="00ED4188"/>
    <w:rsid w:val="00ED4FDB"/>
    <w:rsid w:val="00ED5FE7"/>
    <w:rsid w:val="00ED6A8D"/>
    <w:rsid w:val="00ED6F22"/>
    <w:rsid w:val="00ED7083"/>
    <w:rsid w:val="00ED71C9"/>
    <w:rsid w:val="00EE1776"/>
    <w:rsid w:val="00EE274E"/>
    <w:rsid w:val="00EE3032"/>
    <w:rsid w:val="00EE3D9E"/>
    <w:rsid w:val="00EE4AC7"/>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1F7E"/>
    <w:rsid w:val="00FA5E96"/>
    <w:rsid w:val="00FB0202"/>
    <w:rsid w:val="00FB0272"/>
    <w:rsid w:val="00FB0F49"/>
    <w:rsid w:val="00FB33F0"/>
    <w:rsid w:val="00FB4165"/>
    <w:rsid w:val="00FC0184"/>
    <w:rsid w:val="00FC364A"/>
    <w:rsid w:val="00FC5ACE"/>
    <w:rsid w:val="00FD06B6"/>
    <w:rsid w:val="00FD0DA4"/>
    <w:rsid w:val="00FD157B"/>
    <w:rsid w:val="00FD213B"/>
    <w:rsid w:val="00FD5F59"/>
    <w:rsid w:val="00FD5F69"/>
    <w:rsid w:val="00FD62AA"/>
    <w:rsid w:val="00FE7A7E"/>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270">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71722385">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68074714">
      <w:bodyDiv w:val="1"/>
      <w:marLeft w:val="0"/>
      <w:marRight w:val="0"/>
      <w:marTop w:val="0"/>
      <w:marBottom w:val="0"/>
      <w:divBdr>
        <w:top w:val="none" w:sz="0" w:space="0" w:color="auto"/>
        <w:left w:val="none" w:sz="0" w:space="0" w:color="auto"/>
        <w:bottom w:val="none" w:sz="0" w:space="0" w:color="auto"/>
        <w:right w:val="none" w:sz="0" w:space="0" w:color="auto"/>
      </w:divBdr>
    </w:div>
    <w:div w:id="134617697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55383281">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 w:id="21204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74F3-7667-422B-807C-02280FAD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10134</Words>
  <Characters>57767</Characters>
  <Application>Microsoft Office Word</Application>
  <DocSecurity>0</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67766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2025-07-14T11:37:00Z</cp:lastPrinted>
  <dcterms:created xsi:type="dcterms:W3CDTF">2026-01-05T11:29:00Z</dcterms:created>
  <dcterms:modified xsi:type="dcterms:W3CDTF">2026-01-05T11:29:00Z</dcterms:modified>
</cp:coreProperties>
</file>