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B876" w14:textId="77777777" w:rsidR="00F15E1A" w:rsidRDefault="00F15E1A">
      <w:pPr>
        <w:spacing w:line="276" w:lineRule="auto"/>
        <w:jc w:val="center"/>
        <w:rPr>
          <w:rFonts w:asciiTheme="majorBidi" w:hAnsiTheme="majorBidi" w:cstheme="majorBidi"/>
          <w:b/>
          <w:caps/>
          <w:szCs w:val="24"/>
        </w:rPr>
      </w:pPr>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0"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0"/>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1"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(-ys)</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1"/>
      <w:r w:rsidR="006F083C" w:rsidRPr="006C49D9">
        <w:rPr>
          <w:rFonts w:asciiTheme="majorBidi" w:eastAsia="Arial" w:hAnsiTheme="majorBidi" w:cstheme="majorBidi"/>
          <w:szCs w:val="24"/>
        </w:rPr>
        <w:t>;</w:t>
      </w:r>
      <w:bookmarkStart w:id="2"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2"/>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(-ys)</w:t>
      </w:r>
      <w:r w:rsidR="00B84E7E" w:rsidRPr="006C49D9">
        <w:rPr>
          <w:rFonts w:asciiTheme="majorBidi" w:eastAsia="Arial" w:hAnsiTheme="majorBidi" w:cstheme="majorBidi"/>
          <w:szCs w:val="24"/>
        </w:rPr>
        <w:t xml:space="preserve">, kuris (-ie) Specialiosiose sąlygose yra įvardytas (-i) kaip Tiekėjas (-ai), </w:t>
      </w:r>
      <w:r w:rsidR="00B84E7E" w:rsidRPr="006C49D9">
        <w:rPr>
          <w:rFonts w:asciiTheme="majorBidi" w:hAnsiTheme="majorBidi" w:cstheme="majorBidi"/>
          <w:szCs w:val="24"/>
        </w:rPr>
        <w:t>teikiantis (-ys)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3"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3"/>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4"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4"/>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y. Tiekėjai gali elektronines sąskaitas teikti naudodamiesi bet kuriuo PEPPOL tinkle registruotu prieigos tašku (angl. Access Point)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5"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5"/>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6"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6"/>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7"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7"/>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8"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8"/>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9"/>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0"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0"/>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4"/>
      <w:r w:rsidRPr="006C49D9">
        <w:rPr>
          <w:rStyle w:val="Heading1"/>
          <w:rFonts w:asciiTheme="majorBidi" w:hAnsiTheme="majorBidi" w:cstheme="majorBidi"/>
          <w:b/>
          <w:bCs/>
          <w:color w:val="auto"/>
          <w:sz w:val="24"/>
          <w:szCs w:val="24"/>
        </w:rPr>
        <w:t>Tiekėjas įsipareigoja:</w:t>
      </w:r>
      <w:bookmarkEnd w:id="11"/>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2"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2"/>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3" w:name="_Ref173168690"/>
      <w:r w:rsidRPr="006C49D9">
        <w:rPr>
          <w:rFonts w:asciiTheme="majorBidi" w:hAnsiTheme="majorBidi" w:cstheme="majorBidi"/>
          <w:b/>
          <w:bCs/>
          <w:szCs w:val="24"/>
        </w:rPr>
        <w:t>KONFIDENCIALI INFORMACIJA</w:t>
      </w:r>
      <w:bookmarkEnd w:id="13"/>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4"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4"/>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5"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6" w:name="_Ref171004419"/>
      <w:bookmarkEnd w:id="15"/>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6"/>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7"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7"/>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8" w:name="_Ref171496594"/>
      <w:bookmarkStart w:id="19" w:name="_Ref159258528"/>
      <w:bookmarkStart w:id="20"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8"/>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19"/>
    <w:bookmarkEnd w:id="20"/>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1"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1"/>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2"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2"/>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3"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3"/>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4"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4"/>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5"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5"/>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6"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6"/>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5027516">
    <w:abstractNumId w:val="7"/>
  </w:num>
  <w:num w:numId="2" w16cid:durableId="1153369855">
    <w:abstractNumId w:val="22"/>
  </w:num>
  <w:num w:numId="3" w16cid:durableId="200217143">
    <w:abstractNumId w:val="20"/>
  </w:num>
  <w:num w:numId="4" w16cid:durableId="1661037116">
    <w:abstractNumId w:val="8"/>
  </w:num>
  <w:num w:numId="5" w16cid:durableId="1106386994">
    <w:abstractNumId w:val="16"/>
  </w:num>
  <w:num w:numId="6" w16cid:durableId="1436823891">
    <w:abstractNumId w:val="25"/>
  </w:num>
  <w:num w:numId="7" w16cid:durableId="1464229899">
    <w:abstractNumId w:val="10"/>
  </w:num>
  <w:num w:numId="8" w16cid:durableId="533887993">
    <w:abstractNumId w:val="17"/>
  </w:num>
  <w:num w:numId="9" w16cid:durableId="1664358009">
    <w:abstractNumId w:val="15"/>
  </w:num>
  <w:num w:numId="10" w16cid:durableId="839853318">
    <w:abstractNumId w:val="6"/>
  </w:num>
  <w:num w:numId="11" w16cid:durableId="874730560">
    <w:abstractNumId w:val="0"/>
  </w:num>
  <w:num w:numId="12" w16cid:durableId="1128620528">
    <w:abstractNumId w:val="24"/>
  </w:num>
  <w:num w:numId="13" w16cid:durableId="1100367488">
    <w:abstractNumId w:val="9"/>
  </w:num>
  <w:num w:numId="14" w16cid:durableId="1743289894">
    <w:abstractNumId w:val="11"/>
  </w:num>
  <w:num w:numId="15" w16cid:durableId="1516771368">
    <w:abstractNumId w:val="2"/>
  </w:num>
  <w:num w:numId="16" w16cid:durableId="920142866">
    <w:abstractNumId w:val="23"/>
  </w:num>
  <w:num w:numId="17" w16cid:durableId="985627649">
    <w:abstractNumId w:val="19"/>
  </w:num>
  <w:num w:numId="18" w16cid:durableId="1589861">
    <w:abstractNumId w:val="5"/>
  </w:num>
  <w:num w:numId="19" w16cid:durableId="1205945892">
    <w:abstractNumId w:val="26"/>
  </w:num>
  <w:num w:numId="20" w16cid:durableId="788429389">
    <w:abstractNumId w:val="21"/>
  </w:num>
  <w:num w:numId="21" w16cid:durableId="408962850">
    <w:abstractNumId w:val="4"/>
  </w:num>
  <w:num w:numId="22" w16cid:durableId="1943415004">
    <w:abstractNumId w:val="3"/>
  </w:num>
  <w:num w:numId="23" w16cid:durableId="253174572">
    <w:abstractNumId w:val="12"/>
  </w:num>
  <w:num w:numId="24" w16cid:durableId="723716550">
    <w:abstractNumId w:val="18"/>
  </w:num>
  <w:num w:numId="25" w16cid:durableId="1239483837">
    <w:abstractNumId w:val="1"/>
  </w:num>
  <w:num w:numId="26" w16cid:durableId="837303336">
    <w:abstractNumId w:val="13"/>
  </w:num>
  <w:num w:numId="27" w16cid:durableId="9724466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2464"/>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1DAC"/>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3.xml><?xml version="1.0" encoding="utf-8"?>
<ds:datastoreItem xmlns:ds="http://schemas.openxmlformats.org/officeDocument/2006/customXml" ds:itemID="{21A1E179-0570-4EA4-AE89-542FFC6A9EAA}">
  <ds:schemaRefs>
    <ds:schemaRef ds:uri="http://purl.org/dc/elements/1.1/"/>
    <ds:schemaRef ds:uri="http://www.w3.org/XML/1998/namespace"/>
    <ds:schemaRef ds:uri="441e4d8e-a8ab-46be-9694-e40af28e9c61"/>
    <ds:schemaRef ds:uri="http://schemas.microsoft.com/office/2006/metadata/properties"/>
    <ds:schemaRef ds:uri="http://schemas.openxmlformats.org/package/2006/metadata/core-properties"/>
    <ds:schemaRef ds:uri="http://purl.org/dc/terms/"/>
    <ds:schemaRef ds:uri="bd2a18c2-06d4-44cd-af38-3237b532008a"/>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2DA9102-412D-4884-B8CD-CC881212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2025-05-29T18:22:00Z</dcterms:created>
  <dcterms:modified xsi:type="dcterms:W3CDTF">2025-05-29T18:22:00Z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