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C4" w:rsidRPr="00050FC4" w:rsidRDefault="00050FC4" w:rsidP="00050FC4">
      <w:pPr>
        <w:tabs>
          <w:tab w:val="left" w:pos="720"/>
        </w:tabs>
        <w:spacing w:after="0" w:line="240" w:lineRule="auto"/>
        <w:ind w:left="120"/>
        <w:rPr>
          <w:rFonts w:ascii="Times New Roman" w:hAnsi="Times New Roman" w:cs="Times New Roman"/>
          <w:bCs/>
          <w:noProof/>
          <w:sz w:val="24"/>
          <w:szCs w:val="24"/>
          <w:lang w:eastAsia="lt-LT"/>
        </w:rPr>
      </w:pPr>
    </w:p>
    <w:p w:rsidR="00050FC4" w:rsidRPr="00050FC4" w:rsidRDefault="00050FC4" w:rsidP="00050FC4">
      <w:pPr>
        <w:spacing w:after="0" w:line="240" w:lineRule="auto"/>
        <w:ind w:left="5040" w:firstLine="720"/>
        <w:rPr>
          <w:rFonts w:ascii="Times New Roman" w:hAnsi="Times New Roman" w:cs="Times New Roman"/>
          <w:sz w:val="24"/>
          <w:szCs w:val="24"/>
        </w:rPr>
      </w:pPr>
      <w:r w:rsidRPr="00050FC4">
        <w:rPr>
          <w:rFonts w:ascii="Times New Roman" w:hAnsi="Times New Roman" w:cs="Times New Roman"/>
          <w:sz w:val="24"/>
          <w:szCs w:val="24"/>
        </w:rPr>
        <w:t>TVIRTINU</w:t>
      </w:r>
    </w:p>
    <w:p w:rsidR="00050FC4" w:rsidRPr="00050FC4" w:rsidRDefault="00050FC4" w:rsidP="00050FC4">
      <w:pPr>
        <w:spacing w:after="0" w:line="240" w:lineRule="auto"/>
        <w:rPr>
          <w:rFonts w:ascii="Times New Roman" w:hAnsi="Times New Roman" w:cs="Times New Roman"/>
          <w:sz w:val="24"/>
          <w:szCs w:val="24"/>
        </w:rPr>
      </w:pP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r>
      <w:r w:rsidRPr="00050FC4">
        <w:rPr>
          <w:rFonts w:ascii="Times New Roman" w:hAnsi="Times New Roman" w:cs="Times New Roman"/>
          <w:sz w:val="24"/>
          <w:szCs w:val="24"/>
        </w:rPr>
        <w:tab/>
        <w:t>KASP Dariaus ir Girėno apygardos</w:t>
      </w:r>
    </w:p>
    <w:p w:rsidR="00050FC4" w:rsidRPr="00050FC4" w:rsidRDefault="00050FC4" w:rsidP="00050FC4">
      <w:pPr>
        <w:spacing w:after="0" w:line="240" w:lineRule="auto"/>
        <w:ind w:left="5760" w:hanging="960"/>
        <w:rPr>
          <w:rFonts w:ascii="Times New Roman" w:hAnsi="Times New Roman" w:cs="Times New Roman"/>
          <w:sz w:val="24"/>
          <w:szCs w:val="24"/>
        </w:rPr>
      </w:pPr>
      <w:r w:rsidRPr="00050FC4">
        <w:rPr>
          <w:rFonts w:ascii="Times New Roman" w:hAnsi="Times New Roman" w:cs="Times New Roman"/>
          <w:sz w:val="24"/>
          <w:szCs w:val="24"/>
        </w:rPr>
        <w:t xml:space="preserve">A. V. </w:t>
      </w:r>
      <w:r w:rsidRPr="00050FC4">
        <w:rPr>
          <w:rFonts w:ascii="Times New Roman" w:hAnsi="Times New Roman" w:cs="Times New Roman"/>
          <w:sz w:val="24"/>
          <w:szCs w:val="24"/>
        </w:rPr>
        <w:tab/>
        <w:t>Rinktinės vadas</w:t>
      </w:r>
    </w:p>
    <w:p w:rsidR="00050FC4" w:rsidRPr="00050FC4" w:rsidRDefault="00050FC4" w:rsidP="00050FC4">
      <w:pPr>
        <w:spacing w:after="0" w:line="240" w:lineRule="auto"/>
        <w:ind w:left="5760" w:hanging="960"/>
        <w:rPr>
          <w:rFonts w:ascii="Times New Roman" w:hAnsi="Times New Roman" w:cs="Times New Roman"/>
          <w:sz w:val="24"/>
          <w:szCs w:val="24"/>
        </w:rPr>
      </w:pPr>
      <w:r w:rsidRPr="00050FC4">
        <w:rPr>
          <w:rFonts w:ascii="Times New Roman" w:hAnsi="Times New Roman" w:cs="Times New Roman"/>
          <w:sz w:val="24"/>
          <w:szCs w:val="24"/>
        </w:rPr>
        <w:t xml:space="preserve">                  </w:t>
      </w:r>
    </w:p>
    <w:p w:rsidR="00050FC4" w:rsidRPr="00050FC4" w:rsidRDefault="00050FC4" w:rsidP="00050FC4">
      <w:pPr>
        <w:spacing w:after="0" w:line="240" w:lineRule="auto"/>
        <w:rPr>
          <w:rFonts w:ascii="Times New Roman" w:hAnsi="Times New Roman" w:cs="Times New Roman"/>
          <w:sz w:val="24"/>
          <w:szCs w:val="24"/>
        </w:rPr>
      </w:pPr>
    </w:p>
    <w:p w:rsidR="00050FC4" w:rsidRPr="00050FC4" w:rsidRDefault="00050FC4" w:rsidP="00050FC4">
      <w:pPr>
        <w:spacing w:after="0" w:line="240" w:lineRule="auto"/>
        <w:rPr>
          <w:rFonts w:ascii="Times New Roman" w:hAnsi="Times New Roman" w:cs="Times New Roman"/>
          <w:sz w:val="24"/>
          <w:szCs w:val="24"/>
        </w:rPr>
      </w:pP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r w:rsidRPr="00050FC4">
        <w:rPr>
          <w:rFonts w:ascii="Times New Roman" w:hAnsi="Times New Roman" w:cs="Times New Roman"/>
          <w:b/>
          <w:sz w:val="24"/>
          <w:szCs w:val="24"/>
        </w:rPr>
        <w:tab/>
      </w:r>
      <w:proofErr w:type="gramStart"/>
      <w:r w:rsidRPr="00050FC4">
        <w:rPr>
          <w:rFonts w:ascii="Times New Roman" w:hAnsi="Times New Roman" w:cs="Times New Roman"/>
          <w:sz w:val="24"/>
          <w:szCs w:val="24"/>
        </w:rPr>
        <w:t>plk</w:t>
      </w:r>
      <w:proofErr w:type="gramEnd"/>
      <w:r w:rsidRPr="00050FC4">
        <w:rPr>
          <w:rFonts w:ascii="Times New Roman" w:hAnsi="Times New Roman" w:cs="Times New Roman"/>
          <w:sz w:val="24"/>
          <w:szCs w:val="24"/>
        </w:rPr>
        <w:t xml:space="preserve">. </w:t>
      </w:r>
      <w:proofErr w:type="gramStart"/>
      <w:r w:rsidRPr="00050FC4">
        <w:rPr>
          <w:rFonts w:ascii="Times New Roman" w:hAnsi="Times New Roman" w:cs="Times New Roman"/>
          <w:sz w:val="24"/>
          <w:szCs w:val="24"/>
        </w:rPr>
        <w:t>ltn</w:t>
      </w:r>
      <w:proofErr w:type="gramEnd"/>
      <w:r w:rsidRPr="00050FC4">
        <w:rPr>
          <w:rFonts w:ascii="Times New Roman" w:hAnsi="Times New Roman" w:cs="Times New Roman"/>
          <w:sz w:val="24"/>
          <w:szCs w:val="24"/>
        </w:rPr>
        <w:t>. Egidijus Morkūnas</w:t>
      </w:r>
    </w:p>
    <w:p w:rsidR="00050FC4" w:rsidRPr="00050FC4" w:rsidRDefault="00050FC4" w:rsidP="00050FC4">
      <w:pPr>
        <w:spacing w:after="0" w:line="240" w:lineRule="auto"/>
        <w:rPr>
          <w:rFonts w:ascii="Times New Roman" w:hAnsi="Times New Roman" w:cs="Times New Roman"/>
          <w:b/>
          <w:sz w:val="24"/>
          <w:szCs w:val="24"/>
        </w:rPr>
      </w:pPr>
    </w:p>
    <w:p w:rsidR="00050FC4" w:rsidRPr="00050FC4" w:rsidRDefault="00050FC4" w:rsidP="00050FC4">
      <w:pPr>
        <w:pStyle w:val="Heading1"/>
        <w:rPr>
          <w:b/>
          <w:szCs w:val="24"/>
        </w:rPr>
      </w:pPr>
      <w:r w:rsidRPr="00050FC4">
        <w:rPr>
          <w:b/>
          <w:szCs w:val="24"/>
        </w:rPr>
        <w:t>MEDŽIŲ PRIEŽIŪROS PASLAUGOS TECHNINĖ SPECIFIKACIJA</w:t>
      </w:r>
    </w:p>
    <w:p w:rsidR="00050FC4" w:rsidRPr="00050FC4" w:rsidRDefault="00050FC4" w:rsidP="00050FC4">
      <w:pPr>
        <w:spacing w:after="0" w:line="240" w:lineRule="auto"/>
        <w:jc w:val="center"/>
        <w:rPr>
          <w:rFonts w:ascii="Times New Roman" w:hAnsi="Times New Roman" w:cs="Times New Roman"/>
          <w:sz w:val="24"/>
          <w:szCs w:val="24"/>
        </w:rPr>
      </w:pPr>
      <w:r w:rsidRPr="00050FC4">
        <w:rPr>
          <w:rFonts w:ascii="Times New Roman" w:hAnsi="Times New Roman" w:cs="Times New Roman"/>
          <w:sz w:val="24"/>
          <w:szCs w:val="24"/>
        </w:rPr>
        <w:t>2025-04-24    Nr. PPK-</w:t>
      </w:r>
    </w:p>
    <w:p w:rsidR="00050FC4" w:rsidRPr="00050FC4" w:rsidRDefault="00050FC4" w:rsidP="00050FC4">
      <w:pPr>
        <w:spacing w:after="0" w:line="240" w:lineRule="auto"/>
        <w:jc w:val="center"/>
        <w:rPr>
          <w:rFonts w:ascii="Times New Roman" w:hAnsi="Times New Roman" w:cs="Times New Roman"/>
          <w:sz w:val="24"/>
          <w:szCs w:val="24"/>
        </w:rPr>
      </w:pPr>
    </w:p>
    <w:p w:rsidR="00050FC4" w:rsidRPr="00050FC4" w:rsidRDefault="00050FC4" w:rsidP="00050FC4">
      <w:pPr>
        <w:spacing w:after="0" w:line="240" w:lineRule="auto"/>
        <w:jc w:val="center"/>
        <w:rPr>
          <w:rFonts w:ascii="Times New Roman" w:hAnsi="Times New Roman" w:cs="Times New Roman"/>
          <w:sz w:val="24"/>
          <w:szCs w:val="24"/>
        </w:rPr>
      </w:pPr>
      <w:r w:rsidRPr="00050FC4">
        <w:rPr>
          <w:rFonts w:ascii="Times New Roman" w:hAnsi="Times New Roman" w:cs="Times New Roman"/>
          <w:sz w:val="24"/>
          <w:szCs w:val="24"/>
        </w:rPr>
        <w:t>77211500-7 Medžių priežiūros paslaugos</w:t>
      </w:r>
    </w:p>
    <w:p w:rsidR="00050FC4" w:rsidRPr="00050FC4" w:rsidRDefault="00050FC4" w:rsidP="00050FC4">
      <w:pPr>
        <w:spacing w:after="0" w:line="240" w:lineRule="auto"/>
        <w:jc w:val="center"/>
        <w:rPr>
          <w:rFonts w:ascii="Times New Roman" w:hAnsi="Times New Roman" w:cs="Times New Roman"/>
          <w:sz w:val="24"/>
          <w:szCs w:val="24"/>
        </w:rPr>
      </w:pPr>
    </w:p>
    <w:tbl>
      <w:tblPr>
        <w:tblStyle w:val="TableGrid"/>
        <w:tblW w:w="0" w:type="auto"/>
        <w:tblInd w:w="-113" w:type="dxa"/>
        <w:tblLook w:val="04A0" w:firstRow="1" w:lastRow="0" w:firstColumn="1" w:lastColumn="0" w:noHBand="0" w:noVBand="1"/>
      </w:tblPr>
      <w:tblGrid>
        <w:gridCol w:w="675"/>
        <w:gridCol w:w="1930"/>
        <w:gridCol w:w="7426"/>
      </w:tblGrid>
      <w:tr w:rsidR="009A315F" w:rsidRPr="00050FC4" w:rsidTr="009A315F">
        <w:tc>
          <w:tcPr>
            <w:tcW w:w="675" w:type="dxa"/>
            <w:vAlign w:val="center"/>
          </w:tcPr>
          <w:p w:rsidR="009A315F" w:rsidRPr="00050FC4" w:rsidRDefault="009A315F" w:rsidP="00050FC4">
            <w:pPr>
              <w:jc w:val="center"/>
              <w:rPr>
                <w:rFonts w:ascii="Times New Roman" w:hAnsi="Times New Roman" w:cs="Times New Roman"/>
                <w:b/>
                <w:sz w:val="24"/>
                <w:szCs w:val="24"/>
              </w:rPr>
            </w:pPr>
            <w:r w:rsidRPr="00050FC4">
              <w:rPr>
                <w:rFonts w:ascii="Times New Roman" w:hAnsi="Times New Roman" w:cs="Times New Roman"/>
                <w:b/>
                <w:sz w:val="24"/>
                <w:szCs w:val="24"/>
              </w:rPr>
              <w:t>Eil. Nr.</w:t>
            </w:r>
          </w:p>
        </w:tc>
        <w:tc>
          <w:tcPr>
            <w:tcW w:w="1930" w:type="dxa"/>
            <w:vAlign w:val="center"/>
          </w:tcPr>
          <w:p w:rsidR="009A315F" w:rsidRPr="00050FC4" w:rsidRDefault="009A315F" w:rsidP="00050FC4">
            <w:pPr>
              <w:jc w:val="center"/>
              <w:rPr>
                <w:rFonts w:ascii="Times New Roman" w:hAnsi="Times New Roman" w:cs="Times New Roman"/>
                <w:b/>
                <w:sz w:val="24"/>
                <w:szCs w:val="24"/>
              </w:rPr>
            </w:pPr>
            <w:r w:rsidRPr="00050FC4">
              <w:rPr>
                <w:rFonts w:ascii="Times New Roman" w:hAnsi="Times New Roman" w:cs="Times New Roman"/>
                <w:b/>
                <w:sz w:val="24"/>
                <w:szCs w:val="24"/>
              </w:rPr>
              <w:t>Pavadinimas</w:t>
            </w:r>
          </w:p>
        </w:tc>
        <w:tc>
          <w:tcPr>
            <w:tcW w:w="7426" w:type="dxa"/>
            <w:vAlign w:val="center"/>
          </w:tcPr>
          <w:p w:rsidR="009A315F" w:rsidRPr="00050FC4" w:rsidRDefault="009A315F" w:rsidP="00050FC4">
            <w:pPr>
              <w:jc w:val="center"/>
              <w:rPr>
                <w:rFonts w:ascii="Times New Roman" w:hAnsi="Times New Roman" w:cs="Times New Roman"/>
                <w:b/>
                <w:sz w:val="24"/>
                <w:szCs w:val="24"/>
              </w:rPr>
            </w:pPr>
            <w:r w:rsidRPr="00050FC4">
              <w:rPr>
                <w:rFonts w:ascii="Times New Roman" w:hAnsi="Times New Roman" w:cs="Times New Roman"/>
                <w:b/>
                <w:sz w:val="24"/>
                <w:szCs w:val="24"/>
              </w:rPr>
              <w:t>Reikalavimai</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Nuo spalio mėn. pabaigos iki balandžio mėn. pradžios </w:t>
            </w:r>
            <w:r w:rsidRPr="00050FC4">
              <w:rPr>
                <w:rFonts w:ascii="Times New Roman" w:hAnsi="Times New Roman" w:cs="Times New Roman"/>
                <w:b/>
                <w:sz w:val="24"/>
                <w:szCs w:val="24"/>
                <w:lang w:val="lt-LT"/>
              </w:rPr>
              <w:t xml:space="preserve">naudoti </w:t>
            </w:r>
            <w:r w:rsidRPr="00050FC4">
              <w:rPr>
                <w:rFonts w:ascii="Times New Roman" w:hAnsi="Times New Roman" w:cs="Times New Roman"/>
                <w:sz w:val="24"/>
                <w:szCs w:val="24"/>
                <w:lang w:val="lt-LT"/>
              </w:rPr>
              <w:t xml:space="preserve">apsaugas nuo žvėrių </w:t>
            </w:r>
            <w:r w:rsidRPr="00050FC4">
              <w:rPr>
                <w:rFonts w:ascii="Times New Roman" w:hAnsi="Times New Roman" w:cs="Times New Roman"/>
                <w:b/>
                <w:sz w:val="24"/>
                <w:szCs w:val="24"/>
                <w:lang w:val="lt-LT"/>
              </w:rPr>
              <w:t>arba</w:t>
            </w:r>
            <w:r w:rsidRPr="00050FC4">
              <w:rPr>
                <w:rFonts w:ascii="Times New Roman" w:hAnsi="Times New Roman" w:cs="Times New Roman"/>
                <w:sz w:val="24"/>
                <w:szCs w:val="24"/>
                <w:lang w:val="lt-LT"/>
              </w:rPr>
              <w:t xml:space="preserve"> repelentus;</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Balandžio mėn. viduryje </w:t>
            </w:r>
            <w:r w:rsidRPr="00050FC4">
              <w:rPr>
                <w:rFonts w:ascii="Times New Roman" w:hAnsi="Times New Roman" w:cs="Times New Roman"/>
                <w:b/>
                <w:sz w:val="24"/>
                <w:szCs w:val="24"/>
                <w:lang w:val="lt-LT"/>
              </w:rPr>
              <w:t>patręšti</w:t>
            </w:r>
            <w:r w:rsidRPr="00050FC4">
              <w:rPr>
                <w:rFonts w:ascii="Times New Roman" w:hAnsi="Times New Roman" w:cs="Times New Roman"/>
                <w:sz w:val="24"/>
                <w:szCs w:val="24"/>
                <w:lang w:val="lt-LT"/>
              </w:rPr>
              <w:t xml:space="preserve"> pavasarinėmis trąšomis (apie 20 g. medeliui). Trąšas berti po kokoso apsaugomis. Tręšti ir kitą pavasarį (po metų). Vėliau tręšimo nebereikia, </w:t>
            </w:r>
            <w:r w:rsidRPr="00050FC4">
              <w:rPr>
                <w:rFonts w:ascii="Times New Roman" w:hAnsi="Times New Roman" w:cs="Times New Roman"/>
                <w:b/>
                <w:sz w:val="24"/>
                <w:szCs w:val="24"/>
                <w:lang w:val="lt-LT"/>
              </w:rPr>
              <w:t xml:space="preserve">stebėti </w:t>
            </w:r>
            <w:r w:rsidRPr="00050FC4">
              <w:rPr>
                <w:rFonts w:ascii="Times New Roman" w:hAnsi="Times New Roman" w:cs="Times New Roman"/>
                <w:sz w:val="24"/>
                <w:szCs w:val="24"/>
                <w:lang w:val="lt-LT"/>
              </w:rPr>
              <w:t xml:space="preserve">medžių būklę. Jei medeliai auga silpnai, lapai smulkūs, </w:t>
            </w:r>
            <w:r w:rsidRPr="00050FC4">
              <w:rPr>
                <w:rFonts w:ascii="Times New Roman" w:hAnsi="Times New Roman" w:cs="Times New Roman"/>
                <w:b/>
                <w:sz w:val="24"/>
                <w:szCs w:val="24"/>
                <w:lang w:val="lt-LT"/>
              </w:rPr>
              <w:t>tręšimą pratęsti</w:t>
            </w:r>
            <w:r w:rsidRPr="00050FC4">
              <w:rPr>
                <w:rFonts w:ascii="Times New Roman" w:hAnsi="Times New Roman" w:cs="Times New Roman"/>
                <w:sz w:val="24"/>
                <w:szCs w:val="24"/>
                <w:lang w:val="lt-LT"/>
              </w:rPr>
              <w:t xml:space="preserve"> dar keletą metų;</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2E656C">
            <w:pPr>
              <w:tabs>
                <w:tab w:val="left" w:pos="221"/>
              </w:tabs>
              <w:rPr>
                <w:rFonts w:ascii="Times New Roman" w:hAnsi="Times New Roman" w:cs="Times New Roman"/>
                <w:sz w:val="24"/>
                <w:szCs w:val="24"/>
                <w:lang w:val="lt-LT"/>
              </w:rPr>
            </w:pPr>
            <w:r w:rsidRPr="00050FC4">
              <w:rPr>
                <w:rFonts w:ascii="Times New Roman" w:hAnsi="Times New Roman" w:cs="Times New Roman"/>
                <w:b/>
                <w:sz w:val="24"/>
                <w:szCs w:val="24"/>
                <w:lang w:val="lt-LT"/>
              </w:rPr>
              <w:t xml:space="preserve">Stebėti </w:t>
            </w:r>
            <w:r w:rsidRPr="00050FC4">
              <w:rPr>
                <w:rFonts w:ascii="Times New Roman" w:hAnsi="Times New Roman" w:cs="Times New Roman"/>
                <w:sz w:val="24"/>
                <w:szCs w:val="24"/>
                <w:lang w:val="lt-LT"/>
              </w:rPr>
              <w:t xml:space="preserve">medelių gyvybingumą pavasarį. Jei atsiras stipriai pažeistų ar neatsprogstančių, </w:t>
            </w:r>
            <w:r w:rsidRPr="00050FC4">
              <w:rPr>
                <w:rFonts w:ascii="Times New Roman" w:hAnsi="Times New Roman" w:cs="Times New Roman"/>
                <w:b/>
                <w:sz w:val="24"/>
                <w:szCs w:val="24"/>
                <w:lang w:val="lt-LT"/>
              </w:rPr>
              <w:t>atsodinti.</w:t>
            </w:r>
            <w:r w:rsidRPr="00050FC4">
              <w:rPr>
                <w:rFonts w:ascii="Times New Roman" w:hAnsi="Times New Roman" w:cs="Times New Roman"/>
                <w:sz w:val="24"/>
                <w:szCs w:val="24"/>
                <w:lang w:val="lt-LT"/>
              </w:rPr>
              <w:t xml:space="preserve"> </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b/>
                <w:sz w:val="24"/>
                <w:szCs w:val="24"/>
                <w:lang w:val="lt-LT"/>
              </w:rPr>
            </w:pPr>
            <w:r w:rsidRPr="00050FC4">
              <w:rPr>
                <w:rFonts w:ascii="Times New Roman" w:hAnsi="Times New Roman" w:cs="Times New Roman"/>
                <w:sz w:val="24"/>
                <w:szCs w:val="24"/>
                <w:lang w:val="lt-LT"/>
              </w:rPr>
              <w:t xml:space="preserve">Šienaujant nepažeisti kamieno. Jei bus šienaujama trimeriais, </w:t>
            </w:r>
            <w:r w:rsidRPr="00050FC4">
              <w:rPr>
                <w:rFonts w:ascii="Times New Roman" w:hAnsi="Times New Roman" w:cs="Times New Roman"/>
                <w:b/>
                <w:sz w:val="24"/>
                <w:szCs w:val="24"/>
                <w:lang w:val="lt-LT"/>
              </w:rPr>
              <w:t>uždėti apsaugas</w:t>
            </w:r>
            <w:r w:rsidRPr="00050FC4">
              <w:rPr>
                <w:rFonts w:ascii="Times New Roman" w:hAnsi="Times New Roman" w:cs="Times New Roman"/>
                <w:sz w:val="24"/>
                <w:szCs w:val="24"/>
                <w:lang w:val="lt-LT"/>
              </w:rPr>
              <w:t>, kurios keičiamos kas pora metų storėjant kamienams;</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b/>
                <w:sz w:val="24"/>
                <w:szCs w:val="24"/>
                <w:lang w:val="lt-LT"/>
              </w:rPr>
              <w:t>Neleisti</w:t>
            </w:r>
            <w:r w:rsidRPr="00050FC4">
              <w:rPr>
                <w:rFonts w:ascii="Times New Roman" w:hAnsi="Times New Roman" w:cs="Times New Roman"/>
                <w:sz w:val="24"/>
                <w:szCs w:val="24"/>
                <w:lang w:val="lt-LT"/>
              </w:rPr>
              <w:t xml:space="preserve"> pomedžiams užželti žole, kol medis nepradės intensyviai augti (4-5 metus). </w:t>
            </w:r>
            <w:r w:rsidRPr="006528C0">
              <w:rPr>
                <w:rFonts w:ascii="Times New Roman" w:hAnsi="Times New Roman" w:cs="Times New Roman"/>
                <w:b/>
                <w:sz w:val="24"/>
                <w:szCs w:val="24"/>
                <w:lang w:val="lt-LT"/>
              </w:rPr>
              <w:t>Naudoti</w:t>
            </w:r>
            <w:r w:rsidRPr="006528C0">
              <w:rPr>
                <w:rFonts w:ascii="Times New Roman" w:hAnsi="Times New Roman" w:cs="Times New Roman"/>
                <w:sz w:val="24"/>
                <w:szCs w:val="24"/>
                <w:lang w:val="lt-LT"/>
              </w:rPr>
              <w:t xml:space="preserve"> kokoso </w:t>
            </w:r>
            <w:r w:rsidRPr="00050FC4">
              <w:rPr>
                <w:rFonts w:ascii="Times New Roman" w:hAnsi="Times New Roman" w:cs="Times New Roman"/>
                <w:sz w:val="24"/>
                <w:szCs w:val="24"/>
                <w:lang w:val="lt-LT"/>
              </w:rPr>
              <w:t xml:space="preserve">pluošto apsaugas esant poreikiui </w:t>
            </w:r>
            <w:r w:rsidRPr="00050FC4">
              <w:rPr>
                <w:rFonts w:ascii="Times New Roman" w:hAnsi="Times New Roman" w:cs="Times New Roman"/>
                <w:b/>
                <w:sz w:val="24"/>
                <w:szCs w:val="24"/>
                <w:lang w:val="lt-LT"/>
              </w:rPr>
              <w:t>apravėti</w:t>
            </w:r>
            <w:r w:rsidRPr="00050FC4">
              <w:rPr>
                <w:rFonts w:ascii="Times New Roman" w:hAnsi="Times New Roman" w:cs="Times New Roman"/>
                <w:sz w:val="24"/>
                <w:szCs w:val="24"/>
                <w:lang w:val="lt-LT"/>
              </w:rPr>
              <w:t xml:space="preserve"> </w:t>
            </w:r>
            <w:r w:rsidRPr="00050FC4">
              <w:rPr>
                <w:rFonts w:ascii="Times New Roman" w:hAnsi="Times New Roman" w:cs="Times New Roman"/>
                <w:b/>
                <w:sz w:val="24"/>
                <w:szCs w:val="24"/>
                <w:lang w:val="lt-LT"/>
              </w:rPr>
              <w:t>arba</w:t>
            </w:r>
            <w:r w:rsidRPr="00050FC4">
              <w:rPr>
                <w:rFonts w:ascii="Times New Roman" w:hAnsi="Times New Roman" w:cs="Times New Roman"/>
                <w:sz w:val="24"/>
                <w:szCs w:val="24"/>
                <w:lang w:val="lt-LT"/>
              </w:rPr>
              <w:t xml:space="preserve"> atsargiai </w:t>
            </w:r>
            <w:r w:rsidRPr="00050FC4">
              <w:rPr>
                <w:rFonts w:ascii="Times New Roman" w:hAnsi="Times New Roman" w:cs="Times New Roman"/>
                <w:b/>
                <w:sz w:val="24"/>
                <w:szCs w:val="24"/>
                <w:lang w:val="lt-LT"/>
              </w:rPr>
              <w:t>nupjauti</w:t>
            </w:r>
            <w:r w:rsidRPr="00050FC4">
              <w:rPr>
                <w:rFonts w:ascii="Times New Roman" w:hAnsi="Times New Roman" w:cs="Times New Roman"/>
                <w:sz w:val="24"/>
                <w:szCs w:val="24"/>
                <w:lang w:val="lt-LT"/>
              </w:rPr>
              <w:t xml:space="preserve"> išdygusią žolę. Geriausia būtų ant jų dėti nupjautą žolę ar kitą mulčią (pvz. pušų žieves).</w:t>
            </w:r>
          </w:p>
        </w:tc>
        <w:bookmarkStart w:id="0" w:name="_GoBack"/>
        <w:bookmarkEnd w:id="0"/>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Kiekvieną pavasarį</w:t>
            </w:r>
            <w:r w:rsidRPr="00050FC4">
              <w:rPr>
                <w:rFonts w:ascii="Times New Roman" w:hAnsi="Times New Roman" w:cs="Times New Roman"/>
                <w:b/>
                <w:sz w:val="24"/>
                <w:szCs w:val="24"/>
                <w:lang w:val="lt-LT"/>
              </w:rPr>
              <w:t xml:space="preserve"> patikrinti</w:t>
            </w:r>
            <w:r w:rsidRPr="00050FC4">
              <w:rPr>
                <w:rFonts w:ascii="Times New Roman" w:hAnsi="Times New Roman" w:cs="Times New Roman"/>
                <w:sz w:val="24"/>
                <w:szCs w:val="24"/>
                <w:lang w:val="lt-LT"/>
              </w:rPr>
              <w:t>, ar nereikia iš naujo perrišti, kad pririšimas neįaugtų į žievę.</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Po 4 metų galima</w:t>
            </w:r>
            <w:r w:rsidRPr="00050FC4">
              <w:rPr>
                <w:rFonts w:ascii="Times New Roman" w:hAnsi="Times New Roman" w:cs="Times New Roman"/>
                <w:b/>
                <w:sz w:val="24"/>
                <w:szCs w:val="24"/>
                <w:lang w:val="lt-LT"/>
              </w:rPr>
              <w:t xml:space="preserve"> nuimti</w:t>
            </w:r>
            <w:r w:rsidRPr="00050FC4">
              <w:rPr>
                <w:rFonts w:ascii="Times New Roman" w:hAnsi="Times New Roman" w:cs="Times New Roman"/>
                <w:sz w:val="24"/>
                <w:szCs w:val="24"/>
                <w:lang w:val="lt-LT"/>
              </w:rPr>
              <w:t xml:space="preserve"> kuolus ir pririšimus.</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Jei medelis auga kreivai, </w:t>
            </w:r>
            <w:r w:rsidRPr="00050FC4">
              <w:rPr>
                <w:rFonts w:ascii="Times New Roman" w:hAnsi="Times New Roman" w:cs="Times New Roman"/>
                <w:b/>
                <w:sz w:val="24"/>
                <w:szCs w:val="24"/>
                <w:lang w:val="lt-LT"/>
              </w:rPr>
              <w:t>ištiesinti</w:t>
            </w:r>
            <w:r w:rsidRPr="00050FC4">
              <w:rPr>
                <w:rFonts w:ascii="Times New Roman" w:hAnsi="Times New Roman" w:cs="Times New Roman"/>
                <w:sz w:val="24"/>
                <w:szCs w:val="24"/>
                <w:lang w:val="lt-LT"/>
              </w:rPr>
              <w:t>. Gali reikėti stabilesnio pririšimo.</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Genėti medžių nereikia, nebent </w:t>
            </w:r>
            <w:r w:rsidRPr="00050FC4">
              <w:rPr>
                <w:rFonts w:ascii="Times New Roman" w:hAnsi="Times New Roman" w:cs="Times New Roman"/>
                <w:b/>
                <w:sz w:val="24"/>
                <w:szCs w:val="24"/>
                <w:lang w:val="lt-LT"/>
              </w:rPr>
              <w:t xml:space="preserve">pašalinti </w:t>
            </w:r>
            <w:r w:rsidRPr="00050FC4">
              <w:rPr>
                <w:rFonts w:ascii="Times New Roman" w:hAnsi="Times New Roman" w:cs="Times New Roman"/>
                <w:sz w:val="24"/>
                <w:szCs w:val="24"/>
                <w:lang w:val="lt-LT"/>
              </w:rPr>
              <w:t>nudžiūvusias, nulūžusias šakas.</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jc w:val="center"/>
              <w:rPr>
                <w:rFonts w:ascii="Times New Roman" w:hAnsi="Times New Roman" w:cs="Times New Roman"/>
                <w:sz w:val="24"/>
                <w:szCs w:val="24"/>
                <w:lang w:val="lt-LT"/>
              </w:rPr>
            </w:pPr>
            <w:r w:rsidRPr="00050FC4">
              <w:rPr>
                <w:rFonts w:ascii="Times New Roman" w:hAnsi="Times New Roman" w:cs="Times New Roman"/>
                <w:sz w:val="24"/>
                <w:szCs w:val="24"/>
                <w:lang w:val="lt-LT"/>
              </w:rPr>
              <w:t>72vnt. Ąžuolų priežiūros rekomendacija</w:t>
            </w:r>
          </w:p>
        </w:tc>
        <w:tc>
          <w:tcPr>
            <w:tcW w:w="7426" w:type="dxa"/>
            <w:vAlign w:val="center"/>
          </w:tcPr>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Stebėti ligas ir kenkėjus. Dažniausiai gali pažeisti miltligė. </w:t>
            </w:r>
          </w:p>
          <w:p w:rsidR="009A315F" w:rsidRPr="00050FC4" w:rsidRDefault="009A315F" w:rsidP="00050FC4">
            <w:pPr>
              <w:tabs>
                <w:tab w:val="left" w:pos="221"/>
              </w:tabs>
              <w:rPr>
                <w:rFonts w:ascii="Times New Roman" w:hAnsi="Times New Roman" w:cs="Times New Roman"/>
                <w:sz w:val="24"/>
                <w:szCs w:val="24"/>
                <w:lang w:val="lt-LT"/>
              </w:rPr>
            </w:pPr>
            <w:r w:rsidRPr="00050FC4">
              <w:rPr>
                <w:rFonts w:ascii="Times New Roman" w:hAnsi="Times New Roman" w:cs="Times New Roman"/>
                <w:b/>
                <w:sz w:val="24"/>
                <w:szCs w:val="24"/>
                <w:lang w:val="lt-LT"/>
              </w:rPr>
              <w:t>Purkšti</w:t>
            </w:r>
            <w:r w:rsidRPr="00050FC4">
              <w:rPr>
                <w:rFonts w:ascii="Times New Roman" w:hAnsi="Times New Roman" w:cs="Times New Roman"/>
                <w:sz w:val="24"/>
                <w:szCs w:val="24"/>
                <w:lang w:val="lt-LT"/>
              </w:rPr>
              <w:t xml:space="preserve"> fungicidais.</w:t>
            </w:r>
          </w:p>
        </w:tc>
      </w:tr>
      <w:tr w:rsidR="009A315F" w:rsidRPr="00050FC4" w:rsidTr="009A315F">
        <w:tc>
          <w:tcPr>
            <w:tcW w:w="675" w:type="dxa"/>
            <w:vAlign w:val="center"/>
          </w:tcPr>
          <w:p w:rsidR="009A315F" w:rsidRPr="00050FC4" w:rsidRDefault="009A315F" w:rsidP="008C0513">
            <w:pPr>
              <w:pStyle w:val="ListParagraph"/>
              <w:numPr>
                <w:ilvl w:val="0"/>
                <w:numId w:val="3"/>
              </w:numPr>
              <w:jc w:val="center"/>
              <w:rPr>
                <w:rFonts w:ascii="Times New Roman" w:hAnsi="Times New Roman" w:cs="Times New Roman"/>
                <w:b/>
                <w:sz w:val="24"/>
                <w:szCs w:val="24"/>
              </w:rPr>
            </w:pPr>
          </w:p>
        </w:tc>
        <w:tc>
          <w:tcPr>
            <w:tcW w:w="1930" w:type="dxa"/>
            <w:vAlign w:val="center"/>
          </w:tcPr>
          <w:p w:rsidR="009A315F" w:rsidRPr="00050FC4" w:rsidRDefault="009A315F" w:rsidP="00050FC4">
            <w:pPr>
              <w:suppressAutoHyphens/>
              <w:jc w:val="center"/>
              <w:rPr>
                <w:rFonts w:ascii="Times New Roman" w:hAnsi="Times New Roman" w:cs="Times New Roman"/>
                <w:sz w:val="24"/>
                <w:szCs w:val="24"/>
                <w:lang w:val="lt-LT" w:eastAsia="lt-LT"/>
              </w:rPr>
            </w:pPr>
            <w:r w:rsidRPr="00050FC4">
              <w:rPr>
                <w:rFonts w:ascii="Times New Roman" w:hAnsi="Times New Roman" w:cs="Times New Roman"/>
                <w:sz w:val="24"/>
                <w:szCs w:val="24"/>
                <w:lang w:val="lt-LT" w:eastAsia="lt-LT"/>
              </w:rPr>
              <w:t>Žaliųjų pirkimų reikalavimai</w:t>
            </w:r>
          </w:p>
        </w:tc>
        <w:tc>
          <w:tcPr>
            <w:tcW w:w="7426" w:type="dxa"/>
            <w:vAlign w:val="center"/>
          </w:tcPr>
          <w:p w:rsidR="009A315F" w:rsidRPr="00050FC4" w:rsidRDefault="009A315F" w:rsidP="00050FC4">
            <w:pPr>
              <w:suppressAutoHyphens/>
              <w:ind w:firstLine="851"/>
              <w:jc w:val="both"/>
              <w:rPr>
                <w:rFonts w:ascii="Times New Roman" w:hAnsi="Times New Roman" w:cs="Times New Roman"/>
                <w:b/>
                <w:sz w:val="24"/>
                <w:szCs w:val="24"/>
                <w:lang w:val="lt-LT"/>
              </w:rPr>
            </w:pPr>
            <w:r w:rsidRPr="00050FC4">
              <w:rPr>
                <w:rFonts w:ascii="Times New Roman" w:hAnsi="Times New Roman" w:cs="Times New Roman"/>
                <w:sz w:val="24"/>
                <w:szCs w:val="24"/>
                <w:lang w:val="lt-LT"/>
              </w:rPr>
              <w:t xml:space="preserve">Vadovaujantis 2011 m. birželio 28 d. Nr. D1-508 LIETUVOS RESPUBLIKOS APLINKOS MINISTRO ĮSAKYMU: „DĖL APLINKOS APSAUGOS KRITERIJŲ TAIKYMO, VYKDANT ŽALIUOSIUS PIRKIMUS, TVARKOS APRAŠO PATVIRTINIMO“ </w:t>
            </w:r>
            <w:r w:rsidRPr="00050FC4">
              <w:rPr>
                <w:rFonts w:ascii="Times New Roman" w:hAnsi="Times New Roman" w:cs="Times New Roman"/>
                <w:b/>
                <w:sz w:val="24"/>
                <w:szCs w:val="24"/>
                <w:lang w:val="lt-LT"/>
              </w:rPr>
              <w:t>taikomi šie punktai:</w:t>
            </w:r>
          </w:p>
          <w:p w:rsidR="009A315F" w:rsidRPr="00050FC4" w:rsidRDefault="009A315F" w:rsidP="00050FC4">
            <w:pPr>
              <w:suppressAutoHyphens/>
              <w:ind w:firstLine="851"/>
              <w:jc w:val="both"/>
              <w:rPr>
                <w:rFonts w:ascii="Times New Roman" w:hAnsi="Times New Roman" w:cs="Times New Roman"/>
                <w:sz w:val="24"/>
                <w:szCs w:val="24"/>
                <w:lang w:val="lt-LT"/>
              </w:rPr>
            </w:pPr>
            <w:r w:rsidRPr="00050FC4">
              <w:rPr>
                <w:rFonts w:ascii="Times New Roman" w:hAnsi="Times New Roman" w:cs="Times New Roman"/>
                <w:sz w:val="24"/>
                <w:szCs w:val="24"/>
                <w:lang w:val="lt-LT"/>
              </w:rPr>
              <w:t xml:space="preserve">12.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7" w:history="1">
              <w:r w:rsidRPr="00050FC4">
                <w:rPr>
                  <w:rFonts w:ascii="Times New Roman" w:hAnsi="Times New Roman" w:cs="Times New Roman"/>
                  <w:color w:val="0563C1" w:themeColor="hyperlink"/>
                  <w:sz w:val="24"/>
                  <w:szCs w:val="24"/>
                  <w:u w:val="single"/>
                  <w:lang w:val="lt-LT"/>
                </w:rPr>
                <w:t>www.vatzum.lt</w:t>
              </w:r>
            </w:hyperlink>
            <w:r w:rsidRPr="00050FC4">
              <w:rPr>
                <w:rFonts w:ascii="Times New Roman" w:hAnsi="Times New Roman" w:cs="Times New Roman"/>
                <w:sz w:val="24"/>
                <w:szCs w:val="24"/>
                <w:lang w:val="lt-LT"/>
              </w:rPr>
              <w:t>.</w:t>
            </w:r>
          </w:p>
          <w:p w:rsidR="009A315F" w:rsidRPr="00050FC4" w:rsidRDefault="009A315F" w:rsidP="00050FC4">
            <w:pPr>
              <w:suppressLineNumbers/>
              <w:suppressAutoHyphens/>
              <w:ind w:firstLine="851"/>
              <w:rPr>
                <w:rFonts w:ascii="Times New Roman" w:eastAsia="Arial" w:hAnsi="Times New Roman" w:cs="Times New Roman"/>
                <w:sz w:val="24"/>
                <w:szCs w:val="24"/>
                <w:lang w:val="lt-LT" w:eastAsia="en-GB"/>
              </w:rPr>
            </w:pPr>
            <w:r w:rsidRPr="00050FC4">
              <w:rPr>
                <w:rFonts w:ascii="Times New Roman" w:eastAsia="Arial" w:hAnsi="Times New Roman" w:cs="Times New Roman"/>
                <w:sz w:val="24"/>
                <w:szCs w:val="24"/>
                <w:lang w:val="lt-LT" w:eastAsia="en-GB"/>
              </w:rPr>
              <w:t>14.1. technika turinti vidaus degimo variklį ar elektros variklį turi atitikti bent vieną iš šių minimalių aplinkos apsaugos kriterijų:</w:t>
            </w:r>
          </w:p>
          <w:p w:rsidR="009A315F" w:rsidRPr="00050FC4" w:rsidRDefault="009A315F" w:rsidP="00050FC4">
            <w:pPr>
              <w:suppressLineNumbers/>
              <w:suppressAutoHyphens/>
              <w:ind w:firstLine="851"/>
              <w:rPr>
                <w:rFonts w:ascii="Times New Roman" w:eastAsia="Arial" w:hAnsi="Times New Roman" w:cs="Times New Roman"/>
                <w:sz w:val="24"/>
                <w:szCs w:val="24"/>
                <w:lang w:val="lt-LT" w:eastAsia="en-GB"/>
              </w:rPr>
            </w:pPr>
            <w:r w:rsidRPr="00050FC4">
              <w:rPr>
                <w:rFonts w:ascii="Times New Roman" w:eastAsia="Arial" w:hAnsi="Times New Roman" w:cs="Times New Roman"/>
                <w:sz w:val="24"/>
                <w:szCs w:val="24"/>
                <w:lang w:val="lt-LT" w:eastAsia="en-GB"/>
              </w:rPr>
              <w:t>14.1.1. ne mažesnį kaip „Euro 6“ standartą, nustatytą Reglamentu (EB) Nr. 715/2007;</w:t>
            </w:r>
          </w:p>
          <w:p w:rsidR="009A315F" w:rsidRPr="00050FC4" w:rsidRDefault="009A315F" w:rsidP="00050FC4">
            <w:pPr>
              <w:suppressLineNumbers/>
              <w:suppressAutoHyphens/>
              <w:ind w:firstLine="851"/>
              <w:jc w:val="both"/>
              <w:rPr>
                <w:rFonts w:ascii="Times New Roman" w:eastAsia="Arial" w:hAnsi="Times New Roman" w:cs="Times New Roman"/>
                <w:sz w:val="24"/>
                <w:szCs w:val="24"/>
                <w:lang w:val="lt-LT" w:eastAsia="en-GB"/>
              </w:rPr>
            </w:pPr>
            <w:r w:rsidRPr="00050FC4">
              <w:rPr>
                <w:rFonts w:ascii="Times New Roman" w:eastAsia="Arial" w:hAnsi="Times New Roman" w:cs="Times New Roman"/>
                <w:sz w:val="24"/>
                <w:szCs w:val="24"/>
                <w:lang w:val="lt-LT" w:eastAsia="en-GB"/>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rsidR="009A315F" w:rsidRPr="00050FC4" w:rsidRDefault="009A315F" w:rsidP="00050FC4">
            <w:pPr>
              <w:suppressLineNumbers/>
              <w:suppressAutoHyphens/>
              <w:ind w:firstLine="851"/>
              <w:jc w:val="both"/>
              <w:rPr>
                <w:rFonts w:ascii="Times New Roman" w:eastAsia="Arial" w:hAnsi="Times New Roman" w:cs="Times New Roman"/>
                <w:sz w:val="24"/>
                <w:szCs w:val="24"/>
                <w:lang w:val="lt-LT" w:eastAsia="en-GB"/>
              </w:rPr>
            </w:pPr>
            <w:r w:rsidRPr="00050FC4">
              <w:rPr>
                <w:rFonts w:ascii="Times New Roman" w:eastAsia="Arial" w:hAnsi="Times New Roman" w:cs="Times New Roman"/>
                <w:sz w:val="24"/>
                <w:szCs w:val="24"/>
                <w:lang w:val="lt-LT" w:eastAsia="en-GB"/>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rsidR="009A315F" w:rsidRPr="00050FC4" w:rsidRDefault="009A315F" w:rsidP="00050FC4">
            <w:pPr>
              <w:suppressLineNumbers/>
              <w:suppressAutoHyphens/>
              <w:ind w:firstLine="851"/>
              <w:rPr>
                <w:rFonts w:ascii="Times New Roman" w:eastAsia="Arial" w:hAnsi="Times New Roman" w:cs="Times New Roman"/>
                <w:sz w:val="24"/>
                <w:szCs w:val="24"/>
                <w:lang w:val="lt-LT" w:eastAsia="en-GB"/>
              </w:rPr>
            </w:pPr>
            <w:r w:rsidRPr="00050FC4">
              <w:rPr>
                <w:rFonts w:ascii="Times New Roman" w:eastAsia="Arial" w:hAnsi="Times New Roman" w:cs="Times New Roman"/>
                <w:sz w:val="24"/>
                <w:szCs w:val="24"/>
                <w:lang w:val="lt-LT" w:eastAsia="en-GB"/>
              </w:rPr>
              <w:t>14.1.4. akumuliatoriumi ar elektra varoma technika, kuri neišmeta teršalų.</w:t>
            </w:r>
          </w:p>
        </w:tc>
      </w:tr>
    </w:tbl>
    <w:p w:rsidR="00050FC4" w:rsidRPr="00050FC4" w:rsidRDefault="00050FC4" w:rsidP="00050FC4">
      <w:pPr>
        <w:spacing w:after="0" w:line="240" w:lineRule="auto"/>
        <w:jc w:val="center"/>
        <w:rPr>
          <w:rFonts w:ascii="Times New Roman" w:hAnsi="Times New Roman" w:cs="Times New Roman"/>
          <w:b/>
          <w:sz w:val="24"/>
          <w:szCs w:val="24"/>
        </w:rPr>
      </w:pPr>
    </w:p>
    <w:p w:rsidR="008C0513" w:rsidRPr="00FA622F" w:rsidRDefault="008C0513" w:rsidP="008C0513">
      <w:pPr>
        <w:spacing w:after="0" w:line="240" w:lineRule="auto"/>
        <w:rPr>
          <w:rFonts w:ascii="Times New Roman" w:hAnsi="Times New Roman" w:cs="Times New Roman"/>
          <w:sz w:val="24"/>
        </w:rPr>
      </w:pPr>
      <w:r w:rsidRPr="00FA622F">
        <w:rPr>
          <w:rFonts w:ascii="Times New Roman" w:hAnsi="Times New Roman" w:cs="Times New Roman"/>
          <w:sz w:val="24"/>
        </w:rPr>
        <w:t xml:space="preserve">Techninę specifikaciją rengė: </w:t>
      </w:r>
    </w:p>
    <w:p w:rsidR="008C0513" w:rsidRPr="00FA622F" w:rsidRDefault="008C0513" w:rsidP="008C0513">
      <w:pPr>
        <w:spacing w:after="0" w:line="240" w:lineRule="auto"/>
        <w:rPr>
          <w:rFonts w:ascii="Times New Roman" w:hAnsi="Times New Roman" w:cs="Times New Roman"/>
          <w:sz w:val="24"/>
        </w:rPr>
      </w:pPr>
      <w:proofErr w:type="gramStart"/>
      <w:r>
        <w:rPr>
          <w:rFonts w:ascii="Times New Roman" w:hAnsi="Times New Roman" w:cs="Times New Roman"/>
          <w:sz w:val="24"/>
        </w:rPr>
        <w:t>210</w:t>
      </w:r>
      <w:proofErr w:type="gramEnd"/>
      <w:r>
        <w:rPr>
          <w:rFonts w:ascii="Times New Roman" w:hAnsi="Times New Roman" w:cs="Times New Roman"/>
          <w:sz w:val="24"/>
        </w:rPr>
        <w:t xml:space="preserve"> PK intendantas                                                                                         srž. Artūras Valantinas</w:t>
      </w:r>
    </w:p>
    <w:p w:rsidR="00026CB2" w:rsidRPr="00050FC4" w:rsidRDefault="00026CB2">
      <w:pPr>
        <w:rPr>
          <w:rFonts w:ascii="Times New Roman" w:hAnsi="Times New Roman" w:cs="Times New Roman"/>
          <w:sz w:val="24"/>
          <w:szCs w:val="24"/>
        </w:rPr>
      </w:pPr>
    </w:p>
    <w:sectPr w:rsidR="00026CB2" w:rsidRPr="00050FC4" w:rsidSect="00050FC4">
      <w:headerReference w:type="default" r:id="rId8"/>
      <w:pgSz w:w="12240" w:h="15840"/>
      <w:pgMar w:top="1701" w:right="567"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D5C" w:rsidRDefault="00521D5C" w:rsidP="00050FC4">
      <w:pPr>
        <w:spacing w:after="0" w:line="240" w:lineRule="auto"/>
      </w:pPr>
      <w:r>
        <w:separator/>
      </w:r>
    </w:p>
  </w:endnote>
  <w:endnote w:type="continuationSeparator" w:id="0">
    <w:p w:rsidR="00521D5C" w:rsidRDefault="00521D5C" w:rsidP="0005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D5C" w:rsidRDefault="00521D5C" w:rsidP="00050FC4">
      <w:pPr>
        <w:spacing w:after="0" w:line="240" w:lineRule="auto"/>
      </w:pPr>
      <w:r>
        <w:separator/>
      </w:r>
    </w:p>
  </w:footnote>
  <w:footnote w:type="continuationSeparator" w:id="0">
    <w:p w:rsidR="00521D5C" w:rsidRDefault="00521D5C" w:rsidP="0005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FC4" w:rsidRPr="00A91483" w:rsidRDefault="00050FC4" w:rsidP="00050FC4">
    <w:pPr>
      <w:tabs>
        <w:tab w:val="left" w:pos="720"/>
      </w:tabs>
      <w:spacing w:after="0" w:line="240" w:lineRule="auto"/>
      <w:ind w:left="6379"/>
      <w:rPr>
        <w:rFonts w:ascii="Times New Roman" w:hAnsi="Times New Roman" w:cs="Times New Roman"/>
        <w:bCs/>
        <w:noProof/>
        <w:sz w:val="20"/>
        <w:lang w:eastAsia="lt-LT"/>
      </w:rPr>
    </w:pPr>
    <w:r w:rsidRPr="00A91483">
      <w:rPr>
        <w:rFonts w:ascii="Times New Roman" w:hAnsi="Times New Roman" w:cs="Times New Roman"/>
        <w:bCs/>
        <w:noProof/>
        <w:sz w:val="20"/>
        <w:lang w:eastAsia="lt-LT"/>
      </w:rPr>
      <w:t xml:space="preserve">Mažos vertės pirkimų organizavimo, priežiūros ir kontrolės </w:t>
    </w:r>
  </w:p>
  <w:p w:rsidR="00050FC4" w:rsidRPr="00A91483" w:rsidRDefault="00050FC4" w:rsidP="00050FC4">
    <w:pPr>
      <w:tabs>
        <w:tab w:val="left" w:pos="720"/>
      </w:tabs>
      <w:spacing w:after="0" w:line="240" w:lineRule="auto"/>
      <w:ind w:left="6379"/>
      <w:rPr>
        <w:rFonts w:ascii="Times New Roman" w:hAnsi="Times New Roman" w:cs="Times New Roman"/>
        <w:bCs/>
        <w:noProof/>
        <w:sz w:val="20"/>
        <w:lang w:eastAsia="lt-LT"/>
      </w:rPr>
    </w:pPr>
    <w:r w:rsidRPr="00A91483">
      <w:rPr>
        <w:rFonts w:ascii="Times New Roman" w:hAnsi="Times New Roman" w:cs="Times New Roman"/>
        <w:bCs/>
        <w:noProof/>
        <w:sz w:val="20"/>
        <w:lang w:eastAsia="lt-LT"/>
      </w:rPr>
      <w:t>tvarkos aprašo</w:t>
    </w:r>
  </w:p>
  <w:p w:rsidR="00050FC4" w:rsidRPr="00050FC4" w:rsidRDefault="00050FC4" w:rsidP="00050FC4">
    <w:pPr>
      <w:tabs>
        <w:tab w:val="left" w:pos="720"/>
      </w:tabs>
      <w:spacing w:after="0" w:line="240" w:lineRule="auto"/>
      <w:ind w:left="6379"/>
      <w:rPr>
        <w:rFonts w:ascii="Times New Roman" w:hAnsi="Times New Roman" w:cs="Times New Roman"/>
        <w:bCs/>
        <w:noProof/>
        <w:sz w:val="20"/>
        <w:lang w:eastAsia="lt-LT"/>
      </w:rPr>
    </w:pPr>
    <w:r w:rsidRPr="00A91483">
      <w:rPr>
        <w:rFonts w:ascii="Times New Roman" w:hAnsi="Times New Roman" w:cs="Times New Roman"/>
        <w:bCs/>
        <w:noProof/>
        <w:sz w:val="20"/>
        <w:lang w:eastAsia="lt-LT"/>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FAA"/>
    <w:multiLevelType w:val="hybridMultilevel"/>
    <w:tmpl w:val="D1DA2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A176C4"/>
    <w:multiLevelType w:val="hybridMultilevel"/>
    <w:tmpl w:val="3D88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D7BF5"/>
    <w:multiLevelType w:val="hybridMultilevel"/>
    <w:tmpl w:val="84D43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BA"/>
    <w:rsid w:val="00026CB2"/>
    <w:rsid w:val="00050FC4"/>
    <w:rsid w:val="001A42A2"/>
    <w:rsid w:val="0029301F"/>
    <w:rsid w:val="002E656C"/>
    <w:rsid w:val="003677BA"/>
    <w:rsid w:val="00521D5C"/>
    <w:rsid w:val="006528C0"/>
    <w:rsid w:val="00763A67"/>
    <w:rsid w:val="008C0513"/>
    <w:rsid w:val="009A315F"/>
    <w:rsid w:val="00CB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01F8-A516-45F6-A459-E8E42441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0FC4"/>
    <w:pPr>
      <w:keepNext/>
      <w:spacing w:after="0" w:line="240" w:lineRule="auto"/>
      <w:jc w:val="center"/>
      <w:outlineLvl w:val="0"/>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FC4"/>
    <w:pPr>
      <w:tabs>
        <w:tab w:val="center" w:pos="4986"/>
        <w:tab w:val="right" w:pos="9972"/>
      </w:tabs>
      <w:spacing w:after="0" w:line="240" w:lineRule="auto"/>
    </w:pPr>
  </w:style>
  <w:style w:type="character" w:customStyle="1" w:styleId="HeaderChar">
    <w:name w:val="Header Char"/>
    <w:basedOn w:val="DefaultParagraphFont"/>
    <w:link w:val="Header"/>
    <w:uiPriority w:val="99"/>
    <w:rsid w:val="00050FC4"/>
  </w:style>
  <w:style w:type="paragraph" w:styleId="Footer">
    <w:name w:val="footer"/>
    <w:basedOn w:val="Normal"/>
    <w:link w:val="FooterChar"/>
    <w:uiPriority w:val="99"/>
    <w:unhideWhenUsed/>
    <w:rsid w:val="00050FC4"/>
    <w:pPr>
      <w:tabs>
        <w:tab w:val="center" w:pos="4986"/>
        <w:tab w:val="right" w:pos="9972"/>
      </w:tabs>
      <w:spacing w:after="0" w:line="240" w:lineRule="auto"/>
    </w:pPr>
  </w:style>
  <w:style w:type="character" w:customStyle="1" w:styleId="FooterChar">
    <w:name w:val="Footer Char"/>
    <w:basedOn w:val="DefaultParagraphFont"/>
    <w:link w:val="Footer"/>
    <w:uiPriority w:val="99"/>
    <w:rsid w:val="00050FC4"/>
  </w:style>
  <w:style w:type="character" w:customStyle="1" w:styleId="Heading1Char">
    <w:name w:val="Heading 1 Char"/>
    <w:basedOn w:val="DefaultParagraphFont"/>
    <w:link w:val="Heading1"/>
    <w:rsid w:val="00050FC4"/>
    <w:rPr>
      <w:rFonts w:ascii="Times New Roman" w:eastAsia="Times New Roman" w:hAnsi="Times New Roman" w:cs="Times New Roman"/>
      <w:sz w:val="24"/>
      <w:szCs w:val="20"/>
      <w:lang w:val="lt-LT"/>
    </w:rPr>
  </w:style>
  <w:style w:type="table" w:styleId="TableGrid">
    <w:name w:val="Table Grid"/>
    <w:basedOn w:val="TableNormal"/>
    <w:uiPriority w:val="39"/>
    <w:rsid w:val="0005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t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Rainys</dc:creator>
  <cp:keywords/>
  <dc:description/>
  <cp:lastModifiedBy>Deimantas Rainys</cp:lastModifiedBy>
  <cp:revision>5</cp:revision>
  <dcterms:created xsi:type="dcterms:W3CDTF">2025-05-22T09:03:00Z</dcterms:created>
  <dcterms:modified xsi:type="dcterms:W3CDTF">2025-06-03T11:42:00Z</dcterms:modified>
</cp:coreProperties>
</file>