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C090" w14:textId="1B77F6EC" w:rsidR="00F70641" w:rsidRPr="0099772C" w:rsidRDefault="00F70641" w:rsidP="00F70641">
      <w:pPr>
        <w:widowControl w:val="0"/>
        <w:autoSpaceDE w:val="0"/>
        <w:autoSpaceDN w:val="0"/>
        <w:adjustRightInd w:val="0"/>
        <w:spacing w:after="0" w:line="240" w:lineRule="auto"/>
        <w:ind w:left="5184"/>
        <w:rPr>
          <w:rFonts w:ascii="Times New Roman" w:hAnsi="Times New Roman" w:cs="Times New Roman"/>
          <w:sz w:val="24"/>
          <w:szCs w:val="24"/>
          <w:lang w:eastAsia="lt-LT"/>
        </w:rPr>
      </w:pPr>
      <w:r w:rsidRPr="0099772C">
        <w:rPr>
          <w:rFonts w:ascii="Times New Roman" w:hAnsi="Times New Roman" w:cs="Times New Roman"/>
          <w:sz w:val="24"/>
          <w:szCs w:val="24"/>
          <w:lang w:eastAsia="lt-LT"/>
        </w:rPr>
        <w:t xml:space="preserve">                    TVIRTINU</w:t>
      </w:r>
    </w:p>
    <w:p w14:paraId="27422922" w14:textId="77777777" w:rsidR="00F70641" w:rsidRPr="0099772C" w:rsidRDefault="00F70641" w:rsidP="00F70641">
      <w:pPr>
        <w:widowControl w:val="0"/>
        <w:autoSpaceDE w:val="0"/>
        <w:autoSpaceDN w:val="0"/>
        <w:adjustRightInd w:val="0"/>
        <w:spacing w:after="0" w:line="240" w:lineRule="auto"/>
        <w:jc w:val="center"/>
        <w:rPr>
          <w:rFonts w:ascii="Times New Roman" w:hAnsi="Times New Roman" w:cs="Times New Roman"/>
          <w:sz w:val="24"/>
          <w:szCs w:val="24"/>
          <w:lang w:eastAsia="lt-LT"/>
        </w:rPr>
      </w:pPr>
      <w:r w:rsidRPr="0099772C">
        <w:rPr>
          <w:rFonts w:ascii="Times New Roman" w:hAnsi="Times New Roman" w:cs="Times New Roman"/>
          <w:sz w:val="24"/>
          <w:szCs w:val="24"/>
          <w:lang w:eastAsia="lt-LT"/>
        </w:rPr>
        <w:t xml:space="preserve">                                                                                                      Klaipėdos rajono savivaldybės</w:t>
      </w:r>
    </w:p>
    <w:p w14:paraId="3030C882" w14:textId="77777777" w:rsidR="00F70641" w:rsidRPr="0099772C" w:rsidRDefault="00F70641" w:rsidP="00F70641">
      <w:pPr>
        <w:widowControl w:val="0"/>
        <w:autoSpaceDE w:val="0"/>
        <w:autoSpaceDN w:val="0"/>
        <w:adjustRightInd w:val="0"/>
        <w:spacing w:after="0" w:line="240" w:lineRule="auto"/>
        <w:jc w:val="center"/>
        <w:rPr>
          <w:rFonts w:ascii="Times New Roman" w:hAnsi="Times New Roman" w:cs="Times New Roman"/>
          <w:sz w:val="24"/>
          <w:szCs w:val="24"/>
          <w:lang w:eastAsia="lt-LT"/>
        </w:rPr>
      </w:pPr>
      <w:r w:rsidRPr="0099772C">
        <w:rPr>
          <w:rFonts w:ascii="Times New Roman" w:hAnsi="Times New Roman" w:cs="Times New Roman"/>
          <w:sz w:val="24"/>
          <w:szCs w:val="24"/>
          <w:lang w:eastAsia="lt-LT"/>
        </w:rPr>
        <w:t xml:space="preserve">                                                                                                administracijos direktorius</w:t>
      </w:r>
    </w:p>
    <w:p w14:paraId="61610169" w14:textId="23D0907C" w:rsidR="007E6097" w:rsidRPr="0099772C" w:rsidRDefault="00F70641" w:rsidP="00F70641">
      <w:pPr>
        <w:rPr>
          <w:rFonts w:ascii="Times New Roman" w:hAnsi="Times New Roman" w:cs="Times New Roman"/>
          <w:sz w:val="24"/>
          <w:szCs w:val="24"/>
        </w:rPr>
      </w:pPr>
      <w:r w:rsidRPr="0099772C">
        <w:rPr>
          <w:rFonts w:ascii="Times New Roman" w:hAnsi="Times New Roman" w:cs="Times New Roman"/>
          <w:sz w:val="24"/>
          <w:szCs w:val="24"/>
          <w:lang w:eastAsia="lt-LT"/>
        </w:rPr>
        <w:t xml:space="preserve">                         </w:t>
      </w:r>
      <w:r w:rsidRPr="0099772C">
        <w:rPr>
          <w:rFonts w:ascii="Times New Roman" w:hAnsi="Times New Roman" w:cs="Times New Roman"/>
          <w:sz w:val="24"/>
          <w:szCs w:val="24"/>
          <w:lang w:eastAsia="lt-LT"/>
        </w:rPr>
        <w:tab/>
      </w:r>
      <w:r w:rsidRPr="0099772C">
        <w:rPr>
          <w:rFonts w:ascii="Times New Roman" w:hAnsi="Times New Roman" w:cs="Times New Roman"/>
          <w:sz w:val="24"/>
          <w:szCs w:val="24"/>
          <w:lang w:eastAsia="lt-LT"/>
        </w:rPr>
        <w:tab/>
        <w:t xml:space="preserve">                                        </w:t>
      </w:r>
      <w:r w:rsidR="0099772C">
        <w:rPr>
          <w:rFonts w:ascii="Times New Roman" w:hAnsi="Times New Roman" w:cs="Times New Roman"/>
          <w:sz w:val="24"/>
          <w:szCs w:val="24"/>
          <w:lang w:eastAsia="lt-LT"/>
        </w:rPr>
        <w:t xml:space="preserve">  </w:t>
      </w:r>
      <w:r w:rsidRPr="0099772C">
        <w:rPr>
          <w:rFonts w:ascii="Times New Roman" w:hAnsi="Times New Roman" w:cs="Times New Roman"/>
          <w:sz w:val="24"/>
          <w:szCs w:val="24"/>
          <w:lang w:eastAsia="lt-LT"/>
        </w:rPr>
        <w:t>Jevgenijus Bardauskas</w:t>
      </w:r>
    </w:p>
    <w:p w14:paraId="4BD3828A" w14:textId="77777777" w:rsidR="00F70641" w:rsidRPr="0099772C" w:rsidRDefault="00F70641">
      <w:pPr>
        <w:rPr>
          <w:rFonts w:ascii="Times New Roman" w:hAnsi="Times New Roman" w:cs="Times New Roman"/>
          <w:sz w:val="24"/>
          <w:szCs w:val="24"/>
        </w:rPr>
      </w:pPr>
    </w:p>
    <w:p w14:paraId="5AF49F59" w14:textId="73F41F72" w:rsidR="00F70641" w:rsidRPr="0099772C" w:rsidRDefault="00F70641" w:rsidP="00F70641">
      <w:pPr>
        <w:spacing w:after="0"/>
        <w:jc w:val="center"/>
        <w:rPr>
          <w:rFonts w:ascii="Times New Roman" w:hAnsi="Times New Roman" w:cs="Times New Roman"/>
          <w:b/>
          <w:bCs/>
          <w:sz w:val="24"/>
          <w:szCs w:val="24"/>
        </w:rPr>
      </w:pPr>
      <w:r w:rsidRPr="0099772C">
        <w:rPr>
          <w:rFonts w:ascii="Times New Roman" w:hAnsi="Times New Roman" w:cs="Times New Roman"/>
          <w:b/>
          <w:bCs/>
          <w:sz w:val="24"/>
          <w:szCs w:val="24"/>
        </w:rPr>
        <w:t>Perkraustymo paslaugos</w:t>
      </w:r>
    </w:p>
    <w:p w14:paraId="105AC49E" w14:textId="08305734" w:rsidR="00F70641" w:rsidRDefault="00F70641" w:rsidP="00C9763B">
      <w:pPr>
        <w:jc w:val="center"/>
        <w:rPr>
          <w:rFonts w:ascii="Times New Roman" w:hAnsi="Times New Roman" w:cs="Times New Roman"/>
          <w:b/>
          <w:bCs/>
          <w:sz w:val="24"/>
          <w:szCs w:val="24"/>
        </w:rPr>
      </w:pPr>
      <w:r w:rsidRPr="0099772C">
        <w:rPr>
          <w:rFonts w:ascii="Times New Roman" w:hAnsi="Times New Roman" w:cs="Times New Roman"/>
          <w:b/>
          <w:bCs/>
          <w:sz w:val="24"/>
          <w:szCs w:val="24"/>
        </w:rPr>
        <w:t>techninė specifikacija</w:t>
      </w:r>
    </w:p>
    <w:p w14:paraId="234D7DB5" w14:textId="77777777" w:rsidR="0099772C" w:rsidRPr="0099772C" w:rsidRDefault="0099772C" w:rsidP="00C9763B">
      <w:pPr>
        <w:jc w:val="center"/>
        <w:rPr>
          <w:rFonts w:ascii="Times New Roman" w:hAnsi="Times New Roman" w:cs="Times New Roman"/>
          <w:sz w:val="24"/>
          <w:szCs w:val="24"/>
        </w:rPr>
      </w:pPr>
    </w:p>
    <w:p w14:paraId="14CC22E3" w14:textId="2836CBA1" w:rsidR="00F70641" w:rsidRPr="0099772C" w:rsidRDefault="00F70641" w:rsidP="00CD38BF">
      <w:pPr>
        <w:pStyle w:val="Default"/>
        <w:jc w:val="both"/>
      </w:pPr>
      <w:r w:rsidRPr="0099772C">
        <w:t xml:space="preserve">1. </w:t>
      </w:r>
      <w:r w:rsidRPr="0099772C">
        <w:rPr>
          <w:b/>
          <w:bCs/>
        </w:rPr>
        <w:t xml:space="preserve">Pirkimo objektas </w:t>
      </w:r>
      <w:r w:rsidRPr="0099772C">
        <w:t xml:space="preserve">- yra numatoma pirkti baldų perkėlimo, perkraustymo paslaugas (perkraustant biuro įrangą, baldus, bylas, kompiuterinę techniką ir kitas priemones). </w:t>
      </w:r>
    </w:p>
    <w:p w14:paraId="76632AD0" w14:textId="77777777" w:rsidR="00F70641" w:rsidRPr="0099772C" w:rsidRDefault="00F70641" w:rsidP="00CD38BF">
      <w:pPr>
        <w:pStyle w:val="Default"/>
        <w:jc w:val="both"/>
      </w:pPr>
      <w:r w:rsidRPr="0099772C">
        <w:t xml:space="preserve">2. Paslaugos bus užsakomos pagal užsakovo poreikį, nurodyti preliminarūs kiekiai bus naudojami tik pasiūlymų vertinimui ir palyginimui. Užsakovas neįsipareigoja nupirkti viso nurodyto paslaugų kiekio. </w:t>
      </w:r>
    </w:p>
    <w:p w14:paraId="556E7149" w14:textId="77777777" w:rsidR="00F70641" w:rsidRPr="0099772C" w:rsidRDefault="00F70641" w:rsidP="00CD38BF">
      <w:pPr>
        <w:pStyle w:val="Default"/>
        <w:jc w:val="both"/>
      </w:pPr>
      <w:r w:rsidRPr="0099772C">
        <w:t xml:space="preserve">3. Paslauga apima: </w:t>
      </w:r>
    </w:p>
    <w:p w14:paraId="08FCE3F3" w14:textId="63C8AE99" w:rsidR="00F70641" w:rsidRPr="0099772C" w:rsidRDefault="00F70641" w:rsidP="00CD38BF">
      <w:pPr>
        <w:pStyle w:val="Default"/>
        <w:jc w:val="both"/>
      </w:pPr>
      <w:r w:rsidRPr="0099772C">
        <w:t xml:space="preserve">3.1. baldų išardymą (jeigu reikia) ir supakavimą (jeigu reikalinga), išnešimą, pakrovimą į transporto priemones, pervežimą, iškrovimą į sandėliavimo vietą; </w:t>
      </w:r>
    </w:p>
    <w:p w14:paraId="68C1A05D" w14:textId="77777777" w:rsidR="00F70641" w:rsidRPr="0099772C" w:rsidRDefault="00F70641" w:rsidP="00CD38BF">
      <w:pPr>
        <w:pStyle w:val="Default"/>
        <w:jc w:val="both"/>
      </w:pPr>
      <w:r w:rsidRPr="0099772C">
        <w:t xml:space="preserve">3.2. kompiuterinės technikos ir biuro technikos supakavimą ir pristatymą į nurodytas patalpas; </w:t>
      </w:r>
    </w:p>
    <w:p w14:paraId="67320DBD" w14:textId="77777777" w:rsidR="00F70641" w:rsidRPr="0099772C" w:rsidRDefault="00F70641" w:rsidP="00CD38BF">
      <w:pPr>
        <w:pStyle w:val="Default"/>
        <w:jc w:val="both"/>
      </w:pPr>
      <w:r w:rsidRPr="0099772C">
        <w:t xml:space="preserve">3.3. dėžių su dokumentais, knygomis, seifų, kompiuterinės ir kito inventoriaus supakavimą (jeigu reikalinga) išnešimą, pakrovimą, pervežimą, iškrovimą į užsakovo nurodytą vietą; </w:t>
      </w:r>
    </w:p>
    <w:p w14:paraId="0645F277" w14:textId="77777777" w:rsidR="00F70641" w:rsidRPr="0099772C" w:rsidRDefault="00F70641" w:rsidP="00CD38BF">
      <w:pPr>
        <w:pStyle w:val="Default"/>
        <w:jc w:val="both"/>
      </w:pPr>
      <w:r w:rsidRPr="0099772C">
        <w:t xml:space="preserve">3.4. aprūpinimą perkraustymo dėžėmis pagal užsakovo poreikį. </w:t>
      </w:r>
    </w:p>
    <w:p w14:paraId="44737ACC" w14:textId="77777777" w:rsidR="00F70641" w:rsidRPr="0099772C" w:rsidRDefault="00F70641" w:rsidP="00CD38BF">
      <w:pPr>
        <w:pStyle w:val="Default"/>
        <w:jc w:val="both"/>
      </w:pPr>
      <w:r w:rsidRPr="0099772C">
        <w:t xml:space="preserve">4. Pervežant didelį kiekį dokumentų krovininiu automobiliu, būtina sudėti į kartonines dėžes ar archyvines dėžutes, ir tik tuomet pakrauti į automobilį. Būtina apsaugoti dokumentus nuo drėgmės ar kito sugadinimo. </w:t>
      </w:r>
    </w:p>
    <w:p w14:paraId="1D3ACD76" w14:textId="77777777" w:rsidR="00F70641" w:rsidRPr="0099772C" w:rsidRDefault="00F70641" w:rsidP="00CD38BF">
      <w:pPr>
        <w:pStyle w:val="Default"/>
        <w:jc w:val="both"/>
      </w:pPr>
      <w:r w:rsidRPr="0099772C">
        <w:t xml:space="preserve">5. Tiekėjas privalo besąlygiškai ir geranoriškai laikytis kiekvieno baldų bei kito inventoriaus perkraustymo reikalavimo ir užsakovo žodinio ir (ar) rašytinio nurodymo. </w:t>
      </w:r>
    </w:p>
    <w:p w14:paraId="73E8EA2D" w14:textId="77777777" w:rsidR="00F70641" w:rsidRPr="0099772C" w:rsidRDefault="00F70641" w:rsidP="00CD38BF">
      <w:pPr>
        <w:pStyle w:val="Default"/>
        <w:jc w:val="both"/>
      </w:pPr>
      <w:r w:rsidRPr="0099772C">
        <w:t xml:space="preserve">6. Kroviniai į transporto priemonę turi būti kraunami tvarkingai, taupant pakrovimo plotą ir tūrį. </w:t>
      </w:r>
    </w:p>
    <w:p w14:paraId="496CB709" w14:textId="471DF83A" w:rsidR="00F70641" w:rsidRPr="0099772C" w:rsidRDefault="00F70641" w:rsidP="00CD38BF">
      <w:pPr>
        <w:pStyle w:val="Default"/>
        <w:jc w:val="both"/>
      </w:pPr>
      <w:r w:rsidRPr="0099772C">
        <w:t>7.</w:t>
      </w:r>
      <w:r w:rsidR="00CD38BF" w:rsidRPr="0099772C">
        <w:t xml:space="preserve"> </w:t>
      </w:r>
      <w:r w:rsidRPr="0099772C">
        <w:t xml:space="preserve">Transportuojant krovinį privaloma laikytis saugaus greičio ir atstumo, kad būtų išvengta staigaus stabdymo, kas įtakotų gabenamo krovinio sugadinimą, pažeidimą. </w:t>
      </w:r>
    </w:p>
    <w:p w14:paraId="6AB6A351" w14:textId="77777777" w:rsidR="00F70641" w:rsidRPr="0099772C" w:rsidRDefault="00F70641" w:rsidP="00CD38BF">
      <w:pPr>
        <w:pStyle w:val="Default"/>
        <w:jc w:val="both"/>
      </w:pPr>
      <w:r w:rsidRPr="0099772C">
        <w:t xml:space="preserve">8. Kroviniai pristatomi tiksliai į nurodytą patalpą ir (ar) vietą pastate. </w:t>
      </w:r>
    </w:p>
    <w:p w14:paraId="7BA44C77" w14:textId="77777777" w:rsidR="00F70641" w:rsidRPr="0099772C" w:rsidRDefault="00F70641" w:rsidP="00CD38BF">
      <w:pPr>
        <w:pStyle w:val="Default"/>
        <w:jc w:val="both"/>
      </w:pPr>
      <w:r w:rsidRPr="0099772C">
        <w:t xml:space="preserve">9. Paslauga turi būti teikiama kokybiškai, nepažeidžiant pergabenamo (pernešamo) turto. Tiekėjas įsipareigoja pagaminti naujas baldų ar kito inventoriaus detales, joms nepataisomai susigadinus perkraustymo metu. Tiekėjas įsipareigoja atlyginti už prarastą ir/arba sugadintą turtą. </w:t>
      </w:r>
    </w:p>
    <w:p w14:paraId="69165C9A" w14:textId="201BBF98" w:rsidR="00F70641" w:rsidRPr="0099772C" w:rsidRDefault="00F70641" w:rsidP="00CD38BF">
      <w:pPr>
        <w:pStyle w:val="Default"/>
        <w:jc w:val="both"/>
      </w:pPr>
      <w:r w:rsidRPr="0099772C">
        <w:t xml:space="preserve">10. Paslauga pradedama vykdyti gavus Užsakovo užsakymą, kuris pateikiamas raštu (el.paštu arba kitomis rašytinėmis priemonėmis) ne vėliau, nei likus </w:t>
      </w:r>
      <w:r w:rsidR="00354DCB">
        <w:t>5</w:t>
      </w:r>
      <w:r w:rsidRPr="0099772C">
        <w:t xml:space="preserve"> dien</w:t>
      </w:r>
      <w:r w:rsidR="00354DCB">
        <w:t>oms</w:t>
      </w:r>
      <w:r w:rsidRPr="0099772C">
        <w:t xml:space="preserve"> iki paslaugų teikimo pradžios. Užsakyme užsakovas pateikia informaciją apie paslaugų vykdymo vietas, paslaugų atlikimo terminus, reikiamų pakavimui dėžių kiekį ir pan. </w:t>
      </w:r>
    </w:p>
    <w:p w14:paraId="19EB6507" w14:textId="1A6201C3" w:rsidR="00F70641" w:rsidRPr="0099772C" w:rsidRDefault="00F70641" w:rsidP="00CD38BF">
      <w:pPr>
        <w:pStyle w:val="Default"/>
        <w:jc w:val="both"/>
      </w:pPr>
      <w:r w:rsidRPr="0099772C">
        <w:t xml:space="preserve">11. Tiekėjas vykdydamas kraustymo ir pervežimo užsakymą turi užtikrinti, kad </w:t>
      </w:r>
      <w:r w:rsidR="00A07D1D" w:rsidRPr="0099772C">
        <w:t>vis baldai ir kitas inventorius bus perkraustytas ne ilgiau kaip per 14 kalendorinių dienų</w:t>
      </w:r>
      <w:r w:rsidRPr="0099772C">
        <w:t xml:space="preserve">. </w:t>
      </w:r>
    </w:p>
    <w:p w14:paraId="768F724A" w14:textId="77777777" w:rsidR="00F70641" w:rsidRPr="0099772C" w:rsidRDefault="00F70641" w:rsidP="00CD38BF">
      <w:pPr>
        <w:pStyle w:val="Default"/>
        <w:jc w:val="both"/>
      </w:pPr>
      <w:r w:rsidRPr="0099772C">
        <w:t xml:space="preserve">12. Esant nepalankios oro sąlygoms (sningant/lyjant), tiekėjas turi užtikrinti, kad kraustomas turtas nenukentėtų nuo drėgmės. </w:t>
      </w:r>
    </w:p>
    <w:p w14:paraId="78207C49" w14:textId="77777777" w:rsidR="00F70641" w:rsidRPr="0099772C" w:rsidRDefault="00F70641" w:rsidP="00CD38BF">
      <w:pPr>
        <w:pStyle w:val="Default"/>
        <w:jc w:val="both"/>
      </w:pPr>
      <w:r w:rsidRPr="0099772C">
        <w:t xml:space="preserve">13. Užsakovo kroviniai į transporto priemones kraunami tvarkingai taupant transporto pakrovimo plotį ir tūrį. Kroviniai nekraunami vienas ant kito, nebent užsakovas nurodytų, kad taip krauti galima. </w:t>
      </w:r>
    </w:p>
    <w:p w14:paraId="114D0305" w14:textId="77777777" w:rsidR="00F70641" w:rsidRPr="0099772C" w:rsidRDefault="00F70641" w:rsidP="00CD38BF">
      <w:pPr>
        <w:pStyle w:val="Default"/>
        <w:jc w:val="both"/>
      </w:pPr>
      <w:r w:rsidRPr="0099772C">
        <w:t xml:space="preserve">14. Krovinys transportuojant turi būti tvirtinamas taip, kad negalėtų pasislinkti, dėl ko galėtų nukentėti pervežimo metu. Krovinių negalima apversti (išskyrus baldus), jie turi būti keliami ir transportuojami tik vertikalioje pozicijoje, nebent užsakovas patvirtintų, kad krovinys gali būti transportuojamas kitomis sąlygomis. </w:t>
      </w:r>
    </w:p>
    <w:p w14:paraId="52798C17" w14:textId="334044E7" w:rsidR="00F70641" w:rsidRPr="0099772C" w:rsidRDefault="00F70641" w:rsidP="00CD38BF">
      <w:pPr>
        <w:pStyle w:val="Default"/>
        <w:jc w:val="both"/>
      </w:pPr>
      <w:r w:rsidRPr="0099772C">
        <w:t xml:space="preserve">15. Paslaugos turi būti teikiamos darbo dienomis: 8:00 - 17:00 val. </w:t>
      </w:r>
      <w:r w:rsidR="00A07D1D" w:rsidRPr="0099772C">
        <w:t xml:space="preserve">Suderinus su </w:t>
      </w:r>
      <w:r w:rsidRPr="0099772C">
        <w:t xml:space="preserve">Užsakovu, tiekėjas </w:t>
      </w:r>
      <w:r w:rsidR="00A07D1D" w:rsidRPr="0099772C">
        <w:t>gali</w:t>
      </w:r>
      <w:r w:rsidRPr="0099772C">
        <w:t xml:space="preserve"> teikti perkraustymo paslaugas savaitgal</w:t>
      </w:r>
      <w:r w:rsidR="00A07D1D" w:rsidRPr="0099772C">
        <w:t>į</w:t>
      </w:r>
      <w:r w:rsidRPr="0099772C">
        <w:t xml:space="preserve"> ir švenčių dienomis. </w:t>
      </w:r>
    </w:p>
    <w:p w14:paraId="2762D69F" w14:textId="25B7FB91" w:rsidR="00F70641" w:rsidRPr="0099772C" w:rsidRDefault="00F70641" w:rsidP="00CD38BF">
      <w:pPr>
        <w:pStyle w:val="Default"/>
        <w:jc w:val="both"/>
      </w:pPr>
      <w:r w:rsidRPr="0099772C">
        <w:lastRenderedPageBreak/>
        <w:t>1</w:t>
      </w:r>
      <w:r w:rsidR="00A07D1D" w:rsidRPr="0099772C">
        <w:t>6</w:t>
      </w:r>
      <w:r w:rsidRPr="0099772C">
        <w:t xml:space="preserve">. Krovinio išpakavimą, pasitelkdamas teikėją, organizuoja ir prižiūri užsakovas. Pastebėjus defektus, vietoje surašomas defektinis aktas ir patvirtinamas užsakovo ir teikėjo parašais, padaromos defekto nuotraukos. </w:t>
      </w:r>
    </w:p>
    <w:p w14:paraId="437E81A0" w14:textId="6D1BA4BE" w:rsidR="00F70641" w:rsidRPr="0099772C" w:rsidRDefault="00F70641" w:rsidP="00CD38BF">
      <w:pPr>
        <w:jc w:val="both"/>
        <w:rPr>
          <w:rFonts w:ascii="Times New Roman" w:hAnsi="Times New Roman" w:cs="Times New Roman"/>
          <w:sz w:val="24"/>
          <w:szCs w:val="24"/>
        </w:rPr>
      </w:pPr>
      <w:r w:rsidRPr="0099772C">
        <w:rPr>
          <w:rFonts w:ascii="Times New Roman" w:hAnsi="Times New Roman" w:cs="Times New Roman"/>
          <w:sz w:val="24"/>
          <w:szCs w:val="24"/>
        </w:rPr>
        <w:t>1</w:t>
      </w:r>
      <w:r w:rsidR="00A07D1D" w:rsidRPr="0099772C">
        <w:rPr>
          <w:rFonts w:ascii="Times New Roman" w:hAnsi="Times New Roman" w:cs="Times New Roman"/>
          <w:sz w:val="24"/>
          <w:szCs w:val="24"/>
        </w:rPr>
        <w:t>7</w:t>
      </w:r>
      <w:r w:rsidRPr="0099772C">
        <w:rPr>
          <w:rFonts w:ascii="Times New Roman" w:hAnsi="Times New Roman" w:cs="Times New Roman"/>
          <w:sz w:val="24"/>
          <w:szCs w:val="24"/>
        </w:rPr>
        <w:t xml:space="preserve">. Išpakavus </w:t>
      </w:r>
      <w:r w:rsidR="00BC212B">
        <w:rPr>
          <w:rFonts w:ascii="Times New Roman" w:hAnsi="Times New Roman" w:cs="Times New Roman"/>
          <w:sz w:val="24"/>
          <w:szCs w:val="24"/>
        </w:rPr>
        <w:t>baldus</w:t>
      </w:r>
      <w:r w:rsidRPr="0099772C">
        <w:rPr>
          <w:rFonts w:ascii="Times New Roman" w:hAnsi="Times New Roman" w:cs="Times New Roman"/>
          <w:sz w:val="24"/>
          <w:szCs w:val="24"/>
        </w:rPr>
        <w:t xml:space="preserve"> nereikalingas pakavimo medžiagas teikėjas nedelsiant surenka ir pašalina iš patalpų. Taip pat pateikia laisvos formos raštą apie pakavimo medžiagų pakartotinį panaudojimą arba sandėliavimą savo patalpose ir/ar kvitus apie pakavimo medžiagų pristatymą į antrinių žaliavų surinkimo punktą. Pakavimo medžiagos negali būti kraunamos į buitinių atliekų konteinerius, esančius greta pastatų, kuriuose yra numatyta vykdyti perkraustymo darbus.</w:t>
      </w:r>
    </w:p>
    <w:p w14:paraId="776E7B13" w14:textId="77777777" w:rsidR="00F70641" w:rsidRPr="0099772C" w:rsidRDefault="00F70641">
      <w:pP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35"/>
        <w:gridCol w:w="3201"/>
        <w:gridCol w:w="1400"/>
        <w:gridCol w:w="1537"/>
        <w:gridCol w:w="1261"/>
        <w:gridCol w:w="1394"/>
      </w:tblGrid>
      <w:tr w:rsidR="00036F9E" w:rsidRPr="0099772C" w14:paraId="7896B920" w14:textId="77777777" w:rsidTr="00CD38BF">
        <w:tc>
          <w:tcPr>
            <w:tcW w:w="845" w:type="dxa"/>
          </w:tcPr>
          <w:p w14:paraId="3A7F4C7D" w14:textId="49DC922C" w:rsidR="00CD38BF" w:rsidRPr="0099772C" w:rsidRDefault="00CD38BF" w:rsidP="00CD38BF">
            <w:pPr>
              <w:rPr>
                <w:rFonts w:ascii="Times New Roman" w:hAnsi="Times New Roman" w:cs="Times New Roman"/>
                <w:sz w:val="24"/>
                <w:szCs w:val="24"/>
              </w:rPr>
            </w:pPr>
            <w:r w:rsidRPr="0099772C">
              <w:rPr>
                <w:rFonts w:ascii="Times New Roman" w:hAnsi="Times New Roman" w:cs="Times New Roman"/>
                <w:b/>
                <w:bCs/>
                <w:sz w:val="24"/>
                <w:szCs w:val="24"/>
              </w:rPr>
              <w:t xml:space="preserve">Eil. Nr. </w:t>
            </w:r>
          </w:p>
        </w:tc>
        <w:tc>
          <w:tcPr>
            <w:tcW w:w="3261" w:type="dxa"/>
          </w:tcPr>
          <w:p w14:paraId="40A622F0" w14:textId="2DE072D5" w:rsidR="00CD38BF" w:rsidRPr="000A494D" w:rsidRDefault="00CD38BF" w:rsidP="00CD38BF">
            <w:pPr>
              <w:rPr>
                <w:rFonts w:ascii="Times New Roman" w:hAnsi="Times New Roman" w:cs="Times New Roman"/>
                <w:sz w:val="24"/>
                <w:szCs w:val="24"/>
              </w:rPr>
            </w:pPr>
            <w:r w:rsidRPr="000A494D">
              <w:rPr>
                <w:rFonts w:ascii="Times New Roman" w:hAnsi="Times New Roman" w:cs="Times New Roman"/>
                <w:b/>
                <w:bCs/>
                <w:sz w:val="24"/>
                <w:szCs w:val="24"/>
              </w:rPr>
              <w:t xml:space="preserve">Pirkimo objektas </w:t>
            </w:r>
          </w:p>
        </w:tc>
        <w:tc>
          <w:tcPr>
            <w:tcW w:w="1413" w:type="dxa"/>
          </w:tcPr>
          <w:p w14:paraId="40972EA0" w14:textId="16A22ED9" w:rsidR="00CD38BF" w:rsidRPr="000A494D" w:rsidRDefault="00CD38BF" w:rsidP="00CD38BF">
            <w:pPr>
              <w:rPr>
                <w:rFonts w:ascii="Times New Roman" w:hAnsi="Times New Roman" w:cs="Times New Roman"/>
                <w:sz w:val="24"/>
                <w:szCs w:val="24"/>
              </w:rPr>
            </w:pPr>
            <w:r w:rsidRPr="000A494D">
              <w:rPr>
                <w:rFonts w:ascii="Times New Roman" w:hAnsi="Times New Roman" w:cs="Times New Roman"/>
                <w:b/>
                <w:bCs/>
                <w:sz w:val="24"/>
                <w:szCs w:val="24"/>
              </w:rPr>
              <w:t xml:space="preserve">Mato vienetas </w:t>
            </w:r>
          </w:p>
        </w:tc>
        <w:tc>
          <w:tcPr>
            <w:tcW w:w="1424" w:type="dxa"/>
          </w:tcPr>
          <w:p w14:paraId="02E47703" w14:textId="589F7B0E" w:rsidR="00BA6DA7" w:rsidRPr="000A494D" w:rsidRDefault="00BA6DA7" w:rsidP="00CD38BF">
            <w:pPr>
              <w:rPr>
                <w:rFonts w:ascii="Times New Roman" w:hAnsi="Times New Roman" w:cs="Times New Roman"/>
                <w:sz w:val="24"/>
                <w:szCs w:val="24"/>
              </w:rPr>
            </w:pPr>
            <w:r w:rsidRPr="000A494D">
              <w:rPr>
                <w:rFonts w:ascii="Times New Roman" w:hAnsi="Times New Roman" w:cs="Times New Roman"/>
                <w:b/>
                <w:bCs/>
                <w:sz w:val="24"/>
                <w:szCs w:val="24"/>
              </w:rPr>
              <w:t xml:space="preserve">Lyginamasis koeficientas (lyginamajai pasiūlymo kainas paskaičiuoti) </w:t>
            </w:r>
          </w:p>
        </w:tc>
        <w:tc>
          <w:tcPr>
            <w:tcW w:w="1275" w:type="dxa"/>
          </w:tcPr>
          <w:p w14:paraId="036FE665" w14:textId="770850AB" w:rsidR="00CD38BF" w:rsidRPr="000A494D" w:rsidRDefault="00BA6DA7" w:rsidP="00CD38BF">
            <w:pPr>
              <w:pStyle w:val="Default"/>
              <w:rPr>
                <w:color w:val="auto"/>
              </w:rPr>
            </w:pPr>
            <w:r w:rsidRPr="000A494D">
              <w:rPr>
                <w:b/>
                <w:bCs/>
                <w:color w:val="auto"/>
              </w:rPr>
              <w:t xml:space="preserve">Vieno </w:t>
            </w:r>
            <w:r w:rsidR="00CD38BF" w:rsidRPr="000A494D">
              <w:rPr>
                <w:b/>
                <w:bCs/>
                <w:color w:val="auto"/>
              </w:rPr>
              <w:t xml:space="preserve">Vnt. </w:t>
            </w:r>
          </w:p>
          <w:p w14:paraId="11B65B20" w14:textId="76E656AD" w:rsidR="00CD38BF" w:rsidRPr="000A494D" w:rsidRDefault="00CD38BF" w:rsidP="00CD38BF">
            <w:pPr>
              <w:rPr>
                <w:rFonts w:ascii="Times New Roman" w:hAnsi="Times New Roman" w:cs="Times New Roman"/>
                <w:sz w:val="24"/>
                <w:szCs w:val="24"/>
              </w:rPr>
            </w:pPr>
            <w:r w:rsidRPr="000A494D">
              <w:rPr>
                <w:rFonts w:ascii="Times New Roman" w:hAnsi="Times New Roman" w:cs="Times New Roman"/>
                <w:b/>
                <w:bCs/>
                <w:sz w:val="24"/>
                <w:szCs w:val="24"/>
              </w:rPr>
              <w:t xml:space="preserve">įkainis su PVM </w:t>
            </w:r>
          </w:p>
        </w:tc>
        <w:tc>
          <w:tcPr>
            <w:tcW w:w="1410" w:type="dxa"/>
          </w:tcPr>
          <w:p w14:paraId="1BD29479" w14:textId="7D982E91" w:rsidR="00CD38BF" w:rsidRPr="000A494D" w:rsidRDefault="00CD38BF" w:rsidP="00CD38BF">
            <w:pPr>
              <w:rPr>
                <w:rFonts w:ascii="Times New Roman" w:hAnsi="Times New Roman" w:cs="Times New Roman"/>
                <w:sz w:val="24"/>
                <w:szCs w:val="24"/>
              </w:rPr>
            </w:pPr>
            <w:r w:rsidRPr="000A494D">
              <w:rPr>
                <w:rFonts w:ascii="Times New Roman" w:hAnsi="Times New Roman" w:cs="Times New Roman"/>
                <w:b/>
                <w:bCs/>
                <w:sz w:val="24"/>
                <w:szCs w:val="24"/>
              </w:rPr>
              <w:t xml:space="preserve">Bendra suma Eur su PVM </w:t>
            </w:r>
          </w:p>
        </w:tc>
      </w:tr>
      <w:tr w:rsidR="00BA6DA7" w:rsidRPr="0099772C" w14:paraId="71691D65" w14:textId="77777777" w:rsidTr="00CD38BF">
        <w:tc>
          <w:tcPr>
            <w:tcW w:w="845" w:type="dxa"/>
          </w:tcPr>
          <w:p w14:paraId="7CD727CE" w14:textId="77777777" w:rsidR="00BA6DA7" w:rsidRPr="0099772C" w:rsidRDefault="00BA6DA7" w:rsidP="00CD38BF">
            <w:pPr>
              <w:rPr>
                <w:rFonts w:ascii="Times New Roman" w:hAnsi="Times New Roman" w:cs="Times New Roman"/>
                <w:b/>
                <w:bCs/>
                <w:sz w:val="24"/>
                <w:szCs w:val="24"/>
              </w:rPr>
            </w:pPr>
          </w:p>
        </w:tc>
        <w:tc>
          <w:tcPr>
            <w:tcW w:w="3261" w:type="dxa"/>
          </w:tcPr>
          <w:p w14:paraId="651F125A" w14:textId="68999A95" w:rsidR="00BA6DA7" w:rsidRPr="000A494D" w:rsidRDefault="00BA6DA7" w:rsidP="00CD38BF">
            <w:pPr>
              <w:rPr>
                <w:rFonts w:ascii="Times New Roman" w:hAnsi="Times New Roman" w:cs="Times New Roman"/>
                <w:b/>
                <w:bCs/>
                <w:sz w:val="24"/>
                <w:szCs w:val="24"/>
              </w:rPr>
            </w:pPr>
            <w:r w:rsidRPr="000A494D">
              <w:rPr>
                <w:rFonts w:ascii="Times New Roman" w:hAnsi="Times New Roman" w:cs="Times New Roman"/>
                <w:b/>
                <w:bCs/>
                <w:sz w:val="24"/>
                <w:szCs w:val="24"/>
              </w:rPr>
              <w:t>a</w:t>
            </w:r>
          </w:p>
        </w:tc>
        <w:tc>
          <w:tcPr>
            <w:tcW w:w="1413" w:type="dxa"/>
          </w:tcPr>
          <w:p w14:paraId="74100519" w14:textId="67CC3FBC" w:rsidR="00BA6DA7" w:rsidRPr="000A494D" w:rsidRDefault="00BA6DA7" w:rsidP="00CD38BF">
            <w:pPr>
              <w:rPr>
                <w:rFonts w:ascii="Times New Roman" w:hAnsi="Times New Roman" w:cs="Times New Roman"/>
                <w:b/>
                <w:bCs/>
                <w:sz w:val="24"/>
                <w:szCs w:val="24"/>
              </w:rPr>
            </w:pPr>
            <w:r w:rsidRPr="000A494D">
              <w:rPr>
                <w:rFonts w:ascii="Times New Roman" w:hAnsi="Times New Roman" w:cs="Times New Roman"/>
                <w:b/>
                <w:bCs/>
                <w:sz w:val="24"/>
                <w:szCs w:val="24"/>
              </w:rPr>
              <w:t>b</w:t>
            </w:r>
          </w:p>
        </w:tc>
        <w:tc>
          <w:tcPr>
            <w:tcW w:w="1424" w:type="dxa"/>
          </w:tcPr>
          <w:p w14:paraId="25A07A55" w14:textId="21B607EF" w:rsidR="00BA6DA7" w:rsidRPr="000A494D" w:rsidRDefault="00BA6DA7" w:rsidP="00CD38BF">
            <w:pPr>
              <w:rPr>
                <w:rFonts w:ascii="Times New Roman" w:hAnsi="Times New Roman" w:cs="Times New Roman"/>
                <w:b/>
                <w:bCs/>
                <w:sz w:val="24"/>
                <w:szCs w:val="24"/>
              </w:rPr>
            </w:pPr>
            <w:r w:rsidRPr="000A494D">
              <w:rPr>
                <w:rFonts w:ascii="Times New Roman" w:hAnsi="Times New Roman" w:cs="Times New Roman"/>
                <w:b/>
                <w:bCs/>
                <w:sz w:val="24"/>
                <w:szCs w:val="24"/>
              </w:rPr>
              <w:t>c</w:t>
            </w:r>
          </w:p>
        </w:tc>
        <w:tc>
          <w:tcPr>
            <w:tcW w:w="1275" w:type="dxa"/>
          </w:tcPr>
          <w:p w14:paraId="1881D83D" w14:textId="5F5B203B" w:rsidR="00BA6DA7" w:rsidRPr="000A494D" w:rsidRDefault="00BA6DA7" w:rsidP="00CD38BF">
            <w:pPr>
              <w:pStyle w:val="Default"/>
              <w:rPr>
                <w:b/>
                <w:bCs/>
                <w:color w:val="auto"/>
              </w:rPr>
            </w:pPr>
            <w:r w:rsidRPr="000A494D">
              <w:rPr>
                <w:b/>
                <w:bCs/>
                <w:color w:val="auto"/>
              </w:rPr>
              <w:t>d</w:t>
            </w:r>
          </w:p>
        </w:tc>
        <w:tc>
          <w:tcPr>
            <w:tcW w:w="1410" w:type="dxa"/>
          </w:tcPr>
          <w:p w14:paraId="56744D91" w14:textId="6108EABF" w:rsidR="00BA6DA7" w:rsidRPr="000A494D" w:rsidRDefault="00BA6DA7" w:rsidP="00CD38BF">
            <w:pPr>
              <w:rPr>
                <w:rFonts w:ascii="Times New Roman" w:hAnsi="Times New Roman" w:cs="Times New Roman"/>
                <w:b/>
                <w:bCs/>
                <w:sz w:val="24"/>
                <w:szCs w:val="24"/>
              </w:rPr>
            </w:pPr>
            <w:r w:rsidRPr="000A494D">
              <w:rPr>
                <w:rFonts w:ascii="Times New Roman" w:hAnsi="Times New Roman" w:cs="Times New Roman"/>
                <w:b/>
                <w:bCs/>
                <w:sz w:val="24"/>
                <w:szCs w:val="24"/>
              </w:rPr>
              <w:t>e</w:t>
            </w:r>
          </w:p>
          <w:p w14:paraId="485148F8" w14:textId="0873138C" w:rsidR="00BA6DA7" w:rsidRPr="000A494D" w:rsidRDefault="00BA6DA7" w:rsidP="00CD38BF">
            <w:pPr>
              <w:rPr>
                <w:rFonts w:ascii="Times New Roman" w:hAnsi="Times New Roman" w:cs="Times New Roman"/>
                <w:b/>
                <w:bCs/>
                <w:sz w:val="24"/>
                <w:szCs w:val="24"/>
              </w:rPr>
            </w:pPr>
            <w:r w:rsidRPr="000A494D">
              <w:rPr>
                <w:rFonts w:ascii="Times New Roman" w:hAnsi="Times New Roman" w:cs="Times New Roman"/>
                <w:b/>
                <w:bCs/>
                <w:sz w:val="24"/>
                <w:szCs w:val="24"/>
              </w:rPr>
              <w:t>e=c x d</w:t>
            </w:r>
          </w:p>
        </w:tc>
      </w:tr>
      <w:tr w:rsidR="00F70641" w:rsidRPr="0099772C" w14:paraId="73B76BC7" w14:textId="77777777" w:rsidTr="0099772C">
        <w:trPr>
          <w:trHeight w:val="703"/>
        </w:trPr>
        <w:tc>
          <w:tcPr>
            <w:tcW w:w="845" w:type="dxa"/>
          </w:tcPr>
          <w:p w14:paraId="4948F24A" w14:textId="52DBFAB3" w:rsidR="00F70641" w:rsidRPr="0099772C" w:rsidRDefault="00C9763B">
            <w:pPr>
              <w:rPr>
                <w:rFonts w:ascii="Times New Roman" w:hAnsi="Times New Roman" w:cs="Times New Roman"/>
                <w:sz w:val="24"/>
                <w:szCs w:val="24"/>
              </w:rPr>
            </w:pPr>
            <w:r w:rsidRPr="0099772C">
              <w:rPr>
                <w:rFonts w:ascii="Times New Roman" w:hAnsi="Times New Roman" w:cs="Times New Roman"/>
                <w:sz w:val="24"/>
                <w:szCs w:val="24"/>
              </w:rPr>
              <w:t>1.</w:t>
            </w:r>
          </w:p>
        </w:tc>
        <w:tc>
          <w:tcPr>
            <w:tcW w:w="3261" w:type="dxa"/>
          </w:tcPr>
          <w:p w14:paraId="0E83EFDB" w14:textId="6A3197CA" w:rsidR="00F70641" w:rsidRPr="000A494D" w:rsidRDefault="00C9763B">
            <w:pPr>
              <w:rPr>
                <w:rFonts w:ascii="Times New Roman" w:hAnsi="Times New Roman" w:cs="Times New Roman"/>
                <w:sz w:val="24"/>
                <w:szCs w:val="24"/>
              </w:rPr>
            </w:pPr>
            <w:r w:rsidRPr="000A494D">
              <w:rPr>
                <w:rFonts w:ascii="Times New Roman" w:hAnsi="Times New Roman" w:cs="Times New Roman"/>
                <w:sz w:val="24"/>
                <w:szCs w:val="24"/>
              </w:rPr>
              <w:t xml:space="preserve">Baldų ir kompiuterinės įrangos (iki </w:t>
            </w:r>
            <w:r w:rsidR="009250C6" w:rsidRPr="000A494D">
              <w:rPr>
                <w:rFonts w:ascii="Times New Roman" w:hAnsi="Times New Roman" w:cs="Times New Roman"/>
                <w:sz w:val="24"/>
                <w:szCs w:val="24"/>
              </w:rPr>
              <w:t>4</w:t>
            </w:r>
            <w:r w:rsidRPr="000A494D">
              <w:rPr>
                <w:rFonts w:ascii="Times New Roman" w:hAnsi="Times New Roman" w:cs="Times New Roman"/>
                <w:sz w:val="24"/>
                <w:szCs w:val="24"/>
              </w:rPr>
              <w:t>0 kg) perkraustymas</w:t>
            </w:r>
          </w:p>
        </w:tc>
        <w:tc>
          <w:tcPr>
            <w:tcW w:w="1413" w:type="dxa"/>
          </w:tcPr>
          <w:p w14:paraId="76955868" w14:textId="7304D8F6" w:rsidR="00F70641" w:rsidRPr="000A494D" w:rsidRDefault="009250C6" w:rsidP="009250C6">
            <w:pPr>
              <w:jc w:val="center"/>
              <w:rPr>
                <w:rFonts w:ascii="Times New Roman" w:hAnsi="Times New Roman" w:cs="Times New Roman"/>
                <w:sz w:val="24"/>
                <w:szCs w:val="24"/>
              </w:rPr>
            </w:pPr>
            <w:r w:rsidRPr="000A494D">
              <w:rPr>
                <w:rFonts w:ascii="Times New Roman" w:hAnsi="Times New Roman" w:cs="Times New Roman"/>
                <w:sz w:val="24"/>
                <w:szCs w:val="24"/>
              </w:rPr>
              <w:t>m3</w:t>
            </w:r>
          </w:p>
        </w:tc>
        <w:tc>
          <w:tcPr>
            <w:tcW w:w="1424" w:type="dxa"/>
          </w:tcPr>
          <w:p w14:paraId="5A6D824B" w14:textId="2A12E863" w:rsidR="00BA6DA7" w:rsidRPr="000A494D" w:rsidRDefault="00BA6DA7" w:rsidP="000A494D">
            <w:pPr>
              <w:jc w:val="center"/>
              <w:rPr>
                <w:rFonts w:ascii="Times New Roman" w:hAnsi="Times New Roman" w:cs="Times New Roman"/>
                <w:strike/>
                <w:sz w:val="24"/>
                <w:szCs w:val="24"/>
              </w:rPr>
            </w:pPr>
            <w:r w:rsidRPr="000A494D">
              <w:rPr>
                <w:rFonts w:ascii="Times New Roman" w:hAnsi="Times New Roman" w:cs="Times New Roman"/>
                <w:sz w:val="24"/>
                <w:szCs w:val="24"/>
              </w:rPr>
              <w:t>95</w:t>
            </w:r>
            <w:r w:rsidRPr="000A494D">
              <w:rPr>
                <w:rFonts w:ascii="Times New Roman" w:hAnsi="Times New Roman" w:cs="Times New Roman"/>
                <w:strike/>
                <w:sz w:val="24"/>
                <w:szCs w:val="24"/>
              </w:rPr>
              <w:t xml:space="preserve"> </w:t>
            </w:r>
          </w:p>
        </w:tc>
        <w:tc>
          <w:tcPr>
            <w:tcW w:w="1275" w:type="dxa"/>
          </w:tcPr>
          <w:p w14:paraId="362C6278" w14:textId="77777777" w:rsidR="00F70641" w:rsidRPr="000A494D" w:rsidRDefault="00F70641" w:rsidP="009250C6">
            <w:pPr>
              <w:jc w:val="center"/>
              <w:rPr>
                <w:rFonts w:ascii="Times New Roman" w:hAnsi="Times New Roman" w:cs="Times New Roman"/>
                <w:sz w:val="24"/>
                <w:szCs w:val="24"/>
              </w:rPr>
            </w:pPr>
          </w:p>
        </w:tc>
        <w:tc>
          <w:tcPr>
            <w:tcW w:w="1410" w:type="dxa"/>
          </w:tcPr>
          <w:p w14:paraId="5FCA6CA9" w14:textId="77777777" w:rsidR="00F70641" w:rsidRPr="000A494D" w:rsidRDefault="00F70641" w:rsidP="009250C6">
            <w:pPr>
              <w:jc w:val="center"/>
              <w:rPr>
                <w:rFonts w:ascii="Times New Roman" w:hAnsi="Times New Roman" w:cs="Times New Roman"/>
                <w:sz w:val="24"/>
                <w:szCs w:val="24"/>
              </w:rPr>
            </w:pPr>
          </w:p>
        </w:tc>
      </w:tr>
      <w:tr w:rsidR="00F70641" w:rsidRPr="0099772C" w14:paraId="2A22EB1F" w14:textId="77777777" w:rsidTr="0099772C">
        <w:trPr>
          <w:trHeight w:val="427"/>
        </w:trPr>
        <w:tc>
          <w:tcPr>
            <w:tcW w:w="845" w:type="dxa"/>
          </w:tcPr>
          <w:p w14:paraId="5EAEB012" w14:textId="5B42FB78" w:rsidR="00F70641" w:rsidRPr="0099772C" w:rsidRDefault="00C9763B">
            <w:pPr>
              <w:rPr>
                <w:rFonts w:ascii="Times New Roman" w:hAnsi="Times New Roman" w:cs="Times New Roman"/>
                <w:sz w:val="24"/>
                <w:szCs w:val="24"/>
              </w:rPr>
            </w:pPr>
            <w:r w:rsidRPr="0099772C">
              <w:rPr>
                <w:rFonts w:ascii="Times New Roman" w:hAnsi="Times New Roman" w:cs="Times New Roman"/>
                <w:sz w:val="24"/>
                <w:szCs w:val="24"/>
              </w:rPr>
              <w:t>2.</w:t>
            </w:r>
          </w:p>
        </w:tc>
        <w:tc>
          <w:tcPr>
            <w:tcW w:w="3261" w:type="dxa"/>
          </w:tcPr>
          <w:p w14:paraId="6EA58943" w14:textId="7EBBDD93" w:rsidR="00F70641" w:rsidRPr="000A494D" w:rsidRDefault="00C9763B">
            <w:pPr>
              <w:rPr>
                <w:rFonts w:ascii="Times New Roman" w:hAnsi="Times New Roman" w:cs="Times New Roman"/>
                <w:sz w:val="24"/>
                <w:szCs w:val="24"/>
              </w:rPr>
            </w:pPr>
            <w:r w:rsidRPr="000A494D">
              <w:rPr>
                <w:rFonts w:ascii="Times New Roman" w:hAnsi="Times New Roman" w:cs="Times New Roman"/>
                <w:sz w:val="24"/>
                <w:szCs w:val="24"/>
              </w:rPr>
              <w:t>Archyviniai dokumentai</w:t>
            </w:r>
          </w:p>
        </w:tc>
        <w:tc>
          <w:tcPr>
            <w:tcW w:w="1413" w:type="dxa"/>
          </w:tcPr>
          <w:p w14:paraId="5F8FD0AA" w14:textId="441E254C" w:rsidR="00F70641" w:rsidRPr="000A494D" w:rsidRDefault="009250C6" w:rsidP="009250C6">
            <w:pPr>
              <w:jc w:val="center"/>
              <w:rPr>
                <w:rFonts w:ascii="Times New Roman" w:hAnsi="Times New Roman" w:cs="Times New Roman"/>
                <w:sz w:val="24"/>
                <w:szCs w:val="24"/>
              </w:rPr>
            </w:pPr>
            <w:r w:rsidRPr="000A494D">
              <w:rPr>
                <w:rFonts w:ascii="Times New Roman" w:hAnsi="Times New Roman" w:cs="Times New Roman"/>
                <w:sz w:val="24"/>
                <w:szCs w:val="24"/>
              </w:rPr>
              <w:t>m3</w:t>
            </w:r>
          </w:p>
        </w:tc>
        <w:tc>
          <w:tcPr>
            <w:tcW w:w="1424" w:type="dxa"/>
          </w:tcPr>
          <w:p w14:paraId="2B44F761" w14:textId="3269F781" w:rsidR="00F70641" w:rsidRPr="000A494D" w:rsidRDefault="00BA6DA7" w:rsidP="009250C6">
            <w:pPr>
              <w:jc w:val="center"/>
              <w:rPr>
                <w:rFonts w:ascii="Times New Roman" w:hAnsi="Times New Roman" w:cs="Times New Roman"/>
                <w:strike/>
                <w:sz w:val="24"/>
                <w:szCs w:val="24"/>
              </w:rPr>
            </w:pPr>
            <w:r w:rsidRPr="000A494D">
              <w:rPr>
                <w:rFonts w:ascii="Times New Roman" w:hAnsi="Times New Roman" w:cs="Times New Roman"/>
                <w:sz w:val="24"/>
                <w:szCs w:val="24"/>
              </w:rPr>
              <w:t>5</w:t>
            </w:r>
            <w:r w:rsidRPr="000A494D">
              <w:rPr>
                <w:rFonts w:ascii="Times New Roman" w:hAnsi="Times New Roman" w:cs="Times New Roman"/>
                <w:strike/>
                <w:sz w:val="24"/>
                <w:szCs w:val="24"/>
              </w:rPr>
              <w:t xml:space="preserve"> </w:t>
            </w:r>
          </w:p>
        </w:tc>
        <w:tc>
          <w:tcPr>
            <w:tcW w:w="1275" w:type="dxa"/>
          </w:tcPr>
          <w:p w14:paraId="0FD3141D" w14:textId="77777777" w:rsidR="00F70641" w:rsidRPr="000A494D" w:rsidRDefault="00F70641" w:rsidP="009250C6">
            <w:pPr>
              <w:jc w:val="center"/>
              <w:rPr>
                <w:rFonts w:ascii="Times New Roman" w:hAnsi="Times New Roman" w:cs="Times New Roman"/>
                <w:sz w:val="24"/>
                <w:szCs w:val="24"/>
              </w:rPr>
            </w:pPr>
          </w:p>
        </w:tc>
        <w:tc>
          <w:tcPr>
            <w:tcW w:w="1410" w:type="dxa"/>
          </w:tcPr>
          <w:p w14:paraId="2FB76824" w14:textId="77777777" w:rsidR="00F70641" w:rsidRPr="000A494D" w:rsidRDefault="00F70641" w:rsidP="009250C6">
            <w:pPr>
              <w:jc w:val="center"/>
              <w:rPr>
                <w:rFonts w:ascii="Times New Roman" w:hAnsi="Times New Roman" w:cs="Times New Roman"/>
                <w:sz w:val="24"/>
                <w:szCs w:val="24"/>
              </w:rPr>
            </w:pPr>
          </w:p>
        </w:tc>
      </w:tr>
      <w:tr w:rsidR="00BA6DA7" w:rsidRPr="0099772C" w14:paraId="11FA20CE" w14:textId="77777777" w:rsidTr="0099772C">
        <w:trPr>
          <w:trHeight w:val="427"/>
        </w:trPr>
        <w:tc>
          <w:tcPr>
            <w:tcW w:w="845" w:type="dxa"/>
          </w:tcPr>
          <w:p w14:paraId="7EE8E029" w14:textId="77777777" w:rsidR="00BA6DA7" w:rsidRPr="0099772C" w:rsidRDefault="00BA6DA7">
            <w:pPr>
              <w:rPr>
                <w:rFonts w:ascii="Times New Roman" w:hAnsi="Times New Roman" w:cs="Times New Roman"/>
                <w:sz w:val="24"/>
                <w:szCs w:val="24"/>
              </w:rPr>
            </w:pPr>
          </w:p>
        </w:tc>
        <w:tc>
          <w:tcPr>
            <w:tcW w:w="3261" w:type="dxa"/>
          </w:tcPr>
          <w:p w14:paraId="46EC6E18" w14:textId="59A743B9" w:rsidR="00BA6DA7" w:rsidRPr="000A494D" w:rsidRDefault="00BA6DA7">
            <w:pPr>
              <w:rPr>
                <w:rFonts w:ascii="Times New Roman" w:hAnsi="Times New Roman" w:cs="Times New Roman"/>
                <w:sz w:val="24"/>
                <w:szCs w:val="24"/>
              </w:rPr>
            </w:pPr>
            <w:r w:rsidRPr="000A494D">
              <w:rPr>
                <w:rFonts w:ascii="Times New Roman" w:hAnsi="Times New Roman" w:cs="Times New Roman"/>
                <w:sz w:val="24"/>
                <w:szCs w:val="24"/>
              </w:rPr>
              <w:t>--------</w:t>
            </w:r>
          </w:p>
        </w:tc>
        <w:tc>
          <w:tcPr>
            <w:tcW w:w="1413" w:type="dxa"/>
          </w:tcPr>
          <w:p w14:paraId="77486974" w14:textId="00DE08EC" w:rsidR="00BA6DA7" w:rsidRPr="000A494D" w:rsidRDefault="00BA6DA7" w:rsidP="009250C6">
            <w:pPr>
              <w:jc w:val="center"/>
              <w:rPr>
                <w:rFonts w:ascii="Times New Roman" w:hAnsi="Times New Roman" w:cs="Times New Roman"/>
                <w:sz w:val="24"/>
                <w:szCs w:val="24"/>
              </w:rPr>
            </w:pPr>
            <w:r w:rsidRPr="000A494D">
              <w:rPr>
                <w:rFonts w:ascii="Times New Roman" w:hAnsi="Times New Roman" w:cs="Times New Roman"/>
                <w:sz w:val="24"/>
                <w:szCs w:val="24"/>
              </w:rPr>
              <w:t>--------</w:t>
            </w:r>
          </w:p>
        </w:tc>
        <w:tc>
          <w:tcPr>
            <w:tcW w:w="1424" w:type="dxa"/>
          </w:tcPr>
          <w:p w14:paraId="30028612" w14:textId="3D6C4756" w:rsidR="00BA6DA7" w:rsidRPr="000A494D" w:rsidRDefault="00BA6DA7" w:rsidP="009250C6">
            <w:pPr>
              <w:jc w:val="center"/>
              <w:rPr>
                <w:rFonts w:ascii="Times New Roman" w:hAnsi="Times New Roman" w:cs="Times New Roman"/>
                <w:sz w:val="24"/>
                <w:szCs w:val="24"/>
              </w:rPr>
            </w:pPr>
            <w:r w:rsidRPr="000A494D">
              <w:rPr>
                <w:rFonts w:ascii="Times New Roman" w:hAnsi="Times New Roman" w:cs="Times New Roman"/>
                <w:sz w:val="24"/>
                <w:szCs w:val="24"/>
              </w:rPr>
              <w:t>100</w:t>
            </w:r>
          </w:p>
        </w:tc>
        <w:tc>
          <w:tcPr>
            <w:tcW w:w="1275" w:type="dxa"/>
          </w:tcPr>
          <w:p w14:paraId="6BDE2EFD" w14:textId="54B0C971" w:rsidR="00BA6DA7" w:rsidRPr="000A494D" w:rsidRDefault="00BA6DA7" w:rsidP="009250C6">
            <w:pPr>
              <w:jc w:val="center"/>
              <w:rPr>
                <w:rFonts w:ascii="Times New Roman" w:hAnsi="Times New Roman" w:cs="Times New Roman"/>
                <w:sz w:val="24"/>
                <w:szCs w:val="24"/>
              </w:rPr>
            </w:pPr>
            <w:r w:rsidRPr="000A494D">
              <w:rPr>
                <w:rFonts w:ascii="Times New Roman" w:hAnsi="Times New Roman" w:cs="Times New Roman"/>
                <w:sz w:val="24"/>
                <w:szCs w:val="24"/>
              </w:rPr>
              <w:t>--------</w:t>
            </w:r>
          </w:p>
        </w:tc>
        <w:tc>
          <w:tcPr>
            <w:tcW w:w="1410" w:type="dxa"/>
          </w:tcPr>
          <w:p w14:paraId="45BD8091" w14:textId="77777777" w:rsidR="00BA6DA7" w:rsidRPr="000A494D" w:rsidRDefault="00BA6DA7" w:rsidP="009250C6">
            <w:pPr>
              <w:jc w:val="center"/>
              <w:rPr>
                <w:rFonts w:ascii="Times New Roman" w:hAnsi="Times New Roman" w:cs="Times New Roman"/>
                <w:sz w:val="24"/>
                <w:szCs w:val="24"/>
              </w:rPr>
            </w:pPr>
          </w:p>
        </w:tc>
      </w:tr>
    </w:tbl>
    <w:p w14:paraId="6282A8FD" w14:textId="77777777" w:rsidR="00F70641" w:rsidRPr="0099772C" w:rsidRDefault="00F70641">
      <w:pPr>
        <w:rPr>
          <w:rFonts w:ascii="Times New Roman" w:hAnsi="Times New Roman" w:cs="Times New Roman"/>
          <w:sz w:val="24"/>
          <w:szCs w:val="24"/>
        </w:rPr>
      </w:pPr>
    </w:p>
    <w:p w14:paraId="4135BF00" w14:textId="7862777B" w:rsidR="00650AB8" w:rsidRDefault="0099772C" w:rsidP="00650AB8">
      <w:pPr>
        <w:spacing w:after="0"/>
        <w:jc w:val="both"/>
        <w:rPr>
          <w:rFonts w:ascii="Times New Roman" w:hAnsi="Times New Roman" w:cs="Times New Roman"/>
          <w:sz w:val="24"/>
          <w:szCs w:val="24"/>
        </w:rPr>
      </w:pPr>
      <w:r w:rsidRPr="0099772C">
        <w:rPr>
          <w:rFonts w:ascii="Times New Roman" w:hAnsi="Times New Roman" w:cs="Times New Roman"/>
          <w:sz w:val="24"/>
          <w:szCs w:val="24"/>
        </w:rPr>
        <w:t xml:space="preserve">18. Iškraustymas/įkraustymas bus vykdomas </w:t>
      </w:r>
      <w:r>
        <w:rPr>
          <w:rFonts w:ascii="Times New Roman" w:hAnsi="Times New Roman" w:cs="Times New Roman"/>
          <w:sz w:val="24"/>
          <w:szCs w:val="24"/>
        </w:rPr>
        <w:t>Klaipėdos</w:t>
      </w:r>
      <w:r w:rsidRPr="0099772C">
        <w:rPr>
          <w:rFonts w:ascii="Times New Roman" w:hAnsi="Times New Roman" w:cs="Times New Roman"/>
          <w:sz w:val="24"/>
          <w:szCs w:val="24"/>
        </w:rPr>
        <w:t xml:space="preserve"> raj.. Šiuo metu žinomi kraustymo paslaugų teikimo adresai</w:t>
      </w:r>
      <w:r>
        <w:rPr>
          <w:rFonts w:ascii="Times New Roman" w:hAnsi="Times New Roman" w:cs="Times New Roman"/>
          <w:sz w:val="24"/>
          <w:szCs w:val="24"/>
        </w:rPr>
        <w:t>: Iš Klaipėdos g. 2, Gargždai</w:t>
      </w:r>
      <w:r w:rsidRPr="0099772C">
        <w:rPr>
          <w:rFonts w:ascii="Times New Roman" w:hAnsi="Times New Roman" w:cs="Times New Roman"/>
          <w:sz w:val="24"/>
          <w:szCs w:val="24"/>
        </w:rPr>
        <w:t xml:space="preserve"> </w:t>
      </w:r>
      <w:r>
        <w:rPr>
          <w:rFonts w:ascii="Times New Roman" w:hAnsi="Times New Roman" w:cs="Times New Roman"/>
          <w:sz w:val="24"/>
          <w:szCs w:val="24"/>
        </w:rPr>
        <w:t xml:space="preserve">– Į  </w:t>
      </w:r>
      <w:r w:rsidRPr="0099772C">
        <w:rPr>
          <w:rFonts w:ascii="Times New Roman" w:hAnsi="Times New Roman" w:cs="Times New Roman"/>
          <w:sz w:val="24"/>
          <w:szCs w:val="24"/>
        </w:rPr>
        <w:t>Klaipėdos r. sav., Vėžaičių sen., Lapių k., Žvelsos g. 13</w:t>
      </w:r>
      <w:r>
        <w:rPr>
          <w:rFonts w:ascii="Times New Roman" w:hAnsi="Times New Roman" w:cs="Times New Roman"/>
          <w:sz w:val="24"/>
          <w:szCs w:val="24"/>
        </w:rPr>
        <w:t xml:space="preserve"> ir </w:t>
      </w:r>
      <w:r w:rsidRPr="0099772C">
        <w:rPr>
          <w:rFonts w:ascii="Times New Roman" w:hAnsi="Times New Roman" w:cs="Times New Roman"/>
          <w:sz w:val="24"/>
          <w:szCs w:val="24"/>
        </w:rPr>
        <w:t>Gamyklos g. 4, Gargždai.</w:t>
      </w:r>
    </w:p>
    <w:p w14:paraId="1E1826BB" w14:textId="11B60B50" w:rsidR="00650AB8" w:rsidRDefault="00650AB8" w:rsidP="00650AB8">
      <w:pPr>
        <w:spacing w:after="0"/>
        <w:jc w:val="both"/>
        <w:rPr>
          <w:rFonts w:ascii="Times New Roman" w:hAnsi="Times New Roman" w:cs="Times New Roman"/>
          <w:sz w:val="24"/>
          <w:szCs w:val="24"/>
        </w:rPr>
      </w:pPr>
      <w:r>
        <w:rPr>
          <w:rFonts w:ascii="Times New Roman" w:hAnsi="Times New Roman" w:cs="Times New Roman"/>
          <w:sz w:val="24"/>
          <w:szCs w:val="24"/>
        </w:rPr>
        <w:t xml:space="preserve">19. </w:t>
      </w:r>
      <w:r w:rsidRPr="00650AB8">
        <w:rPr>
          <w:rFonts w:ascii="Times New Roman" w:hAnsi="Times New Roman" w:cs="Times New Roman"/>
          <w:sz w:val="24"/>
          <w:szCs w:val="24"/>
        </w:rPr>
        <w:t>Sutarties galiojimo terminas 36 mėnesių laikotarpiui</w:t>
      </w:r>
      <w:r>
        <w:rPr>
          <w:rFonts w:ascii="Times New Roman" w:hAnsi="Times New Roman" w:cs="Times New Roman"/>
          <w:sz w:val="24"/>
          <w:szCs w:val="24"/>
        </w:rPr>
        <w:t>.</w:t>
      </w:r>
    </w:p>
    <w:p w14:paraId="00114CD8" w14:textId="77777777" w:rsidR="00BA6DA7" w:rsidRDefault="00BA6DA7" w:rsidP="00650AB8">
      <w:pPr>
        <w:spacing w:after="0"/>
        <w:jc w:val="both"/>
        <w:rPr>
          <w:rFonts w:ascii="Times New Roman" w:hAnsi="Times New Roman" w:cs="Times New Roman"/>
          <w:sz w:val="24"/>
          <w:szCs w:val="24"/>
        </w:rPr>
      </w:pPr>
    </w:p>
    <w:p w14:paraId="2F7F68D7" w14:textId="46C3F072" w:rsidR="00BA6DA7" w:rsidRDefault="00BA6DA7" w:rsidP="00650AB8">
      <w:pPr>
        <w:spacing w:after="0"/>
        <w:jc w:val="both"/>
        <w:rPr>
          <w:rFonts w:ascii="Times New Roman" w:hAnsi="Times New Roman" w:cs="Times New Roman"/>
          <w:sz w:val="24"/>
          <w:szCs w:val="24"/>
        </w:rPr>
      </w:pPr>
    </w:p>
    <w:p w14:paraId="04057A15" w14:textId="77777777" w:rsidR="0099772C" w:rsidRDefault="0099772C" w:rsidP="0099772C">
      <w:pPr>
        <w:rPr>
          <w:rFonts w:ascii="Times New Roman" w:hAnsi="Times New Roman" w:cs="Times New Roman"/>
          <w:sz w:val="24"/>
          <w:szCs w:val="24"/>
        </w:rPr>
      </w:pPr>
    </w:p>
    <w:p w14:paraId="10511A6A" w14:textId="77777777" w:rsidR="0099772C" w:rsidRDefault="0099772C" w:rsidP="0099772C">
      <w:pPr>
        <w:rPr>
          <w:rFonts w:ascii="Times New Roman" w:hAnsi="Times New Roman" w:cs="Times New Roman"/>
          <w:sz w:val="24"/>
          <w:szCs w:val="24"/>
        </w:rPr>
      </w:pPr>
    </w:p>
    <w:p w14:paraId="48670229" w14:textId="77777777" w:rsidR="0099772C" w:rsidRDefault="0099772C" w:rsidP="0099772C">
      <w:pPr>
        <w:rPr>
          <w:rFonts w:ascii="Times New Roman" w:hAnsi="Times New Roman" w:cs="Times New Roman"/>
          <w:sz w:val="24"/>
          <w:szCs w:val="24"/>
        </w:rPr>
      </w:pPr>
    </w:p>
    <w:p w14:paraId="00EC3911" w14:textId="126F06DD" w:rsidR="0099772C" w:rsidRPr="0099772C" w:rsidRDefault="0099772C" w:rsidP="0099772C">
      <w:pPr>
        <w:rPr>
          <w:rFonts w:ascii="Times New Roman" w:hAnsi="Times New Roman" w:cs="Times New Roman"/>
          <w:sz w:val="24"/>
          <w:szCs w:val="24"/>
        </w:rPr>
      </w:pPr>
      <w:r w:rsidRPr="0099772C">
        <w:rPr>
          <w:rFonts w:ascii="Times New Roman" w:hAnsi="Times New Roman" w:cs="Times New Roman"/>
          <w:sz w:val="24"/>
          <w:szCs w:val="24"/>
        </w:rPr>
        <w:t xml:space="preserve">Bendrųjų reikalų skyriaus vedėjo pavaduotojas </w:t>
      </w:r>
      <w:r w:rsidRPr="0099772C">
        <w:rPr>
          <w:rFonts w:ascii="Times New Roman" w:hAnsi="Times New Roman" w:cs="Times New Roman"/>
          <w:sz w:val="24"/>
          <w:szCs w:val="24"/>
        </w:rPr>
        <w:tab/>
      </w:r>
      <w:r w:rsidRPr="0099772C">
        <w:rPr>
          <w:rFonts w:ascii="Times New Roman" w:hAnsi="Times New Roman" w:cs="Times New Roman"/>
          <w:sz w:val="24"/>
          <w:szCs w:val="24"/>
        </w:rPr>
        <w:tab/>
      </w:r>
      <w:r>
        <w:rPr>
          <w:rFonts w:ascii="Times New Roman" w:hAnsi="Times New Roman" w:cs="Times New Roman"/>
          <w:sz w:val="24"/>
          <w:szCs w:val="24"/>
        </w:rPr>
        <w:t xml:space="preserve">                    </w:t>
      </w:r>
      <w:r w:rsidRPr="0099772C">
        <w:rPr>
          <w:rFonts w:ascii="Times New Roman" w:hAnsi="Times New Roman" w:cs="Times New Roman"/>
          <w:sz w:val="24"/>
          <w:szCs w:val="24"/>
        </w:rPr>
        <w:t>Mindaugas Miežetis</w:t>
      </w:r>
    </w:p>
    <w:sectPr w:rsidR="0099772C" w:rsidRPr="0099772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3A7E" w14:textId="77777777" w:rsidR="00D40AD3" w:rsidRDefault="00D40AD3" w:rsidP="00F70641">
      <w:pPr>
        <w:spacing w:after="0" w:line="240" w:lineRule="auto"/>
      </w:pPr>
      <w:r>
        <w:separator/>
      </w:r>
    </w:p>
  </w:endnote>
  <w:endnote w:type="continuationSeparator" w:id="0">
    <w:p w14:paraId="1EB4843E" w14:textId="77777777" w:rsidR="00D40AD3" w:rsidRDefault="00D40AD3" w:rsidP="00F7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E368" w14:textId="77777777" w:rsidR="00D40AD3" w:rsidRDefault="00D40AD3" w:rsidP="00F70641">
      <w:pPr>
        <w:spacing w:after="0" w:line="240" w:lineRule="auto"/>
      </w:pPr>
      <w:r>
        <w:separator/>
      </w:r>
    </w:p>
  </w:footnote>
  <w:footnote w:type="continuationSeparator" w:id="0">
    <w:p w14:paraId="4A3C3283" w14:textId="77777777" w:rsidR="00D40AD3" w:rsidRDefault="00D40AD3" w:rsidP="00F706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41"/>
    <w:rsid w:val="00036F9E"/>
    <w:rsid w:val="00086B84"/>
    <w:rsid w:val="000A494D"/>
    <w:rsid w:val="00116468"/>
    <w:rsid w:val="00177FBE"/>
    <w:rsid w:val="001D3BA5"/>
    <w:rsid w:val="00202D3A"/>
    <w:rsid w:val="002B1367"/>
    <w:rsid w:val="00354DCB"/>
    <w:rsid w:val="00461E9A"/>
    <w:rsid w:val="005E4396"/>
    <w:rsid w:val="00646524"/>
    <w:rsid w:val="00650AB8"/>
    <w:rsid w:val="006C0E64"/>
    <w:rsid w:val="00737068"/>
    <w:rsid w:val="007E6097"/>
    <w:rsid w:val="009250C6"/>
    <w:rsid w:val="0099772C"/>
    <w:rsid w:val="00A07D1D"/>
    <w:rsid w:val="00A8043E"/>
    <w:rsid w:val="00B6043A"/>
    <w:rsid w:val="00BA60A0"/>
    <w:rsid w:val="00BA6DA7"/>
    <w:rsid w:val="00BC212B"/>
    <w:rsid w:val="00C9763B"/>
    <w:rsid w:val="00CD38BF"/>
    <w:rsid w:val="00D40AD3"/>
    <w:rsid w:val="00D77274"/>
    <w:rsid w:val="00F04239"/>
    <w:rsid w:val="00F70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28DD"/>
  <w15:chartTrackingRefBased/>
  <w15:docId w15:val="{B9E3EC28-E4C1-4FCA-9D5E-46CFD35E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0641"/>
  </w:style>
  <w:style w:type="paragraph" w:styleId="Antrat1">
    <w:name w:val="heading 1"/>
    <w:basedOn w:val="prastasis"/>
    <w:next w:val="prastasis"/>
    <w:link w:val="Antrat1Diagrama"/>
    <w:uiPriority w:val="9"/>
    <w:qFormat/>
    <w:rsid w:val="00F706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706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7064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7064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7064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706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06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706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06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06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706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7064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7064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7064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706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06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06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06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0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06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06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06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06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0641"/>
    <w:rPr>
      <w:i/>
      <w:iCs/>
      <w:color w:val="404040" w:themeColor="text1" w:themeTint="BF"/>
    </w:rPr>
  </w:style>
  <w:style w:type="paragraph" w:styleId="Sraopastraipa">
    <w:name w:val="List Paragraph"/>
    <w:basedOn w:val="prastasis"/>
    <w:uiPriority w:val="34"/>
    <w:qFormat/>
    <w:rsid w:val="00F70641"/>
    <w:pPr>
      <w:ind w:left="720"/>
      <w:contextualSpacing/>
    </w:pPr>
  </w:style>
  <w:style w:type="character" w:styleId="Rykuspabraukimas">
    <w:name w:val="Intense Emphasis"/>
    <w:basedOn w:val="Numatytasispastraiposriftas"/>
    <w:uiPriority w:val="21"/>
    <w:qFormat/>
    <w:rsid w:val="00F70641"/>
    <w:rPr>
      <w:i/>
      <w:iCs/>
      <w:color w:val="2F5496" w:themeColor="accent1" w:themeShade="BF"/>
    </w:rPr>
  </w:style>
  <w:style w:type="paragraph" w:styleId="Iskirtacitata">
    <w:name w:val="Intense Quote"/>
    <w:basedOn w:val="prastasis"/>
    <w:next w:val="prastasis"/>
    <w:link w:val="IskirtacitataDiagrama"/>
    <w:uiPriority w:val="30"/>
    <w:qFormat/>
    <w:rsid w:val="00F706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70641"/>
    <w:rPr>
      <w:i/>
      <w:iCs/>
      <w:color w:val="2F5496" w:themeColor="accent1" w:themeShade="BF"/>
    </w:rPr>
  </w:style>
  <w:style w:type="character" w:styleId="Rykinuoroda">
    <w:name w:val="Intense Reference"/>
    <w:basedOn w:val="Numatytasispastraiposriftas"/>
    <w:uiPriority w:val="32"/>
    <w:qFormat/>
    <w:rsid w:val="00F70641"/>
    <w:rPr>
      <w:b/>
      <w:bCs/>
      <w:smallCaps/>
      <w:color w:val="2F5496" w:themeColor="accent1" w:themeShade="BF"/>
      <w:spacing w:val="5"/>
    </w:rPr>
  </w:style>
  <w:style w:type="table" w:styleId="Lentelstinklelis">
    <w:name w:val="Table Grid"/>
    <w:basedOn w:val="prastojilentel"/>
    <w:uiPriority w:val="39"/>
    <w:rsid w:val="00F7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706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0641"/>
  </w:style>
  <w:style w:type="paragraph" w:styleId="Porat">
    <w:name w:val="footer"/>
    <w:basedOn w:val="prastasis"/>
    <w:link w:val="PoratDiagrama"/>
    <w:uiPriority w:val="99"/>
    <w:unhideWhenUsed/>
    <w:rsid w:val="00F706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0641"/>
  </w:style>
  <w:style w:type="paragraph" w:customStyle="1" w:styleId="Default">
    <w:name w:val="Default"/>
    <w:rsid w:val="00F7064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3198</Words>
  <Characters>1823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Miežetis</dc:creator>
  <cp:keywords/>
  <dc:description/>
  <cp:lastModifiedBy>Mindaugas Miežetis</cp:lastModifiedBy>
  <cp:revision>5</cp:revision>
  <dcterms:created xsi:type="dcterms:W3CDTF">2025-04-29T11:03:00Z</dcterms:created>
  <dcterms:modified xsi:type="dcterms:W3CDTF">2025-04-29T12:45:00Z</dcterms:modified>
</cp:coreProperties>
</file>