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                                                                                        </w:t>
      </w:r>
      <w:r>
        <w:rPr>
          <w:rFonts w:cs="Arial" w:ascii="Arial" w:hAnsi="Arial"/>
          <w:sz w:val="22"/>
          <w:szCs w:val="22"/>
          <w:shd w:fill="EBF1DE" w:val="clear"/>
        </w:rPr>
        <w:t>202__ _  _</w:t>
      </w:r>
      <w:r>
        <w:rPr>
          <w:rFonts w:cs="Arial" w:ascii="Arial" w:hAnsi="Arial"/>
          <w:sz w:val="22"/>
          <w:szCs w:val="22"/>
        </w:rPr>
        <w:t xml:space="preserve"> Miškininkystės paslaugų                 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               </w:t>
      </w:r>
      <w:r>
        <w:rPr>
          <w:rFonts w:cs="Arial" w:ascii="Arial" w:hAnsi="Arial"/>
          <w:sz w:val="22"/>
          <w:szCs w:val="22"/>
        </w:rPr>
        <w:t>sutartis Nr.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               </w:t>
      </w:r>
      <w:r>
        <w:rPr>
          <w:rFonts w:cs="Arial" w:ascii="Arial" w:hAnsi="Arial"/>
          <w:sz w:val="22"/>
          <w:szCs w:val="22"/>
        </w:rPr>
        <w:t>5 priedas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                                               </w:t>
      </w:r>
      <w:r>
        <w:rPr>
          <w:rFonts w:cs="Arial" w:ascii="Arial" w:hAnsi="Arial"/>
          <w:b/>
          <w:bCs/>
          <w:sz w:val="22"/>
          <w:szCs w:val="22"/>
        </w:rPr>
        <w:t xml:space="preserve">PASLAUGŲ BAZINIAI ĮKAINIAI </w:t>
      </w:r>
    </w:p>
    <w:p>
      <w:pPr>
        <w:pStyle w:val="ATekstas"/>
        <w:spacing w:before="240" w:after="0"/>
        <w:ind w:hanging="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Style w:val="Lentelstinklelis"/>
        <w:tblW w:w="96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"/>
        <w:gridCol w:w="3560"/>
        <w:gridCol w:w="1523"/>
        <w:gridCol w:w="2002"/>
        <w:gridCol w:w="1984"/>
      </w:tblGrid>
      <w:tr>
        <w:trPr/>
        <w:tc>
          <w:tcPr>
            <w:tcW w:w="570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lt-LT" w:eastAsia="en-US" w:bidi="ar-SA"/>
              </w:rPr>
              <w:t>Eil. Nr.</w:t>
            </w:r>
          </w:p>
        </w:tc>
        <w:tc>
          <w:tcPr>
            <w:tcW w:w="3560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lt-LT" w:eastAsia="en-US" w:bidi="ar-SA"/>
              </w:rPr>
              <w:t>Paslaugos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lt-LT" w:eastAsia="en-US" w:bidi="ar-SA"/>
              </w:rPr>
              <w:t>Mato vnt.</w:t>
            </w:r>
          </w:p>
        </w:tc>
        <w:tc>
          <w:tcPr>
            <w:tcW w:w="2002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lt-LT" w:eastAsia="en-US" w:bidi="ar-SA"/>
              </w:rPr>
              <w:t>Paslaugų bazinis įkainis už mato vnt., be PVM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lt-LT" w:eastAsia="en-US" w:bidi="ar-SA"/>
              </w:rPr>
              <w:t>Paslaugų bazinis įkainis už mato vnt., su PVM</w:t>
            </w:r>
          </w:p>
        </w:tc>
      </w:tr>
      <w:tr>
        <w:trPr/>
        <w:tc>
          <w:tcPr>
            <w:tcW w:w="570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right="-102" w:hang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1.</w:t>
            </w:r>
          </w:p>
        </w:tc>
        <w:tc>
          <w:tcPr>
            <w:tcW w:w="3560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bidi="ar-SA"/>
              </w:rPr>
              <w:t>Želdavietės paruošimas miško sodmenų sodinimui iškertant nepageidaujamus medžius, krūmus.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Eur/ha</w:t>
            </w:r>
          </w:p>
        </w:tc>
        <w:tc>
          <w:tcPr>
            <w:tcW w:w="2002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</w:tr>
      <w:tr>
        <w:trPr/>
        <w:tc>
          <w:tcPr>
            <w:tcW w:w="570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right="-102" w:hang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2.</w:t>
            </w:r>
          </w:p>
        </w:tc>
        <w:tc>
          <w:tcPr>
            <w:tcW w:w="3560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lt-LT" w:eastAsia="en-US" w:bidi="ar-SA"/>
              </w:rPr>
              <w:t>Miško želdinių ir žėlinių  priežiūra šalinant žabus ir žolinę augmeniją.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Eur/ha</w:t>
            </w:r>
          </w:p>
        </w:tc>
        <w:tc>
          <w:tcPr>
            <w:tcW w:w="2002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</w:tr>
      <w:tr>
        <w:trPr/>
        <w:tc>
          <w:tcPr>
            <w:tcW w:w="570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right="-102" w:hang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3.</w:t>
            </w:r>
          </w:p>
        </w:tc>
        <w:tc>
          <w:tcPr>
            <w:tcW w:w="3560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bidi="ar-SA"/>
              </w:rPr>
              <w:t>Jaunuolynų ugdymas ir/ar retinimo kirtimai, negaminant likvidinės medienos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Eur/ha</w:t>
            </w:r>
          </w:p>
        </w:tc>
        <w:tc>
          <w:tcPr>
            <w:tcW w:w="2002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</w:tr>
      <w:tr>
        <w:trPr/>
        <w:tc>
          <w:tcPr>
            <w:tcW w:w="570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right="-102" w:hang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4.</w:t>
            </w:r>
          </w:p>
        </w:tc>
        <w:tc>
          <w:tcPr>
            <w:tcW w:w="3560" w:type="dxa"/>
            <w:tcBorders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bidi="ar-SA"/>
              </w:rPr>
              <w:t>Griovių šlaitų ir pagriovių priežiūra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Eur/ha</w:t>
            </w:r>
          </w:p>
        </w:tc>
        <w:tc>
          <w:tcPr>
            <w:tcW w:w="2002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</w:tr>
      <w:tr>
        <w:trPr/>
        <w:tc>
          <w:tcPr>
            <w:tcW w:w="570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right="-102" w:hang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5.</w:t>
            </w:r>
          </w:p>
        </w:tc>
        <w:tc>
          <w:tcPr>
            <w:tcW w:w="3560" w:type="dxa"/>
            <w:tcBorders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bidi="ar-SA"/>
              </w:rPr>
              <w:t>Pakelių priežiūra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Eur/km</w:t>
            </w:r>
          </w:p>
        </w:tc>
        <w:tc>
          <w:tcPr>
            <w:tcW w:w="2002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</w:tr>
      <w:tr>
        <w:trPr/>
        <w:tc>
          <w:tcPr>
            <w:tcW w:w="570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right="-102" w:hang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6.</w:t>
            </w:r>
          </w:p>
        </w:tc>
        <w:tc>
          <w:tcPr>
            <w:tcW w:w="3560" w:type="dxa"/>
            <w:tcBorders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bidi="ar-SA"/>
              </w:rPr>
              <w:t>Kvartalinių ir ribinių linijų priežiūra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Eur/km</w:t>
            </w:r>
          </w:p>
        </w:tc>
        <w:tc>
          <w:tcPr>
            <w:tcW w:w="2002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</w:tr>
      <w:tr>
        <w:trPr/>
        <w:tc>
          <w:tcPr>
            <w:tcW w:w="570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right="-102" w:hang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7.</w:t>
            </w:r>
          </w:p>
        </w:tc>
        <w:tc>
          <w:tcPr>
            <w:tcW w:w="3560" w:type="dxa"/>
            <w:tcBorders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bidi="ar-SA"/>
              </w:rPr>
              <w:t>Želdavietės paruošimas miško sodmenų sodinimui cheminiu būdu pašalinant nepageidaujamą augmeniją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Eur/ha</w:t>
            </w:r>
          </w:p>
        </w:tc>
        <w:tc>
          <w:tcPr>
            <w:tcW w:w="2002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</w:tr>
      <w:tr>
        <w:trPr/>
        <w:tc>
          <w:tcPr>
            <w:tcW w:w="570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right="-102" w:hang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8.</w:t>
            </w:r>
          </w:p>
        </w:tc>
        <w:tc>
          <w:tcPr>
            <w:tcW w:w="3560" w:type="dxa"/>
            <w:tcBorders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bidi="ar-SA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/>
            <w:shd w:color="auto" w:fill="auto" w:val="clear"/>
            <w:vAlign w:val="center"/>
          </w:tcPr>
          <w:p>
            <w:pPr>
              <w:pStyle w:val="ATekstas"/>
              <w:widowControl/>
              <w:spacing w:before="0" w:after="0"/>
              <w:ind w:hang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eastAsia="SimSun" w:cs="Arial" w:ascii="Arial" w:hAnsi="Arial"/>
                <w:kern w:val="2"/>
                <w:sz w:val="22"/>
                <w:szCs w:val="22"/>
                <w:lang w:val="lt-LT" w:eastAsia="zh-CN" w:bidi="hi-IN"/>
              </w:rPr>
              <w:t>Eur/tūkst.vnt.</w:t>
            </w:r>
          </w:p>
        </w:tc>
        <w:tc>
          <w:tcPr>
            <w:tcW w:w="2002" w:type="dxa"/>
            <w:tcBorders/>
            <w:shd w:color="auto" w:fill="auto" w:val="clear"/>
            <w:vAlign w:val="center"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  <w:tc>
          <w:tcPr>
            <w:tcW w:w="1984" w:type="dxa"/>
            <w:tcBorders/>
            <w:shd w:color="auto" w:fill="auto" w:val="clear"/>
            <w:vAlign w:val="center"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</w:tr>
      <w:tr>
        <w:trPr/>
        <w:tc>
          <w:tcPr>
            <w:tcW w:w="570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right="-102" w:hang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9.</w:t>
            </w:r>
          </w:p>
        </w:tc>
        <w:tc>
          <w:tcPr>
            <w:tcW w:w="3560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bidi="ar-SA"/>
              </w:rPr>
              <w:t xml:space="preserve">Želdinių, žėlinių apsauga nuo kanopinių žvėrių bei vabzdžių daromos žalos 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eastAsia="SimSun" w:cs="Arial" w:ascii="Arial" w:hAnsi="Arial"/>
                <w:kern w:val="2"/>
                <w:sz w:val="22"/>
                <w:szCs w:val="22"/>
                <w:lang w:val="lt-LT" w:eastAsia="zh-CN" w:bidi="hi-IN"/>
              </w:rPr>
              <w:t>Eur/tūkst.vnt.</w:t>
            </w:r>
          </w:p>
        </w:tc>
        <w:tc>
          <w:tcPr>
            <w:tcW w:w="2002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</w:tr>
      <w:tr>
        <w:trPr/>
        <w:tc>
          <w:tcPr>
            <w:tcW w:w="570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right="-102" w:hang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10.</w:t>
            </w:r>
          </w:p>
        </w:tc>
        <w:tc>
          <w:tcPr>
            <w:tcW w:w="3560" w:type="dxa"/>
            <w:tcBorders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bidi="ar-SA"/>
              </w:rPr>
              <w:t>Želdinių, žėlinių ir medelių kamienų apsauga nuo kanopinių žvėrių daromos žalos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eastAsia="SimSun" w:cs="Arial" w:ascii="Arial" w:hAnsi="Arial"/>
                <w:kern w:val="2"/>
                <w:sz w:val="22"/>
                <w:szCs w:val="22"/>
                <w:lang w:val="lt-LT" w:eastAsia="zh-CN" w:bidi="hi-IN"/>
              </w:rPr>
              <w:t>Eur/tūkst.vnt.</w:t>
            </w:r>
          </w:p>
        </w:tc>
        <w:tc>
          <w:tcPr>
            <w:tcW w:w="2002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</w:tr>
      <w:tr>
        <w:trPr/>
        <w:tc>
          <w:tcPr>
            <w:tcW w:w="570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right="-102" w:hang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11.</w:t>
            </w:r>
          </w:p>
        </w:tc>
        <w:tc>
          <w:tcPr>
            <w:tcW w:w="3560" w:type="dxa"/>
            <w:tcBorders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bidi="ar-SA"/>
              </w:rPr>
              <w:t>Želdinių, žėlinių apsauga nuo kanopinių žvėrių daromos žalos, tveriant vielos tinklo tvorą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Eur/m</w:t>
            </w:r>
          </w:p>
        </w:tc>
        <w:tc>
          <w:tcPr>
            <w:tcW w:w="2002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 xml:space="preserve">       </w:t>
            </w: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1,58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 xml:space="preserve">       </w:t>
            </w: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1,91</w:t>
            </w:r>
          </w:p>
        </w:tc>
      </w:tr>
      <w:tr>
        <w:trPr/>
        <w:tc>
          <w:tcPr>
            <w:tcW w:w="570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right="-102" w:hang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12.</w:t>
            </w:r>
          </w:p>
        </w:tc>
        <w:tc>
          <w:tcPr>
            <w:tcW w:w="3560" w:type="dxa"/>
            <w:tcBorders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bidi="ar-SA"/>
              </w:rPr>
              <w:t>Sodmenų transportavimo paslaugos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Eur/km</w:t>
            </w:r>
          </w:p>
        </w:tc>
        <w:tc>
          <w:tcPr>
            <w:tcW w:w="2002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ATekstas"/>
              <w:widowControl/>
              <w:spacing w:before="0" w:after="0"/>
              <w:ind w:hang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</w:r>
          </w:p>
        </w:tc>
      </w:tr>
    </w:tbl>
    <w:p>
      <w:pPr>
        <w:pStyle w:val="Heading2"/>
        <w:numPr>
          <w:ilvl w:val="0"/>
          <w:numId w:val="0"/>
        </w:numPr>
        <w:spacing w:before="0" w:after="0"/>
        <w:ind w:left="0" w:firstLine="567"/>
        <w:rPr>
          <w:rFonts w:ascii="Arial" w:hAnsi="Arial" w:cs="Arial"/>
          <w:sz w:val="22"/>
          <w:szCs w:val="22"/>
          <w:lang w:val="lt-LT"/>
        </w:rPr>
      </w:pPr>
      <w:r>
        <w:rPr>
          <w:rFonts w:cs="Arial" w:ascii="Arial" w:hAnsi="Arial"/>
          <w:sz w:val="22"/>
          <w:szCs w:val="22"/>
          <w:lang w:val="lt-LT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%1.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pStyle w:val="Heading2"/>
      <w:numFmt w:val="decimal"/>
      <w:suff w:val="space"/>
      <w:lvlText w:val="%1.%2."/>
      <w:lvlJc w:val="left"/>
      <w:pPr>
        <w:tabs>
          <w:tab w:val="num" w:pos="0"/>
        </w:tabs>
        <w:ind w:left="-11" w:firstLine="720"/>
      </w:pPr>
      <w:rPr>
        <w:dstrike w:val="false"/>
        <w:strike w:val="false"/>
        <w:sz w:val="22"/>
        <w:i w:val="false"/>
        <w:b w:val="false"/>
      </w:rPr>
    </w:lvl>
    <w:lvl w:ilvl="2">
      <w:start w:val="1"/>
      <w:pStyle w:val="Heading3"/>
      <w:numFmt w:val="decimal"/>
      <w:suff w:val="space"/>
      <w:lvlText w:val="%1.%2.%3."/>
      <w:lvlJc w:val="left"/>
      <w:pPr>
        <w:tabs>
          <w:tab w:val="num" w:pos="0"/>
        </w:tabs>
        <w:ind w:left="273" w:firstLine="72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cntxtAlts w14:val="0"/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pStyle w:val="Heading4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pStyle w:val="Heading5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396"/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5c76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0"/>
      <w:lang w:val="lt-LT" w:eastAsia="en-US" w:bidi="ar-SA"/>
    </w:rPr>
  </w:style>
  <w:style w:type="paragraph" w:styleId="Heading1">
    <w:name w:val="Heading 1"/>
    <w:basedOn w:val="Normal"/>
    <w:next w:val="Normal"/>
    <w:link w:val="Antrat1Diagrama"/>
    <w:qFormat/>
    <w:rsid w:val="00f95c76"/>
    <w:pPr>
      <w:keepNext w:val="true"/>
      <w:numPr>
        <w:ilvl w:val="0"/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Heading2">
    <w:name w:val="Heading 2"/>
    <w:basedOn w:val="Normal"/>
    <w:link w:val="Antrat2Diagrama"/>
    <w:qFormat/>
    <w:rsid w:val="00f95c76"/>
    <w:pPr>
      <w:numPr>
        <w:ilvl w:val="1"/>
        <w:numId w:val="1"/>
      </w:numPr>
      <w:spacing w:before="120" w:after="0"/>
      <w:ind w:left="-436" w:hanging="0"/>
      <w:jc w:val="both"/>
      <w:outlineLvl w:val="1"/>
    </w:pPr>
    <w:rPr>
      <w:lang w:val="x-none" w:eastAsia="x-none"/>
    </w:rPr>
  </w:style>
  <w:style w:type="paragraph" w:styleId="Heading3">
    <w:name w:val="Heading 3"/>
    <w:basedOn w:val="Heading2"/>
    <w:link w:val="Antrat3Diagrama"/>
    <w:qFormat/>
    <w:rsid w:val="00f95c76"/>
    <w:pPr>
      <w:widowControl w:val="false"/>
      <w:numPr>
        <w:ilvl w:val="2"/>
        <w:numId w:val="1"/>
      </w:numPr>
      <w:spacing w:before="0" w:after="0"/>
      <w:outlineLvl w:val="2"/>
    </w:pPr>
    <w:rPr/>
  </w:style>
  <w:style w:type="paragraph" w:styleId="Heading4">
    <w:name w:val="Heading 4"/>
    <w:basedOn w:val="Normal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Heading5">
    <w:name w:val="Heading 5"/>
    <w:basedOn w:val="Normal"/>
    <w:next w:val="Normal"/>
    <w:link w:val="Antrat5Diagrama"/>
    <w:qFormat/>
    <w:rsid w:val="00f95c76"/>
    <w:pPr>
      <w:keepNext w:val="true"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Heading6">
    <w:name w:val="Heading 6"/>
    <w:basedOn w:val="Normal"/>
    <w:next w:val="Normal"/>
    <w:link w:val="Antrat6Diagrama"/>
    <w:qFormat/>
    <w:rsid w:val="00f95c76"/>
    <w:pPr>
      <w:keepNext w:val="true"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Heading7">
    <w:name w:val="Heading 7"/>
    <w:basedOn w:val="Normal"/>
    <w:next w:val="Normal"/>
    <w:link w:val="Antrat7Diagrama"/>
    <w:uiPriority w:val="99"/>
    <w:qFormat/>
    <w:rsid w:val="00f95c76"/>
    <w:pPr>
      <w:keepNext w:val="true"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Heading8">
    <w:name w:val="Heading 8"/>
    <w:basedOn w:val="Normal"/>
    <w:next w:val="Normal"/>
    <w:link w:val="Antrat8Diagrama"/>
    <w:uiPriority w:val="99"/>
    <w:qFormat/>
    <w:rsid w:val="00f95c76"/>
    <w:pPr>
      <w:keepNext w:val="true"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Heading9">
    <w:name w:val="Heading 9"/>
    <w:basedOn w:val="Normal"/>
    <w:next w:val="Normal"/>
    <w:link w:val="Antrat9Diagrama"/>
    <w:uiPriority w:val="99"/>
    <w:qFormat/>
    <w:rsid w:val="00f95c76"/>
    <w:pPr>
      <w:keepNext w:val="true"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trat1Diagrama" w:customStyle="1">
    <w:name w:val="Antraštė 1 Diagrama"/>
    <w:basedOn w:val="DefaultParagraphFont"/>
    <w:link w:val="Heading1"/>
    <w:qFormat/>
    <w:rsid w:val="00f95c76"/>
    <w:rPr>
      <w:rFonts w:ascii="Times New Roman" w:hAnsi="Times New Roman" w:eastAsia="Calibri" w:cs="Times New Roman"/>
      <w:b/>
      <w:caps/>
      <w:sz w:val="24"/>
      <w:szCs w:val="20"/>
      <w:lang w:val="x-none" w:eastAsia="x-none"/>
    </w:rPr>
  </w:style>
  <w:style w:type="character" w:styleId="Antrat2Diagrama" w:customStyle="1">
    <w:name w:val="Antraštė 2 Diagrama"/>
    <w:basedOn w:val="DefaultParagraphFont"/>
    <w:link w:val="Heading2"/>
    <w:qFormat/>
    <w:rsid w:val="00f95c76"/>
    <w:rPr>
      <w:rFonts w:ascii="Times New Roman" w:hAnsi="Times New Roman" w:eastAsia="Calibri" w:cs="Times New Roman"/>
      <w:sz w:val="24"/>
      <w:szCs w:val="20"/>
      <w:lang w:val="x-none" w:eastAsia="x-none"/>
    </w:rPr>
  </w:style>
  <w:style w:type="character" w:styleId="Antrat3Diagrama" w:customStyle="1">
    <w:name w:val="Antraštė 3 Diagrama"/>
    <w:basedOn w:val="DefaultParagraphFont"/>
    <w:link w:val="Heading3"/>
    <w:qFormat/>
    <w:rsid w:val="00f95c76"/>
    <w:rPr>
      <w:rFonts w:ascii="Times New Roman" w:hAnsi="Times New Roman" w:eastAsia="Calibri" w:cs="Times New Roman"/>
      <w:sz w:val="24"/>
      <w:szCs w:val="20"/>
      <w:lang w:val="x-none" w:eastAsia="x-none"/>
    </w:rPr>
  </w:style>
  <w:style w:type="character" w:styleId="Antrat4Diagrama" w:customStyle="1">
    <w:name w:val="Antraštė 4 Diagrama"/>
    <w:basedOn w:val="DefaultParagraphFont"/>
    <w:link w:val="Heading4"/>
    <w:qFormat/>
    <w:rsid w:val="00f95c76"/>
    <w:rPr>
      <w:rFonts w:ascii="Times New Roman" w:hAnsi="Times New Roman" w:eastAsia="Calibri" w:cs="Times New Roman"/>
      <w:sz w:val="24"/>
      <w:szCs w:val="20"/>
      <w:lang w:val="x-none" w:eastAsia="x-none"/>
    </w:rPr>
  </w:style>
  <w:style w:type="character" w:styleId="Antrat5Diagrama" w:customStyle="1">
    <w:name w:val="Antraštė 5 Diagrama"/>
    <w:basedOn w:val="DefaultParagraphFont"/>
    <w:link w:val="Heading5"/>
    <w:qFormat/>
    <w:rsid w:val="00f95c76"/>
    <w:rPr>
      <w:rFonts w:ascii="Times New Roman" w:hAnsi="Times New Roman" w:eastAsia="Calibri" w:cs="Times New Roman"/>
      <w:b/>
      <w:sz w:val="40"/>
      <w:szCs w:val="20"/>
      <w:lang w:val="x-none" w:eastAsia="x-none"/>
    </w:rPr>
  </w:style>
  <w:style w:type="character" w:styleId="Antrat6Diagrama" w:customStyle="1">
    <w:name w:val="Antraštė 6 Diagrama"/>
    <w:basedOn w:val="DefaultParagraphFont"/>
    <w:link w:val="Heading6"/>
    <w:qFormat/>
    <w:rsid w:val="00f95c76"/>
    <w:rPr>
      <w:rFonts w:ascii="Times New Roman" w:hAnsi="Times New Roman" w:eastAsia="Calibri" w:cs="Times New Roman"/>
      <w:b/>
      <w:sz w:val="36"/>
      <w:szCs w:val="20"/>
      <w:lang w:val="x-none" w:eastAsia="x-none"/>
    </w:rPr>
  </w:style>
  <w:style w:type="character" w:styleId="Antrat7Diagrama" w:customStyle="1">
    <w:name w:val="Antraštė 7 Diagrama"/>
    <w:basedOn w:val="DefaultParagraphFont"/>
    <w:link w:val="Heading7"/>
    <w:uiPriority w:val="99"/>
    <w:qFormat/>
    <w:rsid w:val="00f95c76"/>
    <w:rPr>
      <w:rFonts w:ascii="Times New Roman" w:hAnsi="Times New Roman" w:eastAsia="Calibri" w:cs="Times New Roman"/>
      <w:sz w:val="48"/>
      <w:szCs w:val="20"/>
      <w:lang w:val="x-none" w:eastAsia="x-none"/>
    </w:rPr>
  </w:style>
  <w:style w:type="character" w:styleId="Antrat8Diagrama" w:customStyle="1">
    <w:name w:val="Antraštė 8 Diagrama"/>
    <w:basedOn w:val="DefaultParagraphFont"/>
    <w:link w:val="Heading8"/>
    <w:uiPriority w:val="99"/>
    <w:qFormat/>
    <w:rsid w:val="00f95c76"/>
    <w:rPr>
      <w:rFonts w:ascii="Times New Roman" w:hAnsi="Times New Roman" w:eastAsia="Calibri" w:cs="Times New Roman"/>
      <w:b/>
      <w:sz w:val="18"/>
      <w:szCs w:val="20"/>
      <w:lang w:val="x-none" w:eastAsia="x-none"/>
    </w:rPr>
  </w:style>
  <w:style w:type="character" w:styleId="Antrat9Diagrama" w:customStyle="1">
    <w:name w:val="Antraštė 9 Diagrama"/>
    <w:basedOn w:val="DefaultParagraphFont"/>
    <w:link w:val="Heading9"/>
    <w:uiPriority w:val="99"/>
    <w:qFormat/>
    <w:rsid w:val="00f95c76"/>
    <w:rPr>
      <w:rFonts w:ascii="Times New Roman" w:hAnsi="Times New Roman" w:eastAsia="Calibri" w:cs="Times New Roman"/>
      <w:sz w:val="40"/>
      <w:szCs w:val="20"/>
      <w:lang w:val="x-none" w:eastAsia="x-none"/>
    </w:rPr>
  </w:style>
  <w:style w:type="character" w:styleId="Annotationreference">
    <w:name w:val="annotation reference"/>
    <w:basedOn w:val="DefaultParagraphFont"/>
    <w:uiPriority w:val="99"/>
    <w:unhideWhenUsed/>
    <w:qFormat/>
    <w:rsid w:val="00f95c76"/>
    <w:rPr>
      <w:sz w:val="16"/>
      <w:szCs w:val="16"/>
    </w:rPr>
  </w:style>
  <w:style w:type="character" w:styleId="KomentarotekstasDiagrama" w:customStyle="1">
    <w:name w:val="Komentaro tekstas Diagrama"/>
    <w:basedOn w:val="DefaultParagraphFont"/>
    <w:link w:val="Annotationtext"/>
    <w:uiPriority w:val="99"/>
    <w:qFormat/>
    <w:rsid w:val="00f95c76"/>
    <w:rPr>
      <w:sz w:val="20"/>
      <w:szCs w:val="20"/>
    </w:rPr>
  </w:style>
  <w:style w:type="character" w:styleId="DebesliotekstasDiagrama" w:customStyle="1">
    <w:name w:val="Debesėlio tekstas Diagrama"/>
    <w:basedOn w:val="DefaultParagraphFont"/>
    <w:link w:val="BalloonText"/>
    <w:uiPriority w:val="99"/>
    <w:semiHidden/>
    <w:qFormat/>
    <w:rsid w:val="00f95c76"/>
    <w:rPr>
      <w:rFonts w:ascii="Segoe UI" w:hAnsi="Segoe UI" w:eastAsia="Calibr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ATekstas" w:customStyle="1">
    <w:name w:val="A Tekstas"/>
    <w:basedOn w:val="Normal"/>
    <w:qFormat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paragraph" w:styleId="Annotationtext">
    <w:name w:val="annotation text"/>
    <w:basedOn w:val="Normal"/>
    <w:link w:val="KomentarotekstasDiagrama"/>
    <w:uiPriority w:val="99"/>
    <w:unhideWhenUsed/>
    <w:qFormat/>
    <w:rsid w:val="00f95c76"/>
    <w:pPr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</w:rPr>
  </w:style>
  <w:style w:type="paragraph" w:styleId="BalloonText">
    <w:name w:val="Balloon Text"/>
    <w:basedOn w:val="Normal"/>
    <w:link w:val="DebesliotekstasDiagrama"/>
    <w:uiPriority w:val="99"/>
    <w:semiHidden/>
    <w:unhideWhenUsed/>
    <w:qFormat/>
    <w:rsid w:val="00f95c76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LibreOffice/7.3.3.2$Windows_X86_64 LibreOffice_project/d1d0ea68f081ee2800a922cac8f79445e4603348</Application>
  <AppVersion>15.0000</AppVersion>
  <Pages>1</Pages>
  <Words>956</Words>
  <Characters>546</Characters>
  <CharactersWithSpaces>1500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2024-10-29T10:22:00Z</dcterms:created>
  <dc:creator>Gintaras Zavistauskas</dc:creator>
  <dc:description/>
  <dc:language>lt-LT</dc:language>
  <cp:lastModifiedBy/>
  <dcterms:modified xsi:type="dcterms:W3CDTF">2025-06-02T09:05:39Z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