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BC037" w14:textId="77777777" w:rsidR="00B64F5C" w:rsidRPr="005232ED" w:rsidRDefault="00B64F5C" w:rsidP="005232ED">
      <w:pPr>
        <w:suppressAutoHyphens/>
        <w:spacing w:after="0" w:line="240" w:lineRule="auto"/>
        <w:ind w:firstLine="284"/>
        <w:jc w:val="center"/>
        <w:rPr>
          <w:rFonts w:ascii="Times New Roman" w:eastAsia="Times New Roman" w:hAnsi="Times New Roman"/>
          <w:sz w:val="24"/>
          <w:szCs w:val="24"/>
          <w:lang w:eastAsia="ar-SA"/>
        </w:rPr>
      </w:pPr>
      <w:r w:rsidRPr="005232ED">
        <w:rPr>
          <w:rFonts w:ascii="Times New Roman" w:eastAsia="Times New Roman" w:hAnsi="Times New Roman"/>
          <w:b/>
          <w:bCs/>
          <w:sz w:val="24"/>
          <w:szCs w:val="24"/>
          <w:lang w:eastAsia="ar-SA"/>
        </w:rPr>
        <w:t>PASLAUGŲ SUTARTIS</w:t>
      </w:r>
    </w:p>
    <w:p w14:paraId="475A05AD" w14:textId="77777777" w:rsidR="00B64F5C" w:rsidRPr="005232ED" w:rsidRDefault="00B64F5C" w:rsidP="005232ED">
      <w:pPr>
        <w:suppressAutoHyphens/>
        <w:spacing w:after="0" w:line="240" w:lineRule="auto"/>
        <w:ind w:firstLine="284"/>
        <w:jc w:val="center"/>
        <w:rPr>
          <w:rFonts w:ascii="Times New Roman" w:eastAsia="Times New Roman" w:hAnsi="Times New Roman"/>
          <w:sz w:val="24"/>
          <w:szCs w:val="24"/>
          <w:lang w:eastAsia="ar-SA"/>
        </w:rPr>
      </w:pPr>
      <w:r w:rsidRPr="005232ED">
        <w:rPr>
          <w:rFonts w:ascii="Times New Roman" w:eastAsia="Times New Roman" w:hAnsi="Times New Roman"/>
          <w:sz w:val="24"/>
          <w:szCs w:val="24"/>
          <w:lang w:eastAsia="ar-SA"/>
        </w:rPr>
        <w:t>Vilnius</w:t>
      </w:r>
    </w:p>
    <w:p w14:paraId="639895E3" w14:textId="1846D442" w:rsidR="00B64F5C" w:rsidRPr="005232ED" w:rsidRDefault="00B0732F" w:rsidP="005232ED">
      <w:pPr>
        <w:suppressAutoHyphens/>
        <w:spacing w:after="0" w:line="240" w:lineRule="auto"/>
        <w:ind w:firstLine="284"/>
        <w:jc w:val="center"/>
        <w:rPr>
          <w:rFonts w:ascii="Times New Roman" w:eastAsia="Times New Roman" w:hAnsi="Times New Roman"/>
          <w:sz w:val="24"/>
          <w:szCs w:val="24"/>
          <w:lang w:eastAsia="ar-SA"/>
        </w:rPr>
      </w:pPr>
      <w:r>
        <w:rPr>
          <w:rFonts w:ascii="Times New Roman" w:eastAsia="Times New Roman" w:hAnsi="Times New Roman"/>
          <w:noProof/>
          <w:sz w:val="24"/>
          <w:szCs w:val="24"/>
          <w:lang w:eastAsia="ar-SA"/>
        </w:rPr>
        <w:t>2025-06-04</w:t>
      </w:r>
      <w:r w:rsidR="00B64F5C">
        <w:rPr>
          <w:rFonts w:ascii="Times New Roman" w:eastAsia="Times New Roman" w:hAnsi="Times New Roman"/>
          <w:sz w:val="24"/>
          <w:szCs w:val="24"/>
          <w:lang w:eastAsia="ar-SA"/>
        </w:rPr>
        <w:t xml:space="preserve"> </w:t>
      </w:r>
      <w:r w:rsidR="00B64F5C" w:rsidRPr="005232ED">
        <w:rPr>
          <w:rFonts w:ascii="Times New Roman" w:eastAsia="Times New Roman" w:hAnsi="Times New Roman"/>
          <w:sz w:val="24"/>
          <w:szCs w:val="24"/>
          <w:lang w:eastAsia="ar-SA"/>
        </w:rPr>
        <w:t xml:space="preserve">d. Nr. </w:t>
      </w:r>
      <w:r w:rsidR="00B64F5C" w:rsidRPr="00085085">
        <w:rPr>
          <w:rFonts w:ascii="Times New Roman" w:eastAsia="Times New Roman" w:hAnsi="Times New Roman"/>
          <w:noProof/>
          <w:sz w:val="24"/>
          <w:szCs w:val="24"/>
          <w:lang w:eastAsia="ar-SA"/>
        </w:rPr>
        <w:t>AP250621</w:t>
      </w:r>
      <w:r>
        <w:rPr>
          <w:rFonts w:ascii="Times New Roman" w:eastAsia="Times New Roman" w:hAnsi="Times New Roman"/>
          <w:noProof/>
          <w:sz w:val="24"/>
          <w:szCs w:val="24"/>
          <w:lang w:eastAsia="ar-SA"/>
        </w:rPr>
        <w:t>/SR-51</w:t>
      </w:r>
    </w:p>
    <w:p w14:paraId="6FBB0FB6" w14:textId="77777777" w:rsidR="00B64F5C" w:rsidRPr="005232ED" w:rsidRDefault="00B64F5C" w:rsidP="005232ED">
      <w:pPr>
        <w:suppressAutoHyphens/>
        <w:spacing w:after="0" w:line="360" w:lineRule="auto"/>
        <w:ind w:firstLine="284"/>
        <w:jc w:val="both"/>
        <w:rPr>
          <w:rFonts w:ascii="Times New Roman" w:eastAsia="Times New Roman" w:hAnsi="Times New Roman"/>
          <w:sz w:val="24"/>
          <w:szCs w:val="24"/>
          <w:lang w:eastAsia="ar-SA"/>
        </w:rPr>
      </w:pPr>
    </w:p>
    <w:p w14:paraId="7656A8AF" w14:textId="0EF1D4A8" w:rsidR="00B64F5C" w:rsidRDefault="00B64F5C" w:rsidP="005232ED">
      <w:pPr>
        <w:tabs>
          <w:tab w:val="left" w:pos="1260"/>
        </w:tabs>
        <w:suppressAutoHyphens/>
        <w:spacing w:after="0" w:line="240" w:lineRule="auto"/>
        <w:ind w:firstLine="720"/>
        <w:jc w:val="both"/>
        <w:rPr>
          <w:rFonts w:ascii="Times New Roman" w:eastAsia="Times New Roman" w:hAnsi="Times New Roman"/>
          <w:sz w:val="24"/>
          <w:szCs w:val="24"/>
          <w:lang w:eastAsia="ar-SA"/>
        </w:rPr>
      </w:pPr>
      <w:r w:rsidRPr="00085085">
        <w:rPr>
          <w:rFonts w:ascii="Arial" w:eastAsia="Times New Roman" w:hAnsi="Arial" w:cs="Arial"/>
          <w:noProof/>
          <w:sz w:val="20"/>
          <w:szCs w:val="20"/>
          <w:lang w:eastAsia="ar-SA"/>
        </w:rPr>
        <w:t>Vilniaus Ozo gimnazija</w:t>
      </w:r>
      <w:r>
        <w:rPr>
          <w:rFonts w:ascii="Arial" w:eastAsia="Times New Roman" w:hAnsi="Arial" w:cs="Arial"/>
          <w:sz w:val="20"/>
          <w:szCs w:val="20"/>
          <w:lang w:eastAsia="ar-SA"/>
        </w:rPr>
        <w:t>,</w:t>
      </w:r>
      <w:r w:rsidRPr="005232ED">
        <w:rPr>
          <w:rFonts w:ascii="Times New Roman" w:eastAsia="Times New Roman" w:hAnsi="Times New Roman"/>
          <w:sz w:val="24"/>
          <w:szCs w:val="24"/>
          <w:lang w:eastAsia="ar-SA"/>
        </w:rPr>
        <w:t xml:space="preserve"> įmonės kodas </w:t>
      </w:r>
      <w:r w:rsidRPr="00085085">
        <w:rPr>
          <w:rFonts w:ascii="Times New Roman" w:eastAsia="Times New Roman" w:hAnsi="Times New Roman"/>
          <w:noProof/>
          <w:sz w:val="24"/>
          <w:szCs w:val="24"/>
          <w:lang w:eastAsia="ar-SA"/>
        </w:rPr>
        <w:t>190009014</w:t>
      </w:r>
      <w:r w:rsidRPr="005232ED">
        <w:rPr>
          <w:rFonts w:ascii="Times New Roman" w:eastAsia="Times New Roman" w:hAnsi="Times New Roman"/>
          <w:sz w:val="24"/>
          <w:szCs w:val="24"/>
          <w:lang w:eastAsia="ar-SA"/>
        </w:rPr>
        <w:t xml:space="preserve">, adresas </w:t>
      </w:r>
      <w:r w:rsidRPr="00085085">
        <w:rPr>
          <w:rFonts w:ascii="Times New Roman" w:eastAsia="Times New Roman" w:hAnsi="Times New Roman"/>
          <w:noProof/>
          <w:sz w:val="24"/>
          <w:szCs w:val="24"/>
          <w:lang w:eastAsia="ar-SA"/>
        </w:rPr>
        <w:t>Ozo g. 39,  Vilnius</w:t>
      </w:r>
      <w:r w:rsidRPr="005232ED">
        <w:rPr>
          <w:rFonts w:ascii="Times New Roman" w:eastAsia="Times New Roman" w:hAnsi="Times New Roman"/>
          <w:sz w:val="24"/>
          <w:szCs w:val="24"/>
          <w:lang w:eastAsia="ar-SA"/>
        </w:rPr>
        <w:t xml:space="preserve">, atstovaujamas </w:t>
      </w:r>
      <w:r w:rsidRPr="00085085">
        <w:rPr>
          <w:rFonts w:ascii="Times New Roman" w:eastAsia="Times New Roman" w:hAnsi="Times New Roman"/>
          <w:noProof/>
          <w:sz w:val="24"/>
          <w:szCs w:val="24"/>
          <w:lang w:eastAsia="ar-SA"/>
        </w:rPr>
        <w:t xml:space="preserve">direktoriaus </w:t>
      </w:r>
      <w:r w:rsidR="001A0DF1">
        <w:rPr>
          <w:rFonts w:ascii="Times New Roman" w:eastAsia="Times New Roman" w:hAnsi="Times New Roman"/>
          <w:noProof/>
          <w:sz w:val="24"/>
          <w:szCs w:val="24"/>
          <w:lang w:eastAsia="ar-SA"/>
        </w:rPr>
        <w:t>Edgaro Gervaičio</w:t>
      </w:r>
      <w:r w:rsidRPr="005232ED">
        <w:rPr>
          <w:rFonts w:ascii="Times New Roman" w:eastAsia="Times New Roman" w:hAnsi="Times New Roman"/>
          <w:sz w:val="24"/>
          <w:szCs w:val="24"/>
          <w:lang w:eastAsia="ar-SA"/>
        </w:rPr>
        <w:t>, veikiančio</w:t>
      </w:r>
      <w:r>
        <w:rPr>
          <w:rFonts w:ascii="Times New Roman" w:eastAsia="Times New Roman" w:hAnsi="Times New Roman"/>
          <w:sz w:val="24"/>
          <w:szCs w:val="24"/>
          <w:lang w:eastAsia="ar-SA"/>
        </w:rPr>
        <w:t>(s)</w:t>
      </w:r>
      <w:r w:rsidRPr="005232ED">
        <w:rPr>
          <w:rFonts w:ascii="Times New Roman" w:eastAsia="Times New Roman" w:hAnsi="Times New Roman"/>
          <w:sz w:val="24"/>
          <w:szCs w:val="24"/>
          <w:lang w:eastAsia="ar-SA"/>
        </w:rPr>
        <w:t xml:space="preserve"> pagal </w:t>
      </w:r>
      <w:r w:rsidRPr="00085085">
        <w:rPr>
          <w:rFonts w:ascii="Times New Roman" w:eastAsia="Times New Roman" w:hAnsi="Times New Roman"/>
          <w:noProof/>
          <w:sz w:val="24"/>
          <w:szCs w:val="24"/>
          <w:lang w:eastAsia="ar-SA"/>
        </w:rPr>
        <w:t>Lietuvos Respublikos įstatymus</w:t>
      </w:r>
      <w:r>
        <w:rPr>
          <w:rFonts w:ascii="Times New Roman" w:eastAsia="Times New Roman" w:hAnsi="Times New Roman"/>
          <w:sz w:val="24"/>
          <w:szCs w:val="24"/>
          <w:lang w:eastAsia="ar-SA"/>
        </w:rPr>
        <w:t xml:space="preserve"> </w:t>
      </w:r>
      <w:r w:rsidRPr="005232ED">
        <w:rPr>
          <w:rFonts w:ascii="Times New Roman" w:eastAsia="Times New Roman" w:hAnsi="Times New Roman"/>
          <w:sz w:val="24"/>
          <w:szCs w:val="24"/>
          <w:lang w:eastAsia="ar-SA"/>
        </w:rPr>
        <w:t>(toliau vadinama – Užsakovas), ir</w:t>
      </w:r>
      <w:r w:rsidR="00B0732F">
        <w:rPr>
          <w:rFonts w:ascii="Times New Roman" w:eastAsia="Times New Roman" w:hAnsi="Times New Roman"/>
          <w:sz w:val="24"/>
          <w:szCs w:val="24"/>
          <w:lang w:eastAsia="ar-SA"/>
        </w:rPr>
        <w:t xml:space="preserve"> fizinis asmuo ......................</w:t>
      </w:r>
      <w:r w:rsidRPr="005232ED">
        <w:rPr>
          <w:rFonts w:ascii="Times New Roman" w:eastAsia="Times New Roman" w:hAnsi="Times New Roman"/>
          <w:b/>
          <w:sz w:val="24"/>
          <w:szCs w:val="24"/>
          <w:lang w:eastAsia="ar-SA"/>
        </w:rPr>
        <w:t>,</w:t>
      </w:r>
      <w:r w:rsidRPr="005232ED">
        <w:rPr>
          <w:rFonts w:ascii="Times New Roman" w:eastAsia="Times New Roman" w:hAnsi="Times New Roman"/>
          <w:sz w:val="24"/>
          <w:szCs w:val="24"/>
          <w:lang w:eastAsia="ar-SA"/>
        </w:rPr>
        <w:t xml:space="preserve"> adresas</w:t>
      </w:r>
      <w:r w:rsidR="00B0732F">
        <w:rPr>
          <w:rFonts w:ascii="Times New Roman" w:eastAsia="Times New Roman" w:hAnsi="Times New Roman"/>
          <w:sz w:val="24"/>
          <w:szCs w:val="24"/>
          <w:lang w:eastAsia="ar-SA"/>
        </w:rPr>
        <w:t>.....................</w:t>
      </w:r>
      <w:r w:rsidR="002B444F">
        <w:rPr>
          <w:rFonts w:ascii="Times New Roman" w:eastAsia="Times New Roman" w:hAnsi="Times New Roman"/>
          <w:noProof/>
          <w:kern w:val="16"/>
          <w:sz w:val="24"/>
          <w:szCs w:val="24"/>
          <w:lang w:eastAsia="ar-SA"/>
        </w:rPr>
        <w:t xml:space="preserve">, </w:t>
      </w:r>
      <w:r w:rsidRPr="005232E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veikiančio(s) pagal </w:t>
      </w:r>
      <w:r w:rsidRPr="00085085">
        <w:rPr>
          <w:rFonts w:ascii="Times New Roman" w:eastAsia="Times New Roman" w:hAnsi="Times New Roman"/>
          <w:noProof/>
          <w:sz w:val="24"/>
          <w:szCs w:val="24"/>
          <w:lang w:eastAsia="ar-SA"/>
        </w:rPr>
        <w:t>gyventojo individualios veiklos vykdymo Lietuvoje pažyma nr. 512357</w:t>
      </w:r>
      <w:r>
        <w:rPr>
          <w:rFonts w:ascii="Times New Roman" w:eastAsia="Times New Roman" w:hAnsi="Times New Roman"/>
          <w:sz w:val="24"/>
          <w:szCs w:val="24"/>
          <w:lang w:eastAsia="ar-SA"/>
        </w:rPr>
        <w:t>,</w:t>
      </w:r>
      <w:r w:rsidRPr="001259E3">
        <w:rPr>
          <w:rFonts w:ascii="Times New Roman" w:eastAsia="Times New Roman" w:hAnsi="Times New Roman"/>
          <w:sz w:val="24"/>
          <w:szCs w:val="24"/>
          <w:lang w:eastAsia="ar-SA"/>
        </w:rPr>
        <w:t xml:space="preserve"> </w:t>
      </w:r>
      <w:r w:rsidRPr="005232ED">
        <w:rPr>
          <w:rFonts w:ascii="Times New Roman" w:eastAsia="Times New Roman" w:hAnsi="Times New Roman"/>
          <w:sz w:val="24"/>
          <w:szCs w:val="24"/>
          <w:lang w:eastAsia="ar-SA"/>
        </w:rPr>
        <w:t xml:space="preserve">(toliau vadinama – Paslaugų teikėjas), toliau kartu ar atskirai vadinami Šalimis, sudarė šią sutartį (toliau vadinama – Sutartis). </w:t>
      </w:r>
    </w:p>
    <w:p w14:paraId="75922D3E" w14:textId="77777777" w:rsidR="00B64F5C" w:rsidRDefault="00B64F5C" w:rsidP="005232ED">
      <w:pPr>
        <w:tabs>
          <w:tab w:val="left" w:pos="1260"/>
        </w:tabs>
        <w:suppressAutoHyphens/>
        <w:spacing w:after="0" w:line="240" w:lineRule="auto"/>
        <w:ind w:firstLine="720"/>
        <w:jc w:val="both"/>
        <w:rPr>
          <w:rFonts w:ascii="Times New Roman" w:eastAsia="Times New Roman" w:hAnsi="Times New Roman"/>
          <w:sz w:val="24"/>
          <w:szCs w:val="24"/>
          <w:lang w:eastAsia="ar-SA"/>
        </w:rPr>
      </w:pPr>
    </w:p>
    <w:p w14:paraId="03DEA47B" w14:textId="77777777" w:rsidR="00B64F5C" w:rsidRPr="0030307F" w:rsidRDefault="00B64F5C" w:rsidP="00B14005">
      <w:pPr>
        <w:keepNext/>
        <w:suppressAutoHyphens/>
        <w:spacing w:after="0" w:line="240" w:lineRule="auto"/>
        <w:jc w:val="center"/>
        <w:outlineLvl w:val="0"/>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I, Sutarties objektas</w:t>
      </w:r>
    </w:p>
    <w:p w14:paraId="0F58A707" w14:textId="77777777" w:rsidR="00B64F5C" w:rsidRPr="0030307F" w:rsidRDefault="00B64F5C" w:rsidP="00B14005">
      <w:pPr>
        <w:numPr>
          <w:ilvl w:val="1"/>
          <w:numId w:val="11"/>
        </w:numPr>
        <w:tabs>
          <w:tab w:val="left" w:pos="1080"/>
        </w:tabs>
        <w:suppressAutoHyphens/>
        <w:spacing w:after="0" w:line="240" w:lineRule="auto"/>
        <w:jc w:val="both"/>
        <w:rPr>
          <w:rFonts w:ascii="Times New Roman" w:eastAsia="Times New Roman" w:hAnsi="Times New Roman"/>
          <w:sz w:val="24"/>
          <w:szCs w:val="24"/>
          <w:lang w:eastAsia="lt-LT"/>
        </w:rPr>
      </w:pPr>
      <w:r w:rsidRPr="0030307F">
        <w:rPr>
          <w:rFonts w:ascii="Times New Roman" w:eastAsia="Times New Roman" w:hAnsi="Times New Roman"/>
          <w:sz w:val="24"/>
          <w:szCs w:val="24"/>
          <w:lang w:eastAsia="lt-LT"/>
        </w:rPr>
        <w:t xml:space="preserve">Paslaugų teikėjas įsipareigoja </w:t>
      </w:r>
      <w:r w:rsidRPr="0030307F">
        <w:rPr>
          <w:rFonts w:ascii="Times New Roman" w:eastAsia="Times New Roman" w:hAnsi="Times New Roman"/>
          <w:sz w:val="24"/>
          <w:szCs w:val="20"/>
          <w:lang w:eastAsia="lt-LT"/>
        </w:rPr>
        <w:t>teikti</w:t>
      </w:r>
      <w:r w:rsidRPr="0030307F">
        <w:rPr>
          <w:rFonts w:ascii="Times New Roman" w:eastAsia="Times New Roman" w:hAnsi="Times New Roman"/>
          <w:sz w:val="24"/>
          <w:szCs w:val="24"/>
          <w:lang w:eastAsia="lt-LT"/>
        </w:rPr>
        <w:t xml:space="preserve"> </w:t>
      </w:r>
      <w:r w:rsidRPr="00085085">
        <w:rPr>
          <w:rFonts w:ascii="Times New Roman" w:eastAsia="Times New Roman" w:hAnsi="Times New Roman"/>
          <w:noProof/>
          <w:sz w:val="24"/>
          <w:szCs w:val="24"/>
          <w:lang w:eastAsia="lt-LT"/>
        </w:rPr>
        <w:t>kompiuterinės pedagogų tarifikacijos programos VIRA 3 T</w:t>
      </w:r>
      <w:r w:rsidRPr="0030307F">
        <w:rPr>
          <w:rFonts w:ascii="Times New Roman" w:eastAsia="Times New Roman" w:hAnsi="Times New Roman"/>
          <w:sz w:val="24"/>
          <w:szCs w:val="24"/>
          <w:lang w:eastAsia="lt-LT"/>
        </w:rPr>
        <w:t xml:space="preserve"> (toliau –</w:t>
      </w:r>
      <w:r w:rsidRPr="0030307F">
        <w:rPr>
          <w:rFonts w:ascii="Times New Roman" w:eastAsia="Times New Roman" w:hAnsi="Times New Roman"/>
          <w:sz w:val="24"/>
          <w:szCs w:val="20"/>
          <w:lang w:eastAsia="lt-LT"/>
        </w:rPr>
        <w:t xml:space="preserve"> </w:t>
      </w:r>
      <w:r w:rsidRPr="0030307F">
        <w:rPr>
          <w:rFonts w:ascii="Times New Roman" w:eastAsia="Times New Roman" w:hAnsi="Times New Roman"/>
          <w:sz w:val="24"/>
          <w:szCs w:val="24"/>
          <w:lang w:eastAsia="lt-LT"/>
        </w:rPr>
        <w:t>programinė įranga) priežiū</w:t>
      </w:r>
      <w:r w:rsidRPr="0030307F">
        <w:rPr>
          <w:rFonts w:ascii="Times New Roman" w:eastAsia="Times New Roman" w:hAnsi="Times New Roman"/>
          <w:sz w:val="24"/>
          <w:szCs w:val="20"/>
          <w:lang w:eastAsia="lt-LT"/>
        </w:rPr>
        <w:t xml:space="preserve">ros darbus, programinės įrangos klaidų </w:t>
      </w:r>
      <w:proofErr w:type="spellStart"/>
      <w:r w:rsidRPr="0030307F">
        <w:rPr>
          <w:rFonts w:ascii="Times New Roman" w:eastAsia="Times New Roman" w:hAnsi="Times New Roman"/>
          <w:sz w:val="24"/>
          <w:szCs w:val="20"/>
          <w:lang w:eastAsia="lt-LT"/>
        </w:rPr>
        <w:t>pataisymus</w:t>
      </w:r>
      <w:proofErr w:type="spellEnd"/>
      <w:r w:rsidRPr="0030307F">
        <w:rPr>
          <w:rFonts w:ascii="Times New Roman" w:eastAsia="Times New Roman" w:hAnsi="Times New Roman"/>
          <w:sz w:val="24"/>
          <w:szCs w:val="20"/>
          <w:lang w:eastAsia="lt-LT"/>
        </w:rPr>
        <w:t>, Užsakovo darbuotojų konsultavimą (toliau – Paslaugos), o</w:t>
      </w:r>
      <w:r w:rsidRPr="0030307F">
        <w:rPr>
          <w:rFonts w:ascii="Times New Roman" w:eastAsia="Times New Roman" w:hAnsi="Times New Roman"/>
          <w:sz w:val="24"/>
          <w:szCs w:val="24"/>
          <w:lang w:eastAsia="lt-LT"/>
        </w:rPr>
        <w:t xml:space="preserve"> Užsakovas įsipareigoja priimti Paslaugas ir sumokėti už jas Sutartyje nustatyta tvarka ir sąlygomis.</w:t>
      </w:r>
    </w:p>
    <w:p w14:paraId="570C6EB0" w14:textId="77777777" w:rsidR="00B64F5C" w:rsidRPr="0030307F" w:rsidRDefault="00B64F5C" w:rsidP="00B14005">
      <w:pPr>
        <w:numPr>
          <w:ilvl w:val="1"/>
          <w:numId w:val="11"/>
        </w:numPr>
        <w:tabs>
          <w:tab w:val="left" w:pos="1080"/>
        </w:tabs>
        <w:suppressAutoHyphens/>
        <w:spacing w:after="0" w:line="240" w:lineRule="auto"/>
        <w:jc w:val="both"/>
        <w:rPr>
          <w:rFonts w:ascii="Times New Roman" w:eastAsia="Times New Roman" w:hAnsi="Times New Roman"/>
          <w:sz w:val="24"/>
          <w:szCs w:val="24"/>
          <w:lang w:eastAsia="lt-LT"/>
        </w:rPr>
      </w:pPr>
      <w:r w:rsidRPr="0030307F">
        <w:rPr>
          <w:rFonts w:ascii="Times New Roman" w:eastAsia="Times New Roman" w:hAnsi="Times New Roman"/>
          <w:sz w:val="24"/>
          <w:szCs w:val="24"/>
          <w:lang w:eastAsia="lt-LT"/>
        </w:rPr>
        <w:t>Pirkimas laikomas žaliuoju pirkimu, Pirkimas laikomas žaliuoju pirkimu, nes taikomi aplinkos apsaugos kriterijai, patvirtinti Lietuvos Respublikos aplinkos ministro 2011 m. birželio 28 d. įsakymu Nr. D1-508 patvirtinto Aplinkos apsaugos kriterijų taikymo, vykdant žaliuosius pirkimus, tvarkos aprašo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 (informacinių sistemų priežiūros paslaugos)</w:t>
      </w:r>
    </w:p>
    <w:p w14:paraId="12FF4A28" w14:textId="77777777" w:rsidR="00B64F5C" w:rsidRPr="0030307F" w:rsidRDefault="00B64F5C" w:rsidP="00B14005">
      <w:pPr>
        <w:tabs>
          <w:tab w:val="left" w:pos="1080"/>
        </w:tabs>
        <w:suppressAutoHyphens/>
        <w:spacing w:after="0" w:line="240" w:lineRule="auto"/>
        <w:ind w:left="360"/>
        <w:jc w:val="both"/>
        <w:rPr>
          <w:rFonts w:ascii="Times New Roman" w:eastAsia="Times New Roman" w:hAnsi="Times New Roman"/>
          <w:sz w:val="24"/>
          <w:szCs w:val="24"/>
          <w:lang w:eastAsia="lt-LT"/>
        </w:rPr>
      </w:pPr>
    </w:p>
    <w:p w14:paraId="66CC8971" w14:textId="77777777" w:rsidR="00B64F5C" w:rsidRPr="0030307F" w:rsidRDefault="00B64F5C" w:rsidP="00B14005">
      <w:pPr>
        <w:numPr>
          <w:ilvl w:val="0"/>
          <w:numId w:val="1"/>
        </w:numPr>
        <w:tabs>
          <w:tab w:val="left" w:pos="1080"/>
        </w:tabs>
        <w:suppressAutoHyphens/>
        <w:spacing w:after="0" w:line="240" w:lineRule="auto"/>
        <w:ind w:firstLine="284"/>
        <w:jc w:val="both"/>
        <w:rPr>
          <w:rFonts w:ascii="Times New Roman" w:eastAsia="Times New Roman" w:hAnsi="Times New Roman"/>
          <w:sz w:val="24"/>
          <w:szCs w:val="24"/>
          <w:lang w:eastAsia="lt-LT"/>
        </w:rPr>
      </w:pPr>
    </w:p>
    <w:p w14:paraId="4FC194A2" w14:textId="77777777" w:rsidR="00B64F5C" w:rsidRPr="0030307F" w:rsidRDefault="00B64F5C" w:rsidP="00B14005">
      <w:pPr>
        <w:keepNext/>
        <w:tabs>
          <w:tab w:val="num" w:pos="0"/>
        </w:tabs>
        <w:suppressAutoHyphens/>
        <w:spacing w:after="0" w:line="240" w:lineRule="auto"/>
        <w:ind w:firstLine="284"/>
        <w:jc w:val="center"/>
        <w:outlineLvl w:val="0"/>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II. Sutarties Šalių įsipareigojimai</w:t>
      </w:r>
    </w:p>
    <w:p w14:paraId="506FE9DC" w14:textId="77777777" w:rsidR="00B64F5C" w:rsidRPr="0030307F" w:rsidRDefault="00B64F5C" w:rsidP="00B14005">
      <w:pPr>
        <w:suppressAutoHyphens/>
        <w:spacing w:after="0" w:line="240" w:lineRule="auto"/>
        <w:rPr>
          <w:rFonts w:ascii="Times New Roman" w:eastAsia="Times New Roman" w:hAnsi="Times New Roman"/>
          <w:bCs/>
          <w:sz w:val="24"/>
          <w:szCs w:val="24"/>
          <w:lang w:eastAsia="ar-SA"/>
        </w:rPr>
      </w:pPr>
      <w:r w:rsidRPr="0030307F">
        <w:rPr>
          <w:rFonts w:ascii="Times New Roman" w:eastAsia="Times New Roman" w:hAnsi="Times New Roman"/>
          <w:sz w:val="24"/>
          <w:szCs w:val="24"/>
          <w:lang w:eastAsia="ar-SA"/>
        </w:rPr>
        <w:t>2.1.</w:t>
      </w:r>
      <w:r w:rsidRPr="0030307F">
        <w:rPr>
          <w:rFonts w:ascii="Times New Roman" w:eastAsia="Times New Roman" w:hAnsi="Times New Roman"/>
          <w:bCs/>
          <w:sz w:val="24"/>
          <w:szCs w:val="24"/>
          <w:lang w:eastAsia="ar-SA"/>
        </w:rPr>
        <w:t xml:space="preserve"> Paslaugų teikėjas įsipareigoja:</w:t>
      </w:r>
    </w:p>
    <w:p w14:paraId="706B830C"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teikti Paslaugas Užsakovui pagal Sutartį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78F534D"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nedelsdamas raštu informuoti Užsakovą apie bet kurias aplinkybes, kurios trukdo ar gali sutrukdyti Paslaugų teikėjui užbaigti Paslaugų teikimą Sutartyje nustatytu terminu;</w:t>
      </w:r>
    </w:p>
    <w:p w14:paraId="007B9934"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nenaudoti Užsakovo ženklų ar pavadinimo jokioje reklamoje, leidiniuose ar kitur be išankstinio raštiško Užsakovo sutikimo;</w:t>
      </w:r>
    </w:p>
    <w:p w14:paraId="20B10668"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užtikrinti, kad Sutarties sudarymo momentu ir visą jos galiojimo laikotarpį Paslaugų teikėjas turėtų reikiamą kvalifikaciją ir patirtį, reikalingą norint teikti Paslaugas;</w:t>
      </w:r>
    </w:p>
    <w:p w14:paraId="424F8532"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tinkamai vykdyti kitus įsipareigojimus, numatytus Sutartyje ir galiojančiuose Lietuvos Respublikos teisės aktuose;</w:t>
      </w:r>
    </w:p>
    <w:p w14:paraId="7FB5A417"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Sutarties 1.1. punkte nurodytas paslaugas teikti darbo dienomis ir darbo laiku nuo 8.00 val. iki 17.00 val.;</w:t>
      </w:r>
    </w:p>
    <w:p w14:paraId="76651577"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Sutarties 1.1. punkte nurodytas paslaugas teikti kokybiškai ir laiku elektroninio ryšio pagalba;</w:t>
      </w:r>
    </w:p>
    <w:p w14:paraId="1EF5740A" w14:textId="77777777" w:rsidR="00B64F5C" w:rsidRPr="0030307F" w:rsidRDefault="00B64F5C" w:rsidP="00756014">
      <w:pPr>
        <w:numPr>
          <w:ilvl w:val="2"/>
          <w:numId w:val="2"/>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savo sąskaita pašalinti suteiktų paslaugų trūkumus, atsiradusius dėl Paslaugų teikėjo kaltės.</w:t>
      </w:r>
    </w:p>
    <w:p w14:paraId="49715636" w14:textId="77777777" w:rsidR="00B64F5C" w:rsidRPr="0030307F" w:rsidRDefault="00B64F5C" w:rsidP="00B14005">
      <w:pPr>
        <w:suppressAutoHyphens/>
        <w:spacing w:after="0" w:line="240" w:lineRule="auto"/>
        <w:jc w:val="both"/>
        <w:rPr>
          <w:rFonts w:ascii="Times New Roman" w:eastAsia="Times New Roman" w:hAnsi="Times New Roman"/>
          <w:bCs/>
          <w:sz w:val="24"/>
          <w:szCs w:val="24"/>
          <w:lang w:eastAsia="ar-SA"/>
        </w:rPr>
      </w:pPr>
      <w:r w:rsidRPr="0030307F">
        <w:rPr>
          <w:rFonts w:ascii="Times New Roman" w:eastAsia="Times New Roman" w:hAnsi="Times New Roman"/>
          <w:bCs/>
          <w:sz w:val="24"/>
          <w:szCs w:val="24"/>
          <w:lang w:eastAsia="ar-SA"/>
        </w:rPr>
        <w:t>2.2. Užsakovas įsipareigoja:</w:t>
      </w:r>
    </w:p>
    <w:p w14:paraId="1C052066" w14:textId="77777777" w:rsidR="00B64F5C" w:rsidRPr="0030307F" w:rsidRDefault="00B64F5C" w:rsidP="00756014">
      <w:pPr>
        <w:numPr>
          <w:ilvl w:val="2"/>
          <w:numId w:val="3"/>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suteikti </w:t>
      </w:r>
      <w:r w:rsidRPr="0030307F">
        <w:rPr>
          <w:rFonts w:ascii="Times New Roman" w:eastAsia="Times New Roman" w:hAnsi="Times New Roman"/>
          <w:bCs/>
          <w:sz w:val="24"/>
          <w:szCs w:val="24"/>
          <w:lang w:eastAsia="ar-SA"/>
        </w:rPr>
        <w:t>Paslaugų teikėjui</w:t>
      </w:r>
      <w:r w:rsidRPr="0030307F">
        <w:rPr>
          <w:rFonts w:ascii="Times New Roman" w:eastAsia="Times New Roman" w:hAnsi="Times New Roman"/>
          <w:sz w:val="24"/>
          <w:szCs w:val="24"/>
          <w:lang w:eastAsia="ar-SA"/>
        </w:rPr>
        <w:t xml:space="preserve"> reikalingą Sutartyje nurodytoms paslaugoms teikti informaciją, išskyrus valstybės paslaptį sudarančią informaciją;</w:t>
      </w:r>
    </w:p>
    <w:p w14:paraId="0BB8A72C" w14:textId="77777777" w:rsidR="00B64F5C" w:rsidRPr="0030307F" w:rsidRDefault="00B64F5C" w:rsidP="00756014">
      <w:pPr>
        <w:numPr>
          <w:ilvl w:val="2"/>
          <w:numId w:val="3"/>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atsiskaityti už pagal Sutartį suteiktas paslaugas Sutartyje nustatytomis sąlygomis ir tvarka;</w:t>
      </w:r>
    </w:p>
    <w:p w14:paraId="45F20CB7" w14:textId="77777777" w:rsidR="00B64F5C" w:rsidRPr="0030307F" w:rsidRDefault="00B64F5C" w:rsidP="00756014">
      <w:pPr>
        <w:numPr>
          <w:ilvl w:val="2"/>
          <w:numId w:val="3"/>
        </w:numPr>
        <w:tabs>
          <w:tab w:val="left" w:pos="993"/>
        </w:tabs>
        <w:suppressAutoHyphens/>
        <w:spacing w:after="0" w:line="240" w:lineRule="auto"/>
        <w:ind w:left="426"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be Paslaugų teikėjo raštiško sutikimo neparduoti ir / ar neperduoti tretiesiems asmenims bei kaip nors kitaip neplatinti programinės įrangos ar dokumentacijos, susijusios su programine įranga.</w:t>
      </w:r>
    </w:p>
    <w:p w14:paraId="71DE9820" w14:textId="77777777" w:rsidR="00B64F5C" w:rsidRPr="0030307F" w:rsidRDefault="00B64F5C" w:rsidP="00B14005">
      <w:pPr>
        <w:keepNext/>
        <w:numPr>
          <w:ilvl w:val="1"/>
          <w:numId w:val="0"/>
        </w:numPr>
        <w:tabs>
          <w:tab w:val="num" w:pos="0"/>
        </w:tabs>
        <w:suppressAutoHyphens/>
        <w:spacing w:after="0" w:line="240" w:lineRule="auto"/>
        <w:ind w:left="567"/>
        <w:jc w:val="both"/>
        <w:outlineLvl w:val="1"/>
        <w:rPr>
          <w:rFonts w:ascii="Times New Roman" w:eastAsia="Times New Roman" w:hAnsi="Times New Roman"/>
          <w:b/>
          <w:bCs/>
          <w:sz w:val="24"/>
          <w:szCs w:val="24"/>
          <w:lang w:eastAsia="ar-SA"/>
        </w:rPr>
      </w:pPr>
    </w:p>
    <w:p w14:paraId="037F070E" w14:textId="77777777" w:rsidR="00B64F5C" w:rsidRPr="0030307F" w:rsidRDefault="00B64F5C" w:rsidP="00B14005">
      <w:pPr>
        <w:keepNext/>
        <w:numPr>
          <w:ilvl w:val="1"/>
          <w:numId w:val="0"/>
        </w:numPr>
        <w:tabs>
          <w:tab w:val="num" w:pos="0"/>
        </w:tabs>
        <w:suppressAutoHyphens/>
        <w:spacing w:after="0" w:line="240" w:lineRule="auto"/>
        <w:ind w:firstLine="284"/>
        <w:jc w:val="center"/>
        <w:outlineLvl w:val="1"/>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III. Kaina ir atsiskaitymų tvarka</w:t>
      </w:r>
    </w:p>
    <w:p w14:paraId="3B3E4847" w14:textId="77777777" w:rsidR="00B64F5C" w:rsidRPr="006E4E65" w:rsidRDefault="00B64F5C" w:rsidP="00B14005">
      <w:pPr>
        <w:numPr>
          <w:ilvl w:val="1"/>
          <w:numId w:val="4"/>
        </w:numPr>
        <w:suppressAutoHyphens/>
        <w:spacing w:after="0" w:line="240" w:lineRule="auto"/>
        <w:jc w:val="both"/>
        <w:rPr>
          <w:rFonts w:ascii="Times New Roman" w:eastAsia="Times New Roman" w:hAnsi="Times New Roman"/>
          <w:sz w:val="24"/>
          <w:szCs w:val="24"/>
          <w:lang w:eastAsia="ar-SA"/>
        </w:rPr>
      </w:pPr>
      <w:r w:rsidRPr="006E4E65">
        <w:rPr>
          <w:rFonts w:ascii="Times New Roman" w:eastAsia="Times New Roman" w:hAnsi="Times New Roman"/>
          <w:sz w:val="24"/>
          <w:szCs w:val="24"/>
          <w:lang w:eastAsia="ar-SA"/>
        </w:rPr>
        <w:t xml:space="preserve">Už Sutarties 1.1. punkte paminėtas, tinkamai suteiktas, paslaugas Užsakovas moka paslaugų teikėjui </w:t>
      </w:r>
      <w:r w:rsidRPr="00085085">
        <w:rPr>
          <w:rFonts w:ascii="Times New Roman" w:eastAsia="Times New Roman" w:hAnsi="Times New Roman"/>
          <w:noProof/>
          <w:sz w:val="24"/>
          <w:szCs w:val="24"/>
          <w:lang w:eastAsia="ar-SA"/>
        </w:rPr>
        <w:t>73.00(Septyniasdešimt trys) Eur</w:t>
      </w:r>
      <w:r w:rsidRPr="006E4E65">
        <w:rPr>
          <w:rFonts w:ascii="Times New Roman" w:eastAsia="Times New Roman" w:hAnsi="Times New Roman"/>
          <w:sz w:val="24"/>
          <w:szCs w:val="24"/>
          <w:lang w:eastAsia="ar-SA"/>
        </w:rPr>
        <w:t xml:space="preserve"> </w:t>
      </w:r>
      <w:r w:rsidRPr="006E4E65">
        <w:rPr>
          <w:rFonts w:ascii="Times New Roman" w:eastAsia="Times New Roman" w:hAnsi="Times New Roman"/>
          <w:bCs/>
          <w:sz w:val="24"/>
          <w:szCs w:val="24"/>
          <w:lang w:eastAsia="ar-SA"/>
        </w:rPr>
        <w:t xml:space="preserve"> </w:t>
      </w:r>
      <w:r w:rsidRPr="006E4E65">
        <w:rPr>
          <w:rFonts w:ascii="Times New Roman" w:eastAsia="Times New Roman" w:hAnsi="Times New Roman"/>
          <w:sz w:val="24"/>
          <w:szCs w:val="24"/>
          <w:lang w:eastAsia="ar-SA"/>
        </w:rPr>
        <w:t xml:space="preserve">už kiekvieną mėnesį. Iš viso už metus </w:t>
      </w:r>
      <w:r w:rsidRPr="00085085">
        <w:rPr>
          <w:rFonts w:ascii="Times New Roman" w:eastAsia="Times New Roman" w:hAnsi="Times New Roman"/>
          <w:noProof/>
          <w:sz w:val="24"/>
          <w:szCs w:val="24"/>
          <w:lang w:eastAsia="ar-SA"/>
        </w:rPr>
        <w:t>876(Aštuoni šimtai septyniasdešimt šeši) Eur</w:t>
      </w:r>
      <w:r w:rsidRPr="006E4E65">
        <w:rPr>
          <w:rFonts w:ascii="Times New Roman" w:eastAsia="Times New Roman" w:hAnsi="Times New Roman"/>
          <w:sz w:val="24"/>
          <w:szCs w:val="24"/>
          <w:lang w:eastAsia="ar-SA"/>
        </w:rPr>
        <w:t xml:space="preserve">. </w:t>
      </w:r>
    </w:p>
    <w:p w14:paraId="5F679B5D"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lastRenderedPageBreak/>
        <w:t>3.2. Bet kuri sutarties šalis sutarties galiojimo metu turi teisę inicijuoti sutartyje numatytų įkainių perskaičiavimą (keitimą) ne anksčiau kaip po 6 (mėnesių) nuo sutarties pasirašymo dienos (</w:t>
      </w:r>
      <w:r w:rsidRPr="0030307F">
        <w:rPr>
          <w:rFonts w:ascii="Times New Roman" w:eastAsia="Times New Roman" w:hAnsi="Times New Roman"/>
          <w:i/>
          <w:iCs/>
          <w:sz w:val="24"/>
          <w:szCs w:val="24"/>
          <w:lang w:eastAsia="ar-SA"/>
        </w:rPr>
        <w:t>jeigu perskaičiavimas jau buvo atliktas – nuo paskutinio perskaičiavimo pagal šį punktą dienos</w:t>
      </w:r>
      <w:r w:rsidRPr="0030307F">
        <w:rPr>
          <w:rFonts w:ascii="Times New Roman" w:eastAsia="Times New Roman" w:hAnsi="Times New Roman"/>
          <w:sz w:val="24"/>
          <w:szCs w:val="24"/>
          <w:lang w:eastAsia="ar-SA"/>
        </w:rPr>
        <w:t>), jeigu paslaugų kainų pokytis (k), apskaičiuotas kaip nustatyta 3.5 papunktyje,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4C03B3E"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3.3. Šalys privalo susitarime nurodyti indekso reikšmę laikotarpio pradžioje ir jos nustatymo datą, indekso reikšmę laikotarpio pabaigoje ir jos nustatymo datą, kainų pokytį (k), perskaičiuotus įkainius, perskaičiuotą pradinės sutarties vertę.</w:t>
      </w:r>
    </w:p>
    <w:p w14:paraId="7DAD880B"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3.4 Perskaičiuotieji įkainiai taikomi užsakymams, pateiktiems po to, kai šalys sudaro susitarimą dėl įkainių perskaičiavimo.</w:t>
      </w:r>
    </w:p>
    <w:p w14:paraId="05491BFD"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3.5. Nauji įkainiai apskaičiuojami pagal formulę:</w:t>
      </w:r>
    </w:p>
    <w:p w14:paraId="60C3747A" w14:textId="77777777" w:rsidR="00B64F5C" w:rsidRPr="0030307F" w:rsidRDefault="002B444F" w:rsidP="00B14005">
      <w:pPr>
        <w:suppressAutoHyphens/>
        <w:spacing w:after="0" w:line="240" w:lineRule="auto"/>
        <w:jc w:val="both"/>
        <w:rPr>
          <w:rFonts w:ascii="Times New Roman" w:eastAsia="Times New Roman" w:hAnsi="Times New Roman"/>
          <w:sz w:val="24"/>
          <w:szCs w:val="24"/>
          <w:lang w:eastAsia="ar-SA"/>
        </w:rPr>
      </w:pPr>
      <m:oMath>
        <m:sSub>
          <m:sSubPr>
            <m:ctrlPr>
              <w:rPr>
                <w:rFonts w:ascii="Cambria Math" w:hAnsi="Cambria Math" w:cs="Calibri"/>
                <w:i/>
                <w:sz w:val="24"/>
                <w:szCs w:val="24"/>
              </w:rPr>
            </m:ctrlPr>
          </m:sSubPr>
          <m:e>
            <m:r>
              <w:rPr>
                <w:rFonts w:ascii="Cambria Math" w:hAnsi="Cambria Math" w:cs="Calibri"/>
                <w:sz w:val="24"/>
                <w:szCs w:val="24"/>
              </w:rPr>
              <m:t>a</m:t>
            </m:r>
          </m:e>
          <m:sub>
            <m:r>
              <w:rPr>
                <w:rFonts w:ascii="Cambria Math" w:hAnsi="Cambria Math" w:cs="Calibri"/>
                <w:sz w:val="24"/>
                <w:szCs w:val="24"/>
              </w:rPr>
              <m:t>1</m:t>
            </m:r>
          </m:sub>
        </m:sSub>
        <m:r>
          <w:rPr>
            <w:rFonts w:ascii="Cambria Math" w:hAnsi="Cambria Math" w:cs="Calibri"/>
            <w:sz w:val="24"/>
            <w:szCs w:val="24"/>
          </w:rPr>
          <m:t>=a+</m:t>
        </m:r>
        <m:d>
          <m:dPr>
            <m:ctrlPr>
              <w:rPr>
                <w:rFonts w:ascii="Cambria Math" w:hAnsi="Cambria Math" w:cs="Calibri"/>
                <w:i/>
                <w:sz w:val="24"/>
                <w:szCs w:val="24"/>
              </w:rPr>
            </m:ctrlPr>
          </m:dPr>
          <m:e>
            <m:f>
              <m:fPr>
                <m:ctrlPr>
                  <w:rPr>
                    <w:rFonts w:ascii="Cambria Math" w:hAnsi="Cambria Math" w:cs="Calibri"/>
                    <w:i/>
                    <w:sz w:val="24"/>
                    <w:szCs w:val="24"/>
                  </w:rPr>
                </m:ctrlPr>
              </m:fPr>
              <m:num>
                <m:r>
                  <w:rPr>
                    <w:rFonts w:ascii="Cambria Math" w:hAnsi="Cambria Math" w:cs="Calibri"/>
                    <w:sz w:val="24"/>
                    <w:szCs w:val="24"/>
                  </w:rPr>
                  <m:t>k</m:t>
                </m:r>
              </m:num>
              <m:den>
                <m:r>
                  <w:rPr>
                    <w:rFonts w:ascii="Cambria Math" w:hAnsi="Cambria Math" w:cs="Calibri"/>
                    <w:sz w:val="24"/>
                    <w:szCs w:val="24"/>
                  </w:rPr>
                  <m:t>100</m:t>
                </m:r>
              </m:den>
            </m:f>
            <m:r>
              <w:rPr>
                <w:rFonts w:ascii="Cambria Math" w:hAnsi="Cambria Math" w:cs="Calibri"/>
                <w:sz w:val="24"/>
                <w:szCs w:val="24"/>
              </w:rPr>
              <m:t>×a</m:t>
            </m:r>
          </m:e>
        </m:d>
      </m:oMath>
      <w:r w:rsidR="00B64F5C" w:rsidRPr="0030307F">
        <w:rPr>
          <w:rFonts w:ascii="Times New Roman" w:eastAsia="Times New Roman" w:hAnsi="Times New Roman"/>
          <w:sz w:val="24"/>
          <w:szCs w:val="24"/>
          <w:lang w:eastAsia="ar-SA"/>
        </w:rPr>
        <w:t>, kur:</w:t>
      </w:r>
    </w:p>
    <w:p w14:paraId="455855AB"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a – įkainis (</w:t>
      </w:r>
      <w:proofErr w:type="spellStart"/>
      <w:r w:rsidRPr="0030307F">
        <w:rPr>
          <w:rFonts w:ascii="Times New Roman" w:eastAsia="Times New Roman" w:hAnsi="Times New Roman"/>
          <w:sz w:val="24"/>
          <w:szCs w:val="24"/>
          <w:lang w:eastAsia="ar-SA"/>
        </w:rPr>
        <w:t>Eur</w:t>
      </w:r>
      <w:proofErr w:type="spellEnd"/>
      <w:r w:rsidRPr="0030307F">
        <w:rPr>
          <w:rFonts w:ascii="Times New Roman" w:eastAsia="Times New Roman" w:hAnsi="Times New Roman"/>
          <w:sz w:val="24"/>
          <w:szCs w:val="24"/>
          <w:lang w:eastAsia="ar-SA"/>
        </w:rPr>
        <w:t xml:space="preserve"> be PVM)) (jei jis jau buvo perskaičiuotas, tai po paskutinio perskaičiavimo);</w:t>
      </w:r>
    </w:p>
    <w:p w14:paraId="68DB69CB"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a</w:t>
      </w:r>
      <w:r w:rsidRPr="0030307F">
        <w:rPr>
          <w:rFonts w:ascii="Times New Roman" w:eastAsia="Times New Roman" w:hAnsi="Times New Roman"/>
          <w:sz w:val="24"/>
          <w:szCs w:val="24"/>
          <w:vertAlign w:val="subscript"/>
          <w:lang w:eastAsia="ar-SA"/>
        </w:rPr>
        <w:t>1</w:t>
      </w:r>
      <w:r w:rsidRPr="0030307F">
        <w:rPr>
          <w:rFonts w:ascii="Times New Roman" w:eastAsia="Times New Roman" w:hAnsi="Times New Roman"/>
          <w:sz w:val="24"/>
          <w:szCs w:val="24"/>
          <w:lang w:eastAsia="ar-SA"/>
        </w:rPr>
        <w:t xml:space="preserve"> – perskaičiuotas (pakeistas) įkainis (</w:t>
      </w:r>
      <w:proofErr w:type="spellStart"/>
      <w:r w:rsidRPr="0030307F">
        <w:rPr>
          <w:rFonts w:ascii="Times New Roman" w:eastAsia="Times New Roman" w:hAnsi="Times New Roman"/>
          <w:sz w:val="24"/>
          <w:szCs w:val="24"/>
          <w:lang w:eastAsia="ar-SA"/>
        </w:rPr>
        <w:t>Eur</w:t>
      </w:r>
      <w:proofErr w:type="spellEnd"/>
      <w:r w:rsidRPr="0030307F">
        <w:rPr>
          <w:rFonts w:ascii="Times New Roman" w:eastAsia="Times New Roman" w:hAnsi="Times New Roman"/>
          <w:sz w:val="24"/>
          <w:szCs w:val="24"/>
          <w:lang w:eastAsia="ar-SA"/>
        </w:rPr>
        <w:t xml:space="preserve"> be PVM);</w:t>
      </w:r>
    </w:p>
    <w:p w14:paraId="4476876F"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k – pagal vartotojų kainų indeksą (</w:t>
      </w:r>
      <w:r w:rsidRPr="0030307F">
        <w:rPr>
          <w:rFonts w:ascii="Times New Roman" w:eastAsia="Times New Roman" w:hAnsi="Times New Roman"/>
          <w:i/>
          <w:iCs/>
          <w:sz w:val="24"/>
          <w:szCs w:val="24"/>
          <w:lang w:eastAsia="ar-SA"/>
        </w:rPr>
        <w:t xml:space="preserve">pasirenkamas bendras „Vartojimo prekės ir paslaugos“) </w:t>
      </w:r>
      <w:r w:rsidRPr="0030307F">
        <w:rPr>
          <w:rFonts w:ascii="Times New Roman" w:eastAsia="Times New Roman" w:hAnsi="Times New Roman"/>
          <w:sz w:val="24"/>
          <w:szCs w:val="24"/>
          <w:lang w:eastAsia="ar-SA"/>
        </w:rPr>
        <w:t xml:space="preserve">apskaičiuotas Vartojimo prekių ir paslaugų kainų pokytis (padidėjimas arba sumažėjimas) (%). „k“ reikšmė skaičiuojama pagal formulę: </w:t>
      </w:r>
    </w:p>
    <w:p w14:paraId="12367C60"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 </w:t>
      </w:r>
      <m:oMath>
        <m:r>
          <w:rPr>
            <w:rFonts w:ascii="Cambria Math" w:hAnsi="Cambria Math" w:cs="Calibri"/>
            <w:sz w:val="24"/>
            <w:szCs w:val="24"/>
          </w:rPr>
          <m:t>k =</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num>
          <m:den>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m:den>
        </m:f>
        <m:r>
          <w:rPr>
            <w:rFonts w:ascii="Cambria Math" w:hAnsi="Cambria Math" w:cs="Calibri"/>
            <w:sz w:val="24"/>
            <w:szCs w:val="24"/>
          </w:rPr>
          <m:t>×100-100</m:t>
        </m:r>
      </m:oMath>
      <w:r w:rsidRPr="0030307F">
        <w:rPr>
          <w:rFonts w:ascii="Times New Roman" w:eastAsia="Times New Roman" w:hAnsi="Times New Roman"/>
          <w:sz w:val="24"/>
          <w:szCs w:val="24"/>
          <w:lang w:eastAsia="ar-SA"/>
        </w:rPr>
        <w:t>, (proc.), kur:</w:t>
      </w:r>
    </w:p>
    <w:p w14:paraId="4F4E3A8D"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proofErr w:type="spellStart"/>
      <w:r w:rsidRPr="0030307F">
        <w:rPr>
          <w:rFonts w:ascii="Times New Roman" w:eastAsia="Times New Roman" w:hAnsi="Times New Roman"/>
          <w:sz w:val="24"/>
          <w:szCs w:val="24"/>
          <w:lang w:eastAsia="ar-SA"/>
        </w:rPr>
        <w:t>Ind</w:t>
      </w:r>
      <w:r w:rsidRPr="0030307F">
        <w:rPr>
          <w:rFonts w:ascii="Times New Roman" w:eastAsia="Times New Roman" w:hAnsi="Times New Roman"/>
          <w:sz w:val="24"/>
          <w:szCs w:val="24"/>
          <w:vertAlign w:val="subscript"/>
          <w:lang w:eastAsia="ar-SA"/>
        </w:rPr>
        <w:t>naujausias</w:t>
      </w:r>
      <w:proofErr w:type="spellEnd"/>
      <w:r w:rsidRPr="0030307F">
        <w:rPr>
          <w:rFonts w:ascii="Times New Roman" w:eastAsia="Times New Roman" w:hAnsi="Times New Roman"/>
          <w:sz w:val="24"/>
          <w:szCs w:val="24"/>
          <w:lang w:eastAsia="ar-SA"/>
        </w:rPr>
        <w:t xml:space="preserve"> – kreipimosi dėl kainos perskaičiavimo išsiuntimo kitai šaliai datą naujausias paskelbtas Vartojimo prekių ir paslaugų indeksas (</w:t>
      </w:r>
      <w:r w:rsidRPr="0030307F">
        <w:rPr>
          <w:rFonts w:ascii="Times New Roman" w:eastAsia="Times New Roman" w:hAnsi="Times New Roman"/>
          <w:i/>
          <w:iCs/>
          <w:sz w:val="24"/>
          <w:szCs w:val="24"/>
          <w:lang w:eastAsia="ar-SA"/>
        </w:rPr>
        <w:t xml:space="preserve">pasirenkamas bendras „Vartojimo prekės ir paslaugos“; </w:t>
      </w:r>
    </w:p>
    <w:p w14:paraId="07291E99"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proofErr w:type="spellStart"/>
      <w:r w:rsidRPr="0030307F">
        <w:rPr>
          <w:rFonts w:ascii="Times New Roman" w:eastAsia="Times New Roman" w:hAnsi="Times New Roman"/>
          <w:sz w:val="24"/>
          <w:szCs w:val="24"/>
          <w:lang w:eastAsia="ar-SA"/>
        </w:rPr>
        <w:t>Ind</w:t>
      </w:r>
      <w:r w:rsidRPr="0030307F">
        <w:rPr>
          <w:rFonts w:ascii="Times New Roman" w:eastAsia="Times New Roman" w:hAnsi="Times New Roman"/>
          <w:sz w:val="24"/>
          <w:szCs w:val="24"/>
          <w:vertAlign w:val="subscript"/>
          <w:lang w:eastAsia="ar-SA"/>
        </w:rPr>
        <w:t>pradžia</w:t>
      </w:r>
      <w:proofErr w:type="spellEnd"/>
      <w:r w:rsidRPr="0030307F">
        <w:rPr>
          <w:rFonts w:ascii="Times New Roman" w:eastAsia="Times New Roman" w:hAnsi="Times New Roman"/>
          <w:sz w:val="24"/>
          <w:szCs w:val="24"/>
          <w:lang w:eastAsia="ar-SA"/>
        </w:rPr>
        <w:t xml:space="preserve"> – laikotarpio pradžios datos (mėnesio) Vartojimo prekių ir paslaugų indeksas (</w:t>
      </w:r>
      <w:r w:rsidRPr="0030307F">
        <w:rPr>
          <w:rFonts w:ascii="Times New Roman" w:eastAsia="Times New Roman" w:hAnsi="Times New Roman"/>
          <w:i/>
          <w:iCs/>
          <w:sz w:val="24"/>
          <w:szCs w:val="24"/>
          <w:lang w:eastAsia="ar-SA"/>
        </w:rPr>
        <w:t>pasirenkamas bendras „Vartojimo prekės ir paslaugos“</w:t>
      </w:r>
      <w:r w:rsidRPr="0030307F">
        <w:rPr>
          <w:rFonts w:ascii="Times New Roman" w:eastAsia="Times New Roman" w:hAnsi="Times New Roman"/>
          <w:iCs/>
          <w:sz w:val="24"/>
          <w:szCs w:val="24"/>
          <w:lang w:eastAsia="ar-SA"/>
        </w:rPr>
        <w:t>.</w:t>
      </w:r>
      <w:r w:rsidRPr="0030307F">
        <w:rPr>
          <w:rFonts w:ascii="Times New Roman" w:eastAsia="Times New Roman" w:hAnsi="Times New Roman"/>
          <w:i/>
          <w:iCs/>
          <w:sz w:val="24"/>
          <w:szCs w:val="24"/>
          <w:lang w:eastAsia="ar-SA"/>
        </w:rPr>
        <w:t xml:space="preserve"> </w:t>
      </w:r>
      <w:r w:rsidRPr="0030307F">
        <w:rPr>
          <w:rFonts w:ascii="Times New Roman" w:eastAsia="Times New Roman" w:hAnsi="Times New Roman"/>
          <w:sz w:val="24"/>
          <w:szCs w:val="24"/>
          <w:lang w:eastAsia="ar-SA"/>
        </w:rPr>
        <w:t xml:space="preserve">Pirmojo perskaičiavimo atveju laikotarpio pradžia (mėnuo) yra sutarties pasirašymo mėnuo. Antrojo ir vėlesnių perskaičiavimų atveju laikotarpio pradžia (mėnuo) yra paskutinio perskaičiavimo metu naudotos paskelbto atitinkamo indekso reikšmės mėnuo. </w:t>
      </w:r>
    </w:p>
    <w:p w14:paraId="4F879239"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3.6. Skaičiavimams indeksų reikšmės imamos </w:t>
      </w:r>
      <w:r w:rsidRPr="0030307F">
        <w:rPr>
          <w:rFonts w:ascii="Times New Roman" w:eastAsia="Times New Roman" w:hAnsi="Times New Roman"/>
          <w:b/>
          <w:bCs/>
          <w:sz w:val="24"/>
          <w:szCs w:val="24"/>
          <w:lang w:eastAsia="ar-SA"/>
        </w:rPr>
        <w:t>keturių</w:t>
      </w:r>
      <w:r w:rsidRPr="0030307F">
        <w:rPr>
          <w:rFonts w:ascii="Times New Roman" w:eastAsia="Times New Roman" w:hAnsi="Times New Roman"/>
          <w:sz w:val="24"/>
          <w:szCs w:val="24"/>
          <w:lang w:eastAsia="ar-SA"/>
        </w:rPr>
        <w:t xml:space="preserve"> skaitmenų po kablelio tikslumu. Apskaičiuotas pokytis (k) tolimesniems skaičiavimams naudojamas suapvalinus iki </w:t>
      </w:r>
      <w:r w:rsidRPr="0030307F">
        <w:rPr>
          <w:rFonts w:ascii="Times New Roman" w:eastAsia="Times New Roman" w:hAnsi="Times New Roman"/>
          <w:b/>
          <w:bCs/>
          <w:sz w:val="24"/>
          <w:szCs w:val="24"/>
          <w:lang w:eastAsia="ar-SA"/>
        </w:rPr>
        <w:t>vieno</w:t>
      </w:r>
      <w:r w:rsidRPr="0030307F">
        <w:rPr>
          <w:rFonts w:ascii="Times New Roman" w:eastAsia="Times New Roman" w:hAnsi="Times New Roman"/>
          <w:sz w:val="24"/>
          <w:szCs w:val="24"/>
          <w:lang w:eastAsia="ar-SA"/>
        </w:rPr>
        <w:t xml:space="preserve"> </w:t>
      </w:r>
      <w:r w:rsidRPr="0030307F">
        <w:rPr>
          <w:rFonts w:ascii="Times New Roman" w:eastAsia="Times New Roman" w:hAnsi="Times New Roman"/>
          <w:i/>
          <w:iCs/>
          <w:sz w:val="24"/>
          <w:szCs w:val="24"/>
          <w:lang w:eastAsia="ar-SA"/>
        </w:rPr>
        <w:t xml:space="preserve">(Lietuvos statistikos departamentas pokyčius skelbia apvalindamas iki vieno skaitmens po kablelio) </w:t>
      </w:r>
      <w:r w:rsidRPr="0030307F">
        <w:rPr>
          <w:rFonts w:ascii="Times New Roman" w:eastAsia="Times New Roman" w:hAnsi="Times New Roman"/>
          <w:sz w:val="24"/>
          <w:szCs w:val="24"/>
          <w:lang w:eastAsia="ar-SA"/>
        </w:rPr>
        <w:t xml:space="preserve">skaitmens po kablelio, o apskaičiuotas įkainis „a“ suapvalinamas iki </w:t>
      </w:r>
      <w:r w:rsidRPr="0030307F">
        <w:rPr>
          <w:rFonts w:ascii="Times New Roman" w:eastAsia="Times New Roman" w:hAnsi="Times New Roman"/>
          <w:b/>
          <w:bCs/>
          <w:sz w:val="24"/>
          <w:szCs w:val="24"/>
          <w:lang w:eastAsia="ar-SA"/>
        </w:rPr>
        <w:t>dviejų.</w:t>
      </w:r>
      <w:r w:rsidRPr="0030307F">
        <w:rPr>
          <w:rFonts w:ascii="Times New Roman" w:eastAsia="Times New Roman" w:hAnsi="Times New Roman"/>
          <w:sz w:val="24"/>
          <w:szCs w:val="24"/>
          <w:lang w:eastAsia="ar-SA"/>
        </w:rPr>
        <w:t xml:space="preserve"> </w:t>
      </w:r>
    </w:p>
    <w:p w14:paraId="1F0168DB" w14:textId="77777777" w:rsidR="00B64F5C" w:rsidRPr="0030307F" w:rsidRDefault="00B64F5C" w:rsidP="00B14005">
      <w:pPr>
        <w:suppressAutoHyphens/>
        <w:spacing w:after="0" w:line="240" w:lineRule="auto"/>
        <w:jc w:val="both"/>
        <w:rPr>
          <w:rFonts w:ascii="Times New Roman" w:eastAsia="Times New Roman" w:hAnsi="Times New Roman"/>
          <w:sz w:val="24"/>
          <w:szCs w:val="24"/>
          <w:lang w:val="de-DE" w:eastAsia="ar-SA"/>
        </w:rPr>
      </w:pPr>
      <w:r w:rsidRPr="0030307F">
        <w:rPr>
          <w:rFonts w:ascii="Times New Roman" w:eastAsia="Times New Roman" w:hAnsi="Times New Roman"/>
          <w:sz w:val="24"/>
          <w:szCs w:val="24"/>
          <w:lang w:eastAsia="ar-SA"/>
        </w:rPr>
        <w:t xml:space="preserve">3.7. Vėlesnis kainų arba įkainių perskaičiavimas negali apimti laikotarpio, už kurį jau buvo atliktas perskaičiavimas. </w:t>
      </w:r>
    </w:p>
    <w:p w14:paraId="14204C5D" w14:textId="77777777" w:rsidR="00B64F5C" w:rsidRPr="0030307F" w:rsidRDefault="00B64F5C" w:rsidP="00B14005">
      <w:pPr>
        <w:numPr>
          <w:ilvl w:val="1"/>
          <w:numId w:val="12"/>
        </w:numPr>
        <w:suppressAutoHyphens/>
        <w:spacing w:after="0" w:line="240" w:lineRule="auto"/>
        <w:jc w:val="both"/>
        <w:rPr>
          <w:rFonts w:ascii="Times New Roman" w:eastAsia="Times New Roman" w:hAnsi="Times New Roman"/>
          <w:bCs/>
          <w:sz w:val="24"/>
          <w:szCs w:val="24"/>
          <w:lang w:eastAsia="ar-SA"/>
        </w:rPr>
      </w:pPr>
      <w:r w:rsidRPr="0030307F">
        <w:rPr>
          <w:rFonts w:ascii="Times New Roman" w:eastAsia="Times New Roman" w:hAnsi="Times New Roman"/>
          <w:bCs/>
          <w:sz w:val="24"/>
          <w:szCs w:val="24"/>
          <w:lang w:eastAsia="ar-SA"/>
        </w:rPr>
        <w:t>Užsakovas už suteiktas paslaugas Paslaugų teikėjui sumoka per 30 (trisdešimt) dienų po sąskaitos faktūros už suteiktas Paslaugas gavimo dienos.</w:t>
      </w:r>
    </w:p>
    <w:p w14:paraId="361E451B" w14:textId="01ACEB48" w:rsidR="00B64F5C" w:rsidRPr="0030307F" w:rsidRDefault="00B64F5C" w:rsidP="009E0ED0">
      <w:pPr>
        <w:numPr>
          <w:ilvl w:val="1"/>
          <w:numId w:val="12"/>
        </w:numPr>
        <w:tabs>
          <w:tab w:val="left" w:pos="709"/>
        </w:tabs>
        <w:suppressAutoHyphens/>
        <w:spacing w:after="0" w:line="240" w:lineRule="auto"/>
        <w:ind w:left="0" w:firstLine="0"/>
        <w:jc w:val="both"/>
        <w:rPr>
          <w:rFonts w:ascii="Times New Roman" w:eastAsia="Times New Roman" w:hAnsi="Times New Roman"/>
          <w:bCs/>
          <w:sz w:val="24"/>
          <w:szCs w:val="24"/>
          <w:lang w:eastAsia="ar-SA"/>
        </w:rPr>
      </w:pPr>
      <w:r w:rsidRPr="0030307F">
        <w:rPr>
          <w:rFonts w:ascii="Times New Roman" w:hAnsi="Times New Roman"/>
          <w:bCs/>
          <w:sz w:val="24"/>
          <w:szCs w:val="24"/>
        </w:rPr>
        <w:t>Sąskaitos faktūros už suteiktas paslaugas siunčiamos per SABIS</w:t>
      </w:r>
      <w:r w:rsidRPr="0030307F">
        <w:rPr>
          <w:rFonts w:ascii="Times New Roman" w:eastAsia="Times New Roman" w:hAnsi="Times New Roman"/>
          <w:bCs/>
          <w:sz w:val="24"/>
          <w:szCs w:val="24"/>
          <w:lang w:eastAsia="ar-SA"/>
        </w:rPr>
        <w:t>.</w:t>
      </w:r>
    </w:p>
    <w:p w14:paraId="424DF4ED" w14:textId="77777777" w:rsidR="00B64F5C" w:rsidRPr="0030307F" w:rsidRDefault="00B64F5C" w:rsidP="009E0ED0">
      <w:pPr>
        <w:numPr>
          <w:ilvl w:val="1"/>
          <w:numId w:val="12"/>
        </w:numPr>
        <w:tabs>
          <w:tab w:val="left" w:pos="709"/>
        </w:tabs>
        <w:suppressAutoHyphens/>
        <w:spacing w:after="0" w:line="240" w:lineRule="auto"/>
        <w:ind w:left="0" w:firstLine="0"/>
        <w:jc w:val="both"/>
        <w:rPr>
          <w:rFonts w:ascii="Times New Roman" w:eastAsia="Times New Roman" w:hAnsi="Times New Roman"/>
          <w:bCs/>
          <w:sz w:val="24"/>
          <w:szCs w:val="24"/>
          <w:lang w:eastAsia="ar-SA"/>
        </w:rPr>
      </w:pPr>
      <w:r w:rsidRPr="0030307F">
        <w:rPr>
          <w:rFonts w:ascii="Times New Roman" w:eastAsia="Times New Roman" w:hAnsi="Times New Roman"/>
          <w:bCs/>
          <w:sz w:val="24"/>
          <w:szCs w:val="24"/>
          <w:lang w:eastAsia="ar-SA"/>
        </w:rPr>
        <w:t>Užsakovui sąskaita faktūrą Paslaugų teikėjas pateikia kiekvieno kalendorinio mėnesio pabaigoje už tą mėnesį suteiktas paslaugas.</w:t>
      </w:r>
    </w:p>
    <w:p w14:paraId="43B9F2F3" w14:textId="77777777" w:rsidR="00B64F5C" w:rsidRPr="0030307F" w:rsidRDefault="00B64F5C" w:rsidP="009E0ED0">
      <w:pPr>
        <w:numPr>
          <w:ilvl w:val="1"/>
          <w:numId w:val="12"/>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bCs/>
          <w:sz w:val="24"/>
          <w:szCs w:val="24"/>
          <w:lang w:eastAsia="ar-SA"/>
        </w:rPr>
        <w:t>Užsakovui, laiku nesumokėjus Paslaugų teikėjui už suteiktas paslaugas pagal pateiktas sąskaitas faktūras, Paslaugų teikėjas turi teisę sustabdyti paslaugų teikimą iki įsiskolinimo padengimo</w:t>
      </w:r>
      <w:r w:rsidRPr="0030307F">
        <w:rPr>
          <w:rFonts w:ascii="Times New Roman" w:eastAsia="Times New Roman" w:hAnsi="Times New Roman"/>
          <w:sz w:val="24"/>
          <w:szCs w:val="24"/>
          <w:lang w:eastAsia="ar-SA"/>
        </w:rPr>
        <w:t>.</w:t>
      </w:r>
    </w:p>
    <w:p w14:paraId="4FAA3FB9" w14:textId="77777777" w:rsidR="00B64F5C" w:rsidRPr="0030307F" w:rsidRDefault="00B64F5C" w:rsidP="009E0ED0">
      <w:pPr>
        <w:tabs>
          <w:tab w:val="left" w:pos="709"/>
        </w:tabs>
        <w:suppressAutoHyphens/>
        <w:spacing w:after="0" w:line="240" w:lineRule="auto"/>
        <w:jc w:val="both"/>
        <w:rPr>
          <w:rFonts w:ascii="Times New Roman" w:eastAsia="Times New Roman" w:hAnsi="Times New Roman"/>
          <w:sz w:val="24"/>
          <w:szCs w:val="24"/>
          <w:lang w:eastAsia="ar-SA"/>
        </w:rPr>
      </w:pPr>
    </w:p>
    <w:p w14:paraId="515B882E" w14:textId="77777777" w:rsidR="00B64F5C" w:rsidRPr="0030307F" w:rsidRDefault="00B64F5C" w:rsidP="009E0ED0">
      <w:pPr>
        <w:keepNext/>
        <w:numPr>
          <w:ilvl w:val="1"/>
          <w:numId w:val="0"/>
        </w:numPr>
        <w:tabs>
          <w:tab w:val="num" w:pos="0"/>
          <w:tab w:val="left" w:pos="709"/>
        </w:tabs>
        <w:suppressAutoHyphens/>
        <w:spacing w:after="0" w:line="240" w:lineRule="auto"/>
        <w:jc w:val="center"/>
        <w:outlineLvl w:val="1"/>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IV. Sutarties Šalių atsakomybė ir ginčų sprendimas</w:t>
      </w:r>
    </w:p>
    <w:p w14:paraId="3F841CBC" w14:textId="77777777" w:rsidR="00B64F5C" w:rsidRPr="0030307F" w:rsidRDefault="00B64F5C" w:rsidP="009E0ED0">
      <w:pPr>
        <w:numPr>
          <w:ilvl w:val="1"/>
          <w:numId w:val="5"/>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bCs/>
          <w:sz w:val="24"/>
          <w:szCs w:val="24"/>
          <w:lang w:eastAsia="ar-SA"/>
        </w:rPr>
        <w:t>Užsakovas</w:t>
      </w:r>
      <w:r w:rsidRPr="0030307F">
        <w:rPr>
          <w:rFonts w:ascii="Times New Roman" w:eastAsia="Times New Roman" w:hAnsi="Times New Roman"/>
          <w:sz w:val="24"/>
          <w:szCs w:val="24"/>
          <w:lang w:eastAsia="ar-SA"/>
        </w:rPr>
        <w:t xml:space="preserve"> atsako už tikslų Sutarties užduočių formulavimą, o </w:t>
      </w:r>
      <w:r w:rsidRPr="0030307F">
        <w:rPr>
          <w:rFonts w:ascii="Times New Roman" w:eastAsia="Times New Roman" w:hAnsi="Times New Roman"/>
          <w:bCs/>
          <w:sz w:val="24"/>
          <w:szCs w:val="24"/>
          <w:lang w:eastAsia="ar-SA"/>
        </w:rPr>
        <w:t>Paslaugų teikėjas</w:t>
      </w:r>
      <w:r w:rsidRPr="0030307F">
        <w:rPr>
          <w:rFonts w:ascii="Times New Roman" w:eastAsia="Times New Roman" w:hAnsi="Times New Roman"/>
          <w:sz w:val="24"/>
          <w:szCs w:val="24"/>
          <w:lang w:eastAsia="ar-SA"/>
        </w:rPr>
        <w:t xml:space="preserve"> atsako už jų kokybišką ir savalaikį atlikimą.</w:t>
      </w:r>
    </w:p>
    <w:p w14:paraId="4A4F31D6" w14:textId="77777777" w:rsidR="00B64F5C" w:rsidRPr="0030307F" w:rsidRDefault="00B64F5C" w:rsidP="009E0ED0">
      <w:pPr>
        <w:numPr>
          <w:ilvl w:val="1"/>
          <w:numId w:val="5"/>
        </w:numPr>
        <w:tabs>
          <w:tab w:val="left" w:pos="709"/>
        </w:tabs>
        <w:suppressAutoHyphens/>
        <w:spacing w:after="0" w:line="240" w:lineRule="auto"/>
        <w:ind w:left="0" w:firstLine="0"/>
        <w:jc w:val="both"/>
        <w:rPr>
          <w:rFonts w:ascii="Times New Roman" w:eastAsia="Times New Roman" w:hAnsi="Times New Roman"/>
          <w:bCs/>
          <w:sz w:val="24"/>
          <w:szCs w:val="24"/>
          <w:lang w:eastAsia="ar-SA"/>
        </w:rPr>
      </w:pPr>
      <w:r w:rsidRPr="0030307F">
        <w:rPr>
          <w:rFonts w:ascii="Times New Roman" w:eastAsia="Times New Roman" w:hAnsi="Times New Roman"/>
          <w:noProof/>
          <w:sz w:val="24"/>
          <w:szCs w:val="24"/>
          <w:lang w:eastAsia="ar-SA"/>
        </w:rPr>
        <w:t>Sutarties šalis, uždelsusi laiku pagal Sutartį įvykdyti savo įsipareigojimus, už kiekvieną uždelstą dieną moka 0,02 proc. dydžio delspinigius nuo neįvykdytų įsipareigojimų vertės</w:t>
      </w:r>
      <w:r w:rsidRPr="0030307F">
        <w:rPr>
          <w:rFonts w:ascii="Times New Roman" w:eastAsia="Times New Roman" w:hAnsi="Times New Roman"/>
          <w:bCs/>
          <w:sz w:val="24"/>
          <w:szCs w:val="24"/>
          <w:lang w:eastAsia="ar-SA"/>
        </w:rPr>
        <w:t>.</w:t>
      </w:r>
    </w:p>
    <w:p w14:paraId="5B37BAE7" w14:textId="77777777" w:rsidR="00B64F5C" w:rsidRPr="0030307F" w:rsidRDefault="00B64F5C" w:rsidP="009E0ED0">
      <w:pPr>
        <w:numPr>
          <w:ilvl w:val="1"/>
          <w:numId w:val="5"/>
        </w:numPr>
        <w:tabs>
          <w:tab w:val="left" w:pos="709"/>
        </w:tabs>
        <w:suppressAutoHyphens/>
        <w:spacing w:after="0" w:line="240" w:lineRule="auto"/>
        <w:ind w:left="0" w:firstLine="0"/>
        <w:jc w:val="both"/>
        <w:rPr>
          <w:rFonts w:ascii="Times New Roman" w:eastAsia="Times New Roman" w:hAnsi="Times New Roman"/>
          <w:bCs/>
          <w:sz w:val="24"/>
          <w:szCs w:val="24"/>
          <w:lang w:eastAsia="ar-SA"/>
        </w:rPr>
      </w:pPr>
      <w:r w:rsidRPr="0030307F">
        <w:rPr>
          <w:rFonts w:ascii="Times New Roman" w:eastAsia="Times New Roman" w:hAnsi="Times New Roman"/>
          <w:sz w:val="24"/>
          <w:szCs w:val="24"/>
          <w:lang w:eastAsia="ar-SA"/>
        </w:rPr>
        <w:t>Užsakovas delspinigius išskaičiuoja iš Paslaugų teikėjui už Paslaugas mokėtinų sumų ir apie tai raštu informuoja Paslaugų teikėją.</w:t>
      </w:r>
    </w:p>
    <w:p w14:paraId="040A19CC" w14:textId="77777777" w:rsidR="00B64F5C" w:rsidRPr="0030307F" w:rsidRDefault="00B64F5C" w:rsidP="009E0ED0">
      <w:pPr>
        <w:numPr>
          <w:ilvl w:val="1"/>
          <w:numId w:val="5"/>
        </w:numPr>
        <w:tabs>
          <w:tab w:val="left" w:pos="709"/>
        </w:tabs>
        <w:suppressAutoHyphens/>
        <w:spacing w:after="0" w:line="240" w:lineRule="auto"/>
        <w:ind w:left="0" w:firstLine="0"/>
        <w:jc w:val="both"/>
        <w:rPr>
          <w:rFonts w:ascii="Times New Roman" w:eastAsia="Times New Roman" w:hAnsi="Times New Roman"/>
          <w:bCs/>
          <w:sz w:val="24"/>
          <w:szCs w:val="24"/>
          <w:lang w:eastAsia="ar-SA"/>
        </w:rPr>
      </w:pPr>
      <w:r w:rsidRPr="0030307F">
        <w:rPr>
          <w:rFonts w:ascii="Times New Roman" w:eastAsia="Times New Roman" w:hAnsi="Times New Roman"/>
          <w:sz w:val="24"/>
          <w:szCs w:val="24"/>
          <w:lang w:eastAsia="ar-SA"/>
        </w:rPr>
        <w:t>Paslaugų teikėjui nevykdant arba netinkamai vykdant Sutartimi prisiimtus įsipareigojimus, taip pat tuo atveju, jei Paslaugų teikėjui iškeliama bankroto ar restruktūrizavimo byla, Užsakovas turi teisę Sutartį nutraukti įspėjęs Paslaugų teikėją Sutartyje nustatytais terminais. Nutraukus Sutartį, Paslaugų teikėjas padengia Užsakovo dėl to patirtus nuostolius.</w:t>
      </w:r>
    </w:p>
    <w:p w14:paraId="128C4D7A" w14:textId="77777777" w:rsidR="00B64F5C" w:rsidRPr="0030307F" w:rsidRDefault="00B64F5C" w:rsidP="009E0ED0">
      <w:pPr>
        <w:numPr>
          <w:ilvl w:val="1"/>
          <w:numId w:val="5"/>
        </w:numPr>
        <w:tabs>
          <w:tab w:val="left" w:pos="709"/>
        </w:tabs>
        <w:suppressAutoHyphens/>
        <w:spacing w:after="0" w:line="240" w:lineRule="auto"/>
        <w:ind w:left="0" w:firstLine="0"/>
        <w:jc w:val="both"/>
        <w:rPr>
          <w:rFonts w:ascii="Times New Roman" w:eastAsia="Times New Roman" w:hAnsi="Times New Roman"/>
          <w:bCs/>
          <w:sz w:val="24"/>
          <w:szCs w:val="24"/>
          <w:lang w:eastAsia="ar-SA"/>
        </w:rPr>
      </w:pPr>
      <w:r w:rsidRPr="0030307F">
        <w:rPr>
          <w:rFonts w:ascii="Times New Roman" w:eastAsia="Times New Roman" w:hAnsi="Times New Roman"/>
          <w:sz w:val="24"/>
          <w:szCs w:val="24"/>
          <w:lang w:eastAsia="ar-SA"/>
        </w:rPr>
        <w:lastRenderedPageBreak/>
        <w:t>Vykdytojas neatsako už Užsakovo vedamą apskaitą, jos rezultatų teisingumą ir neatlygina su tuo susijusių nuostolių.</w:t>
      </w:r>
    </w:p>
    <w:p w14:paraId="2B84F4CC" w14:textId="77777777" w:rsidR="00B64F5C" w:rsidRPr="0030307F" w:rsidRDefault="00B64F5C" w:rsidP="009E0ED0">
      <w:pPr>
        <w:numPr>
          <w:ilvl w:val="1"/>
          <w:numId w:val="5"/>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bCs/>
          <w:sz w:val="24"/>
          <w:szCs w:val="24"/>
          <w:lang w:eastAsia="ar-SA"/>
        </w:rPr>
        <w:t xml:space="preserve">Visi ginčai sprendžiami derybų būdu, o jeigu ginčo nepavyksta išspręsti derybų būdu per 20 (dvidešimt) dienų nuo nesutarimo paaiškėjimo dienos, </w:t>
      </w:r>
      <w:r w:rsidRPr="0030307F">
        <w:rPr>
          <w:rFonts w:ascii="Times New Roman" w:eastAsia="Times New Roman" w:hAnsi="Times New Roman"/>
          <w:sz w:val="24"/>
          <w:szCs w:val="24"/>
          <w:lang w:eastAsia="ar-SA"/>
        </w:rPr>
        <w:t>Lietuvos Respublikos teisme pagal Užsakovo buveinės vietą</w:t>
      </w:r>
      <w:r w:rsidRPr="0030307F">
        <w:rPr>
          <w:rFonts w:ascii="Times New Roman" w:eastAsia="Times New Roman" w:hAnsi="Times New Roman"/>
          <w:bCs/>
          <w:sz w:val="24"/>
          <w:szCs w:val="24"/>
          <w:lang w:eastAsia="ar-SA"/>
        </w:rPr>
        <w:t>.</w:t>
      </w:r>
    </w:p>
    <w:p w14:paraId="26B007C8" w14:textId="77777777" w:rsidR="00B64F5C" w:rsidRPr="0030307F" w:rsidRDefault="00B64F5C" w:rsidP="009E0ED0">
      <w:pPr>
        <w:tabs>
          <w:tab w:val="left" w:pos="709"/>
        </w:tabs>
        <w:suppressAutoHyphens/>
        <w:spacing w:after="0" w:line="240" w:lineRule="auto"/>
        <w:jc w:val="both"/>
        <w:rPr>
          <w:rFonts w:ascii="Times New Roman" w:eastAsia="Times New Roman" w:hAnsi="Times New Roman"/>
          <w:sz w:val="24"/>
          <w:szCs w:val="24"/>
          <w:lang w:eastAsia="ar-SA"/>
        </w:rPr>
      </w:pPr>
    </w:p>
    <w:p w14:paraId="4A275D0C" w14:textId="77777777" w:rsidR="00B64F5C" w:rsidRPr="0030307F" w:rsidRDefault="00B64F5C" w:rsidP="009E0ED0">
      <w:pPr>
        <w:tabs>
          <w:tab w:val="left" w:pos="709"/>
        </w:tabs>
        <w:suppressAutoHyphens/>
        <w:spacing w:after="0" w:line="240" w:lineRule="auto"/>
        <w:jc w:val="center"/>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V. Nenugalima jėga (force majeure)</w:t>
      </w:r>
    </w:p>
    <w:p w14:paraId="63296395" w14:textId="77777777" w:rsidR="00B64F5C" w:rsidRPr="0030307F" w:rsidRDefault="00B64F5C" w:rsidP="009E0ED0">
      <w:pPr>
        <w:numPr>
          <w:ilvl w:val="1"/>
          <w:numId w:val="6"/>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Šalis atleidžiama nuo atsakomybės už </w:t>
      </w:r>
      <w:hyperlink r:id="rId6" w:anchor="341z#341z" w:history="1">
        <w:r w:rsidRPr="0030307F">
          <w:rPr>
            <w:rFonts w:ascii="Times New Roman" w:eastAsia="Times New Roman" w:hAnsi="Times New Roman"/>
            <w:sz w:val="24"/>
            <w:szCs w:val="24"/>
            <w:lang w:eastAsia="ar-SA"/>
          </w:rPr>
          <w:t>Sutarties</w:t>
        </w:r>
      </w:hyperlink>
      <w:r w:rsidRPr="0030307F">
        <w:rPr>
          <w:rFonts w:ascii="Times New Roman" w:eastAsia="Times New Roman" w:hAnsi="Times New Roman"/>
          <w:sz w:val="24"/>
          <w:szCs w:val="24"/>
          <w:lang w:eastAsia="ar-SA"/>
        </w:rPr>
        <w:t xml:space="preserve"> neįvykdymą, jeigu ji įrodo, kad </w:t>
      </w:r>
      <w:hyperlink r:id="rId7" w:anchor="342z#342z" w:history="1">
        <w:r w:rsidRPr="0030307F">
          <w:rPr>
            <w:rFonts w:ascii="Times New Roman" w:eastAsia="Times New Roman" w:hAnsi="Times New Roman"/>
            <w:sz w:val="24"/>
            <w:szCs w:val="24"/>
            <w:lang w:eastAsia="ar-SA"/>
          </w:rPr>
          <w:t>Sutartis</w:t>
        </w:r>
      </w:hyperlink>
      <w:r w:rsidRPr="0030307F">
        <w:rPr>
          <w:rFonts w:ascii="Times New Roman" w:eastAsia="Times New Roman" w:hAnsi="Times New Roman"/>
          <w:sz w:val="24"/>
          <w:szCs w:val="24"/>
          <w:lang w:eastAsia="ar-SA"/>
        </w:rPr>
        <w:t xml:space="preserve"> neįvykdyta dėl aplinkybių, kurių ji negalėjo kontroliuoti bei protingai numatyti </w:t>
      </w:r>
      <w:hyperlink r:id="rId8" w:anchor="343z#343z" w:history="1">
        <w:r w:rsidRPr="0030307F">
          <w:rPr>
            <w:rFonts w:ascii="Times New Roman" w:eastAsia="Times New Roman" w:hAnsi="Times New Roman"/>
            <w:sz w:val="24"/>
            <w:szCs w:val="24"/>
            <w:lang w:eastAsia="ar-SA"/>
          </w:rPr>
          <w:t>Sutarties</w:t>
        </w:r>
      </w:hyperlink>
      <w:r w:rsidRPr="0030307F">
        <w:rPr>
          <w:rFonts w:ascii="Times New Roman" w:eastAsia="Times New Roman" w:hAnsi="Times New Roman"/>
          <w:sz w:val="24"/>
          <w:szCs w:val="24"/>
          <w:lang w:eastAsia="ar-SA"/>
        </w:rPr>
        <w:t xml:space="preserve"> sudarymo metu, ir kad negalėjo užkirsti kelio šių aplinkybių ar jų pasekmių atsiradimui (</w:t>
      </w:r>
      <w:r w:rsidRPr="0030307F">
        <w:rPr>
          <w:rFonts w:ascii="Times New Roman" w:eastAsia="Times New Roman" w:hAnsi="Times New Roman"/>
          <w:i/>
          <w:sz w:val="24"/>
          <w:szCs w:val="24"/>
          <w:lang w:eastAsia="ar-SA"/>
        </w:rPr>
        <w:t>force majeure</w:t>
      </w:r>
      <w:r w:rsidRPr="0030307F">
        <w:rPr>
          <w:rFonts w:ascii="Times New Roman" w:eastAsia="Times New Roman" w:hAnsi="Times New Roman"/>
          <w:sz w:val="24"/>
          <w:szCs w:val="24"/>
          <w:lang w:eastAsia="ar-SA"/>
        </w:rPr>
        <w:t>).</w:t>
      </w:r>
    </w:p>
    <w:p w14:paraId="45DE3D3F" w14:textId="77777777" w:rsidR="00B64F5C" w:rsidRPr="0030307F" w:rsidRDefault="00B64F5C" w:rsidP="009E0ED0">
      <w:pPr>
        <w:numPr>
          <w:ilvl w:val="1"/>
          <w:numId w:val="6"/>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Šalis, negalinti vykdyti pagal šią </w:t>
      </w:r>
      <w:hyperlink r:id="rId9" w:anchor="344z#344z" w:history="1">
        <w:r w:rsidRPr="0030307F">
          <w:rPr>
            <w:rFonts w:ascii="Times New Roman" w:eastAsia="Times New Roman" w:hAnsi="Times New Roman"/>
            <w:sz w:val="24"/>
            <w:szCs w:val="24"/>
            <w:lang w:eastAsia="ar-SA"/>
          </w:rPr>
          <w:t>Sutartį</w:t>
        </w:r>
      </w:hyperlink>
      <w:r w:rsidRPr="0030307F">
        <w:rPr>
          <w:rFonts w:ascii="Times New Roman" w:eastAsia="Times New Roman" w:hAnsi="Times New Roman"/>
          <w:sz w:val="24"/>
          <w:szCs w:val="24"/>
          <w:lang w:eastAsia="ar-SA"/>
        </w:rPr>
        <w:t xml:space="preserve"> savo įsipareigojimų dėl nenugalimos jėgos aplinkybių veikimo, privalo raštu apie tai pranešti kitai Šaliai per 10 (dešimt) dienų nuo tokių aplinkybių atsiradimo pradžios.</w:t>
      </w:r>
    </w:p>
    <w:p w14:paraId="79E065DC" w14:textId="77777777" w:rsidR="00B64F5C" w:rsidRPr="0030307F" w:rsidRDefault="00B64F5C" w:rsidP="009E0ED0">
      <w:pPr>
        <w:numPr>
          <w:ilvl w:val="1"/>
          <w:numId w:val="6"/>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Nenugalima jėga (</w:t>
      </w:r>
      <w:r w:rsidRPr="0030307F">
        <w:rPr>
          <w:rFonts w:ascii="Times New Roman" w:eastAsia="Times New Roman" w:hAnsi="Times New Roman"/>
          <w:i/>
          <w:sz w:val="24"/>
          <w:szCs w:val="24"/>
          <w:lang w:eastAsia="ar-SA"/>
        </w:rPr>
        <w:t>force majeure</w:t>
      </w:r>
      <w:r w:rsidRPr="0030307F">
        <w:rPr>
          <w:rFonts w:ascii="Times New Roman" w:eastAsia="Times New Roman" w:hAnsi="Times New Roman"/>
          <w:sz w:val="24"/>
          <w:szCs w:val="24"/>
          <w:lang w:eastAsia="ar-SA"/>
        </w:rPr>
        <w:t>) laikomos aplinkybės, nurodytos Lietuvos Respublikos civilinio kodekso 6.212 str. ir Atleidimo nuo atsakomybės esant nenugalimos jėgos (</w:t>
      </w:r>
      <w:r w:rsidRPr="0030307F">
        <w:rPr>
          <w:rFonts w:ascii="Times New Roman" w:eastAsia="Times New Roman" w:hAnsi="Times New Roman"/>
          <w:i/>
          <w:sz w:val="24"/>
          <w:szCs w:val="24"/>
          <w:lang w:eastAsia="ar-SA"/>
        </w:rPr>
        <w:t>force majeure</w:t>
      </w:r>
      <w:r w:rsidRPr="0030307F">
        <w:rPr>
          <w:rFonts w:ascii="Times New Roman" w:eastAsia="Times New Roman" w:hAnsi="Times New Roman"/>
          <w:sz w:val="24"/>
          <w:szCs w:val="24"/>
          <w:lang w:eastAsia="ar-SA"/>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0307F">
        <w:rPr>
          <w:rFonts w:ascii="Times New Roman" w:eastAsia="Times New Roman" w:hAnsi="Times New Roman"/>
          <w:i/>
          <w:sz w:val="24"/>
          <w:szCs w:val="24"/>
          <w:lang w:eastAsia="ar-SA"/>
        </w:rPr>
        <w:t>force majeure</w:t>
      </w:r>
      <w:r w:rsidRPr="0030307F">
        <w:rPr>
          <w:rFonts w:ascii="Times New Roman" w:eastAsia="Times New Roman" w:hAnsi="Times New Roman"/>
          <w:sz w:val="24"/>
          <w:szCs w:val="24"/>
          <w:lang w:eastAsia="ar-SA"/>
        </w:rPr>
        <w:t>) aplinkybes liudijančių pažymų išdavimo tvarkos patvirtinimo“.</w:t>
      </w:r>
    </w:p>
    <w:p w14:paraId="30B0B02B" w14:textId="77777777" w:rsidR="00B64F5C" w:rsidRPr="0030307F" w:rsidRDefault="00B64F5C" w:rsidP="009E0ED0">
      <w:pPr>
        <w:numPr>
          <w:ilvl w:val="1"/>
          <w:numId w:val="6"/>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Nenugalima jėga (</w:t>
      </w:r>
      <w:r w:rsidRPr="0030307F">
        <w:rPr>
          <w:rFonts w:ascii="Times New Roman" w:eastAsia="Times New Roman" w:hAnsi="Times New Roman"/>
          <w:i/>
          <w:sz w:val="24"/>
          <w:szCs w:val="24"/>
          <w:lang w:eastAsia="ar-SA"/>
        </w:rPr>
        <w:t>force majeure</w:t>
      </w:r>
      <w:r w:rsidRPr="0030307F">
        <w:rPr>
          <w:rFonts w:ascii="Times New Roman" w:eastAsia="Times New Roman" w:hAnsi="Times New Roman"/>
          <w:sz w:val="24"/>
          <w:szCs w:val="24"/>
          <w:lang w:eastAsia="ar-SA"/>
        </w:rPr>
        <w:t xml:space="preserve">) nelaikomos Šalies veiklai turėjusios įtakos aplinkybės, į kurių galimybę Šalys, sudarydamos Sutartį, atsižvelgė, </w:t>
      </w:r>
      <w:proofErr w:type="spellStart"/>
      <w:r w:rsidRPr="0030307F">
        <w:rPr>
          <w:rFonts w:ascii="Times New Roman" w:eastAsia="Times New Roman" w:hAnsi="Times New Roman"/>
          <w:sz w:val="24"/>
          <w:szCs w:val="24"/>
          <w:lang w:eastAsia="ar-SA"/>
        </w:rPr>
        <w:t>t.y</w:t>
      </w:r>
      <w:proofErr w:type="spellEnd"/>
      <w:r w:rsidRPr="0030307F">
        <w:rPr>
          <w:rFonts w:ascii="Times New Roman" w:eastAsia="Times New Roman" w:hAnsi="Times New Roman"/>
          <w:sz w:val="24"/>
          <w:szCs w:val="24"/>
          <w:lang w:eastAsia="ar-SA"/>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5633638" w14:textId="77777777" w:rsidR="00B64F5C" w:rsidRPr="0030307F" w:rsidRDefault="00B64F5C" w:rsidP="009E0ED0">
      <w:pPr>
        <w:numPr>
          <w:ilvl w:val="1"/>
          <w:numId w:val="6"/>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Jeigu yra 5.1 punkte nurodytos aplinkybės, dėl kurių reikia sustabdyti tam tikrų Paslaugų suteikimą, tai jų atlikimo laikas turi būti pratęstas, kol tų aplinkybių nebeliks, pridedant pakankamą laikotarpį Paslaugų teikimui atnaujinti.</w:t>
      </w:r>
    </w:p>
    <w:p w14:paraId="4A23B897" w14:textId="77777777" w:rsidR="00B64F5C" w:rsidRPr="0030307F" w:rsidRDefault="00B64F5C" w:rsidP="009E0ED0">
      <w:pPr>
        <w:numPr>
          <w:ilvl w:val="1"/>
          <w:numId w:val="6"/>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Nenugalimos jėgos aplinkybėms pasibaigus, toliau vykdomi </w:t>
      </w:r>
      <w:hyperlink r:id="rId10" w:anchor="346z#346z" w:history="1">
        <w:r w:rsidRPr="0030307F">
          <w:rPr>
            <w:rFonts w:ascii="Times New Roman" w:eastAsia="Times New Roman" w:hAnsi="Times New Roman"/>
            <w:sz w:val="24"/>
            <w:szCs w:val="24"/>
            <w:lang w:eastAsia="ar-SA"/>
          </w:rPr>
          <w:t>Sutartyje</w:t>
        </w:r>
      </w:hyperlink>
      <w:r w:rsidRPr="0030307F">
        <w:rPr>
          <w:rFonts w:ascii="Times New Roman" w:eastAsia="Times New Roman" w:hAnsi="Times New Roman"/>
          <w:sz w:val="24"/>
          <w:szCs w:val="24"/>
          <w:lang w:eastAsia="ar-SA"/>
        </w:rPr>
        <w:t xml:space="preserve"> numatyti Šalių įsipareigojimai, jei nesusitarta kitaip.</w:t>
      </w:r>
    </w:p>
    <w:p w14:paraId="576D662D" w14:textId="77777777" w:rsidR="00B64F5C" w:rsidRPr="0030307F" w:rsidRDefault="00B64F5C" w:rsidP="009E0ED0">
      <w:pPr>
        <w:numPr>
          <w:ilvl w:val="1"/>
          <w:numId w:val="6"/>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Jeigu nenugalimos jėgos aplinkybės ir jų padariniai tęsiasi ilgiau negu 1 (vieną) mėnesį, kiekviena Šalis turi teisę atsisakyti vykdyti savo įsipareigojimus ir nutraukti </w:t>
      </w:r>
      <w:hyperlink r:id="rId11" w:anchor="347z#347z" w:history="1">
        <w:r w:rsidRPr="0030307F">
          <w:rPr>
            <w:rFonts w:ascii="Times New Roman" w:eastAsia="Times New Roman" w:hAnsi="Times New Roman"/>
            <w:sz w:val="24"/>
            <w:szCs w:val="24"/>
            <w:lang w:eastAsia="ar-SA"/>
          </w:rPr>
          <w:t>Sutartį</w:t>
        </w:r>
      </w:hyperlink>
      <w:r w:rsidRPr="0030307F">
        <w:rPr>
          <w:rFonts w:ascii="Times New Roman" w:eastAsia="Times New Roman" w:hAnsi="Times New Roman"/>
          <w:sz w:val="24"/>
          <w:szCs w:val="24"/>
          <w:lang w:eastAsia="ar-SA"/>
        </w:rPr>
        <w:t>.</w:t>
      </w:r>
    </w:p>
    <w:p w14:paraId="1AF5A6B7" w14:textId="77777777" w:rsidR="00B64F5C" w:rsidRPr="0030307F" w:rsidRDefault="00B64F5C" w:rsidP="009E0ED0">
      <w:pPr>
        <w:tabs>
          <w:tab w:val="left" w:pos="709"/>
        </w:tabs>
        <w:suppressAutoHyphens/>
        <w:spacing w:after="0" w:line="240" w:lineRule="auto"/>
        <w:jc w:val="both"/>
        <w:rPr>
          <w:rFonts w:ascii="Times New Roman" w:eastAsia="Times New Roman" w:hAnsi="Times New Roman"/>
          <w:sz w:val="24"/>
          <w:szCs w:val="24"/>
          <w:lang w:eastAsia="ar-SA"/>
        </w:rPr>
      </w:pPr>
    </w:p>
    <w:p w14:paraId="5D097034" w14:textId="77777777" w:rsidR="00B64F5C" w:rsidRPr="0030307F" w:rsidRDefault="00B64F5C" w:rsidP="009E0ED0">
      <w:pPr>
        <w:keepNext/>
        <w:tabs>
          <w:tab w:val="num" w:pos="0"/>
          <w:tab w:val="left" w:pos="709"/>
        </w:tabs>
        <w:suppressAutoHyphens/>
        <w:spacing w:after="0" w:line="240" w:lineRule="auto"/>
        <w:jc w:val="center"/>
        <w:outlineLvl w:val="0"/>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VI. Konfidencialumas</w:t>
      </w:r>
    </w:p>
    <w:p w14:paraId="4E225DCC" w14:textId="77777777" w:rsidR="00B64F5C" w:rsidRPr="0030307F" w:rsidRDefault="00B64F5C" w:rsidP="009E0ED0">
      <w:pPr>
        <w:numPr>
          <w:ilvl w:val="1"/>
          <w:numId w:val="8"/>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Bet kokia žodžiu ar raštu iš Šalių gauta informacija apie gamybą, paslaugas, technologiją ar veiklą, kuri nėra skirta viešam naudojimui ir nėra viešai skelbta, yra laikoma konfidencialia.</w:t>
      </w:r>
    </w:p>
    <w:p w14:paraId="17752BF6" w14:textId="77777777" w:rsidR="00B64F5C" w:rsidRPr="0030307F" w:rsidRDefault="00B64F5C" w:rsidP="009E0ED0">
      <w:pPr>
        <w:numPr>
          <w:ilvl w:val="1"/>
          <w:numId w:val="8"/>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Šios Sutarties galiojimo metu bei Sutarčiai pasibaigus Šalys susitaria išlaikyti ir neatskleisti jokioms trečiosioms šalims bet kokios konfidencialia laikomos informacijos, gautos iš kitos Šalies.</w:t>
      </w:r>
    </w:p>
    <w:p w14:paraId="05242F79" w14:textId="77777777" w:rsidR="00B64F5C" w:rsidRPr="0030307F" w:rsidRDefault="00B64F5C" w:rsidP="00B14005">
      <w:pPr>
        <w:suppressAutoHyphens/>
        <w:spacing w:after="0" w:line="240" w:lineRule="auto"/>
        <w:ind w:firstLine="284"/>
        <w:jc w:val="both"/>
        <w:rPr>
          <w:rFonts w:ascii="Times New Roman" w:eastAsia="Times New Roman" w:hAnsi="Times New Roman"/>
          <w:sz w:val="24"/>
          <w:szCs w:val="24"/>
          <w:lang w:eastAsia="ar-SA"/>
        </w:rPr>
      </w:pPr>
    </w:p>
    <w:p w14:paraId="583DE3C9" w14:textId="77777777" w:rsidR="00B64F5C" w:rsidRPr="0030307F" w:rsidRDefault="00B64F5C" w:rsidP="00B14005">
      <w:pPr>
        <w:keepNext/>
        <w:numPr>
          <w:ilvl w:val="1"/>
          <w:numId w:val="0"/>
        </w:numPr>
        <w:tabs>
          <w:tab w:val="num" w:pos="0"/>
        </w:tabs>
        <w:suppressAutoHyphens/>
        <w:spacing w:after="0" w:line="240" w:lineRule="auto"/>
        <w:ind w:firstLine="284"/>
        <w:jc w:val="center"/>
        <w:outlineLvl w:val="1"/>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VII. Sutarties keitimas ir kitos sąlygos</w:t>
      </w:r>
    </w:p>
    <w:p w14:paraId="59588403"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Sutarties sąlygos Sutarties galiojimo laikotarpiu gali būti keičiamos vadovaujantis Viešųjų pirkimų įstatymo 89 straipsnio dalimi. </w:t>
      </w:r>
    </w:p>
    <w:p w14:paraId="33CD59CE" w14:textId="1FDE9054"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 xml:space="preserve">Sutartis pradeda galioti nuo </w:t>
      </w:r>
      <w:r>
        <w:rPr>
          <w:rFonts w:ascii="Times New Roman" w:eastAsia="Times New Roman" w:hAnsi="Times New Roman"/>
          <w:sz w:val="24"/>
          <w:szCs w:val="24"/>
          <w:lang w:eastAsia="ar-SA"/>
        </w:rPr>
        <w:t>2025-06-01</w:t>
      </w:r>
      <w:r w:rsidRPr="0030307F">
        <w:rPr>
          <w:rFonts w:ascii="Times New Roman" w:eastAsia="Times New Roman" w:hAnsi="Times New Roman"/>
          <w:sz w:val="24"/>
          <w:szCs w:val="24"/>
          <w:lang w:eastAsia="ar-SA"/>
        </w:rPr>
        <w:t xml:space="preserve"> ir galioja 12 (dvylika) mėnesių. Jeigu pasibaigus paminėtam laikotarpiui šalys nepraneša apie sutarties nutraukimą, sutartis laikoma pratęsta kitam tokiam pat laikotarpiui. </w:t>
      </w:r>
    </w:p>
    <w:p w14:paraId="67FB1132"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Sutartis netenka galios, kai pasibaigia jos galiojimo terminas, Sutarties Šalys susitaria nutraukti Sutartį arba kai viena Sutarties Šalis nutraukia Sutartį joje išdėstyta tvarka.</w:t>
      </w:r>
    </w:p>
    <w:p w14:paraId="25CF9171"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Paslaugų teikėjas turi teisę vienašališkai nutraukti Sutartį tik dėl svarbių priežasčių. Tokiu atveju Paslaugų teikėjas turi visiškai atlyginti Užsakovo patirtus nuostolius. Apie tokį Sutarties nutraukimą Paslaugų teikėjas raštu praneša Užsakovui prieš 30 (trisdešimt) dienų.</w:t>
      </w:r>
    </w:p>
    <w:p w14:paraId="270B7392"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Užsakovas vienašališkai Sutartį turi teisę nutraukti, jei Paslaugų teikėjas Paslaugas teikia netinkamai / ir / ar nekokybiškai ir / ar nevykdo kitų Sutartyje numatytų Paslaugų teikėjo įsipareigojimų. Tokiu atveju Užsakovas Paslaugų teikėją apie Sutarties nutraukimą privalo įspėti ne vėliau kaip prieš 30 (trisdešimt) dienų iki Sutarties nutraukimo dienos.</w:t>
      </w:r>
    </w:p>
    <w:p w14:paraId="7D5D6181"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Nei viena iš Sutarties Šalių neturi teisės perduoti trečiajai šaliai sutartinių įsipareigojimų ir teisių be raštiško kitos Sutarties Šalies sutikimo.</w:t>
      </w:r>
    </w:p>
    <w:p w14:paraId="02729E48"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lastRenderedPageBreak/>
        <w:t>Sutarties Šalių tarpusavio santykiai, neaptarti Sutartyje, reguliuojami įstatymų ir kitų teisės aktų, reglamentuojančių atlygintinų paslaugų teikimą, nustatyta tvarka.</w:t>
      </w:r>
    </w:p>
    <w:p w14:paraId="022EF2EC"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Pasikeitus Sutarties Šalių adresams, telefonų ir telefaksų numeriams, banko rekvizitams, Sutarties Šalys apie tai nedelsdamos raštu informuoja viena kitą.</w:t>
      </w:r>
    </w:p>
    <w:p w14:paraId="5E29F524" w14:textId="77777777" w:rsidR="00B64F5C" w:rsidRPr="0030307F" w:rsidRDefault="00B64F5C" w:rsidP="00756014">
      <w:pPr>
        <w:numPr>
          <w:ilvl w:val="1"/>
          <w:numId w:val="7"/>
        </w:numPr>
        <w:tabs>
          <w:tab w:val="left" w:pos="709"/>
        </w:tabs>
        <w:suppressAutoHyphens/>
        <w:spacing w:after="0" w:line="240" w:lineRule="auto"/>
        <w:ind w:left="0" w:firstLine="0"/>
        <w:jc w:val="both"/>
        <w:rPr>
          <w:rFonts w:ascii="Times New Roman" w:eastAsia="Times New Roman" w:hAnsi="Times New Roman"/>
          <w:sz w:val="24"/>
          <w:szCs w:val="24"/>
          <w:lang w:eastAsia="ar-SA"/>
        </w:rPr>
      </w:pPr>
      <w:r w:rsidRPr="0030307F">
        <w:rPr>
          <w:rFonts w:ascii="Times New Roman" w:eastAsia="Times New Roman" w:hAnsi="Times New Roman"/>
          <w:sz w:val="24"/>
          <w:szCs w:val="24"/>
          <w:lang w:eastAsia="ar-SA"/>
        </w:rPr>
        <w:t>Sutarties Šalys gauna po vieną Sutarties egzempliorių, kurie turi vienodą teisinę galią.</w:t>
      </w:r>
    </w:p>
    <w:p w14:paraId="0AAE59C4" w14:textId="77777777" w:rsidR="00B64F5C" w:rsidRPr="0030307F" w:rsidRDefault="00B64F5C" w:rsidP="00756014">
      <w:pPr>
        <w:tabs>
          <w:tab w:val="left" w:pos="709"/>
        </w:tabs>
        <w:suppressAutoHyphens/>
        <w:spacing w:after="0" w:line="240" w:lineRule="auto"/>
        <w:rPr>
          <w:rFonts w:ascii="Times New Roman" w:eastAsia="Times New Roman" w:hAnsi="Times New Roman"/>
          <w:sz w:val="24"/>
          <w:szCs w:val="24"/>
          <w:lang w:eastAsia="ar-SA"/>
        </w:rPr>
      </w:pPr>
    </w:p>
    <w:p w14:paraId="5DB6716B" w14:textId="77777777" w:rsidR="00B64F5C" w:rsidRPr="0030307F" w:rsidRDefault="00B64F5C" w:rsidP="00756014">
      <w:pPr>
        <w:keepNext/>
        <w:tabs>
          <w:tab w:val="num" w:pos="0"/>
          <w:tab w:val="left" w:pos="709"/>
        </w:tabs>
        <w:suppressAutoHyphens/>
        <w:spacing w:after="0" w:line="240" w:lineRule="auto"/>
        <w:jc w:val="center"/>
        <w:outlineLvl w:val="0"/>
        <w:rPr>
          <w:rFonts w:ascii="Times New Roman" w:eastAsia="Times New Roman" w:hAnsi="Times New Roman"/>
          <w:b/>
          <w:bCs/>
          <w:sz w:val="24"/>
          <w:szCs w:val="24"/>
          <w:lang w:eastAsia="ar-SA"/>
        </w:rPr>
      </w:pPr>
      <w:r w:rsidRPr="0030307F">
        <w:rPr>
          <w:rFonts w:ascii="Times New Roman" w:eastAsia="Times New Roman" w:hAnsi="Times New Roman"/>
          <w:b/>
          <w:bCs/>
          <w:sz w:val="24"/>
          <w:szCs w:val="24"/>
          <w:lang w:eastAsia="ar-SA"/>
        </w:rPr>
        <w:t>VIII. Sutarties šalių adresai ir rekvizitai</w:t>
      </w:r>
    </w:p>
    <w:p w14:paraId="3B29FF12" w14:textId="77777777" w:rsidR="00B64F5C" w:rsidRPr="008E7B8F" w:rsidRDefault="00B64F5C" w:rsidP="0019269F">
      <w:pPr>
        <w:pStyle w:val="Sraopastraipa"/>
        <w:keepNext/>
        <w:suppressAutoHyphens/>
        <w:spacing w:after="0" w:line="240" w:lineRule="auto"/>
        <w:ind w:left="360"/>
        <w:outlineLvl w:val="0"/>
        <w:rPr>
          <w:rFonts w:ascii="Times New Roman" w:eastAsia="Times New Roman" w:hAnsi="Times New Roman"/>
          <w:b/>
          <w:bCs/>
          <w:sz w:val="24"/>
          <w:szCs w:val="24"/>
          <w:lang w:eastAsia="ar-SA"/>
        </w:rPr>
      </w:pPr>
    </w:p>
    <w:tbl>
      <w:tblPr>
        <w:tblW w:w="9267" w:type="dxa"/>
        <w:tblInd w:w="108" w:type="dxa"/>
        <w:tblLayout w:type="fixed"/>
        <w:tblLook w:val="0000" w:firstRow="0" w:lastRow="0" w:firstColumn="0" w:lastColumn="0" w:noHBand="0" w:noVBand="0"/>
      </w:tblPr>
      <w:tblGrid>
        <w:gridCol w:w="4061"/>
        <w:gridCol w:w="334"/>
        <w:gridCol w:w="4872"/>
      </w:tblGrid>
      <w:tr w:rsidR="00B64F5C" w:rsidRPr="005232ED" w14:paraId="7D8FB300" w14:textId="77777777" w:rsidTr="00D34A0A">
        <w:trPr>
          <w:trHeight w:val="383"/>
        </w:trPr>
        <w:tc>
          <w:tcPr>
            <w:tcW w:w="4061" w:type="dxa"/>
            <w:shd w:val="clear" w:color="auto" w:fill="auto"/>
            <w:vAlign w:val="center"/>
          </w:tcPr>
          <w:p w14:paraId="552B3047" w14:textId="77777777" w:rsidR="00B64F5C" w:rsidRPr="005232ED" w:rsidRDefault="00B64F5C" w:rsidP="005232ED">
            <w:pPr>
              <w:suppressAutoHyphens/>
              <w:snapToGrid w:val="0"/>
              <w:spacing w:before="60" w:after="60" w:line="240" w:lineRule="auto"/>
              <w:jc w:val="both"/>
              <w:rPr>
                <w:rFonts w:ascii="Times New Roman" w:eastAsia="Times New Roman" w:hAnsi="Times New Roman"/>
                <w:b/>
                <w:sz w:val="24"/>
                <w:szCs w:val="24"/>
                <w:lang w:eastAsia="ar-SA"/>
              </w:rPr>
            </w:pPr>
            <w:r w:rsidRPr="005232ED">
              <w:rPr>
                <w:rFonts w:ascii="Times New Roman" w:eastAsia="Times New Roman" w:hAnsi="Times New Roman"/>
                <w:b/>
                <w:sz w:val="24"/>
                <w:szCs w:val="24"/>
                <w:lang w:eastAsia="ar-SA"/>
              </w:rPr>
              <w:t>Paslaugų teikėjas</w:t>
            </w:r>
          </w:p>
        </w:tc>
        <w:tc>
          <w:tcPr>
            <w:tcW w:w="334" w:type="dxa"/>
            <w:shd w:val="clear" w:color="auto" w:fill="auto"/>
          </w:tcPr>
          <w:p w14:paraId="74E7EC5B" w14:textId="77777777" w:rsidR="00B64F5C" w:rsidRPr="005232ED" w:rsidRDefault="00B64F5C" w:rsidP="005232ED">
            <w:pPr>
              <w:suppressAutoHyphens/>
              <w:snapToGrid w:val="0"/>
              <w:spacing w:before="60" w:after="60" w:line="240" w:lineRule="auto"/>
              <w:jc w:val="both"/>
              <w:rPr>
                <w:rFonts w:ascii="Times New Roman" w:eastAsia="Times New Roman" w:hAnsi="Times New Roman"/>
                <w:b/>
                <w:sz w:val="24"/>
                <w:szCs w:val="24"/>
                <w:lang w:eastAsia="ar-SA"/>
              </w:rPr>
            </w:pPr>
          </w:p>
        </w:tc>
        <w:tc>
          <w:tcPr>
            <w:tcW w:w="4872" w:type="dxa"/>
            <w:shd w:val="clear" w:color="auto" w:fill="auto"/>
            <w:vAlign w:val="center"/>
          </w:tcPr>
          <w:p w14:paraId="006353BA" w14:textId="77777777" w:rsidR="00B64F5C" w:rsidRPr="005232ED" w:rsidRDefault="00B64F5C" w:rsidP="005232ED">
            <w:pPr>
              <w:suppressAutoHyphens/>
              <w:snapToGrid w:val="0"/>
              <w:spacing w:before="60" w:after="60" w:line="240" w:lineRule="auto"/>
              <w:jc w:val="both"/>
              <w:rPr>
                <w:rFonts w:ascii="Times New Roman" w:eastAsia="Times New Roman" w:hAnsi="Times New Roman"/>
                <w:b/>
                <w:sz w:val="24"/>
                <w:szCs w:val="24"/>
                <w:lang w:eastAsia="ar-SA"/>
              </w:rPr>
            </w:pPr>
            <w:r w:rsidRPr="005232ED">
              <w:rPr>
                <w:rFonts w:ascii="Times New Roman" w:eastAsia="Times New Roman" w:hAnsi="Times New Roman"/>
                <w:b/>
                <w:sz w:val="24"/>
                <w:szCs w:val="24"/>
                <w:lang w:eastAsia="ar-SA"/>
              </w:rPr>
              <w:t>Užsakovas</w:t>
            </w:r>
          </w:p>
        </w:tc>
      </w:tr>
      <w:tr w:rsidR="00B64F5C" w:rsidRPr="005232ED" w14:paraId="23C65CD2" w14:textId="77777777" w:rsidTr="00D34A0A">
        <w:trPr>
          <w:trHeight w:val="541"/>
        </w:trPr>
        <w:tc>
          <w:tcPr>
            <w:tcW w:w="4061" w:type="dxa"/>
            <w:tcBorders>
              <w:bottom w:val="single" w:sz="4" w:space="0" w:color="000000"/>
            </w:tcBorders>
            <w:shd w:val="clear" w:color="auto" w:fill="auto"/>
          </w:tcPr>
          <w:p w14:paraId="0CD2FC31" w14:textId="204F7B95" w:rsidR="00B64F5C" w:rsidRPr="005232ED" w:rsidRDefault="002B444F" w:rsidP="005232ED">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Fizinis asmuo.............</w:t>
            </w:r>
          </w:p>
        </w:tc>
        <w:tc>
          <w:tcPr>
            <w:tcW w:w="334" w:type="dxa"/>
            <w:tcBorders>
              <w:bottom w:val="single" w:sz="4" w:space="0" w:color="000000"/>
            </w:tcBorders>
            <w:shd w:val="clear" w:color="auto" w:fill="auto"/>
          </w:tcPr>
          <w:p w14:paraId="1521A8F6" w14:textId="77777777" w:rsidR="00B64F5C" w:rsidRPr="005232ED" w:rsidRDefault="00B64F5C" w:rsidP="005232ED">
            <w:pPr>
              <w:suppressAutoHyphens/>
              <w:snapToGrid w:val="0"/>
              <w:spacing w:before="60" w:after="60" w:line="240" w:lineRule="auto"/>
              <w:jc w:val="both"/>
              <w:rPr>
                <w:rFonts w:ascii="Times New Roman" w:eastAsia="Times New Roman" w:hAnsi="Times New Roman"/>
                <w:sz w:val="24"/>
                <w:szCs w:val="24"/>
                <w:lang w:eastAsia="ar-SA"/>
              </w:rPr>
            </w:pPr>
          </w:p>
        </w:tc>
        <w:tc>
          <w:tcPr>
            <w:tcW w:w="4872" w:type="dxa"/>
            <w:tcBorders>
              <w:bottom w:val="single" w:sz="4" w:space="0" w:color="000000"/>
            </w:tcBorders>
            <w:shd w:val="clear" w:color="auto" w:fill="auto"/>
          </w:tcPr>
          <w:p w14:paraId="475BB1F2" w14:textId="77777777" w:rsidR="00B64F5C" w:rsidRPr="005232ED" w:rsidRDefault="00B64F5C" w:rsidP="007F3943">
            <w:pPr>
              <w:suppressAutoHyphens/>
              <w:snapToGrid w:val="0"/>
              <w:spacing w:before="60" w:after="60" w:line="240" w:lineRule="auto"/>
              <w:rPr>
                <w:rFonts w:ascii="Times New Roman" w:eastAsia="Times New Roman" w:hAnsi="Times New Roman"/>
                <w:sz w:val="24"/>
                <w:szCs w:val="24"/>
                <w:lang w:eastAsia="ar-SA"/>
              </w:rPr>
            </w:pPr>
            <w:r w:rsidRPr="00085085">
              <w:rPr>
                <w:rFonts w:ascii="Arial" w:eastAsia="Times New Roman" w:hAnsi="Arial" w:cs="Arial"/>
                <w:noProof/>
                <w:sz w:val="20"/>
                <w:szCs w:val="20"/>
                <w:lang w:eastAsia="ar-SA"/>
              </w:rPr>
              <w:t>Vilniaus Ozo gimnazija</w:t>
            </w:r>
          </w:p>
        </w:tc>
      </w:tr>
      <w:tr w:rsidR="00B64F5C" w:rsidRPr="005232ED" w14:paraId="2A08A2A2" w14:textId="77777777" w:rsidTr="00D34A0A">
        <w:trPr>
          <w:trHeight w:val="328"/>
        </w:trPr>
        <w:tc>
          <w:tcPr>
            <w:tcW w:w="4061" w:type="dxa"/>
            <w:tcBorders>
              <w:top w:val="single" w:sz="4" w:space="0" w:color="000000"/>
              <w:bottom w:val="single" w:sz="4" w:space="0" w:color="000000"/>
            </w:tcBorders>
            <w:shd w:val="clear" w:color="auto" w:fill="auto"/>
          </w:tcPr>
          <w:p w14:paraId="0BE397D8" w14:textId="2444CEBC" w:rsidR="00B64F5C" w:rsidRPr="005232ED" w:rsidRDefault="00B64F5C" w:rsidP="005232ED">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ar-SA"/>
              </w:rPr>
            </w:pPr>
          </w:p>
        </w:tc>
        <w:tc>
          <w:tcPr>
            <w:tcW w:w="334" w:type="dxa"/>
            <w:tcBorders>
              <w:top w:val="single" w:sz="4" w:space="0" w:color="000000"/>
              <w:bottom w:val="single" w:sz="4" w:space="0" w:color="000000"/>
            </w:tcBorders>
            <w:shd w:val="clear" w:color="auto" w:fill="auto"/>
          </w:tcPr>
          <w:p w14:paraId="3544EBBF" w14:textId="77777777" w:rsidR="00B64F5C" w:rsidRPr="005232ED" w:rsidRDefault="00B64F5C" w:rsidP="005232ED">
            <w:pPr>
              <w:suppressAutoHyphens/>
              <w:snapToGrid w:val="0"/>
              <w:spacing w:after="0" w:line="240" w:lineRule="auto"/>
              <w:jc w:val="both"/>
              <w:rPr>
                <w:rFonts w:ascii="Times New Roman" w:eastAsia="Times New Roman" w:hAnsi="Times New Roman"/>
                <w:sz w:val="24"/>
                <w:szCs w:val="24"/>
                <w:lang w:eastAsia="ar-SA"/>
              </w:rPr>
            </w:pPr>
          </w:p>
        </w:tc>
        <w:tc>
          <w:tcPr>
            <w:tcW w:w="4872" w:type="dxa"/>
            <w:tcBorders>
              <w:top w:val="single" w:sz="4" w:space="0" w:color="000000"/>
              <w:bottom w:val="single" w:sz="4" w:space="0" w:color="000000"/>
            </w:tcBorders>
            <w:shd w:val="clear" w:color="auto" w:fill="auto"/>
            <w:vAlign w:val="center"/>
          </w:tcPr>
          <w:p w14:paraId="3014D3A8" w14:textId="77777777" w:rsidR="00B64F5C" w:rsidRPr="005232ED" w:rsidRDefault="00B64F5C" w:rsidP="005232ED">
            <w:pPr>
              <w:suppressAutoHyphens/>
              <w:snapToGrid w:val="0"/>
              <w:spacing w:after="0" w:line="240" w:lineRule="auto"/>
              <w:jc w:val="both"/>
              <w:rPr>
                <w:rFonts w:ascii="Times New Roman" w:eastAsia="Times New Roman" w:hAnsi="Times New Roman"/>
                <w:sz w:val="24"/>
                <w:szCs w:val="24"/>
                <w:lang w:eastAsia="ar-SA"/>
              </w:rPr>
            </w:pPr>
            <w:r w:rsidRPr="00085085">
              <w:rPr>
                <w:rFonts w:ascii="Times New Roman" w:eastAsia="Times New Roman" w:hAnsi="Times New Roman"/>
                <w:noProof/>
                <w:sz w:val="24"/>
                <w:szCs w:val="24"/>
                <w:lang w:eastAsia="ar-SA"/>
              </w:rPr>
              <w:t>Ozo g. 39,  Vilnius</w:t>
            </w:r>
          </w:p>
        </w:tc>
      </w:tr>
      <w:tr w:rsidR="00B64F5C" w:rsidRPr="005232ED" w14:paraId="2080C969" w14:textId="77777777" w:rsidTr="00D34A0A">
        <w:trPr>
          <w:trHeight w:val="294"/>
        </w:trPr>
        <w:tc>
          <w:tcPr>
            <w:tcW w:w="4061" w:type="dxa"/>
            <w:tcBorders>
              <w:top w:val="single" w:sz="4" w:space="0" w:color="000000"/>
              <w:bottom w:val="single" w:sz="4" w:space="0" w:color="000000"/>
            </w:tcBorders>
            <w:shd w:val="clear" w:color="auto" w:fill="auto"/>
          </w:tcPr>
          <w:p w14:paraId="2853E916" w14:textId="77777777" w:rsidR="00B64F5C" w:rsidRPr="005232ED" w:rsidRDefault="00B64F5C" w:rsidP="009D379E">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085085">
              <w:rPr>
                <w:rFonts w:ascii="Times New Roman" w:eastAsia="Times New Roman" w:hAnsi="Times New Roman"/>
                <w:noProof/>
                <w:sz w:val="24"/>
                <w:szCs w:val="24"/>
                <w:lang w:eastAsia="ar-SA"/>
              </w:rPr>
              <w:t>Gyventojo individualios veiklos vykdymo Lietuvoje pažyma nr. 512357</w:t>
            </w:r>
          </w:p>
        </w:tc>
        <w:tc>
          <w:tcPr>
            <w:tcW w:w="334" w:type="dxa"/>
            <w:tcBorders>
              <w:top w:val="single" w:sz="4" w:space="0" w:color="000000"/>
              <w:bottom w:val="single" w:sz="4" w:space="0" w:color="000000"/>
            </w:tcBorders>
            <w:shd w:val="clear" w:color="auto" w:fill="auto"/>
          </w:tcPr>
          <w:p w14:paraId="3621A85D" w14:textId="77777777"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p>
        </w:tc>
        <w:tc>
          <w:tcPr>
            <w:tcW w:w="4872" w:type="dxa"/>
            <w:tcBorders>
              <w:top w:val="single" w:sz="4" w:space="0" w:color="000000"/>
              <w:bottom w:val="single" w:sz="4" w:space="0" w:color="000000"/>
            </w:tcBorders>
            <w:shd w:val="clear" w:color="auto" w:fill="auto"/>
            <w:vAlign w:val="center"/>
          </w:tcPr>
          <w:p w14:paraId="4444DA8A" w14:textId="77777777" w:rsidR="00B64F5C" w:rsidRPr="005232ED" w:rsidRDefault="00B64F5C" w:rsidP="00AD4667">
            <w:pPr>
              <w:suppressAutoHyphens/>
              <w:snapToGrid w:val="0"/>
              <w:spacing w:after="0" w:line="240" w:lineRule="auto"/>
              <w:rPr>
                <w:rFonts w:ascii="Times New Roman" w:eastAsia="Times New Roman" w:hAnsi="Times New Roman"/>
                <w:sz w:val="24"/>
                <w:szCs w:val="24"/>
                <w:lang w:eastAsia="ar-SA"/>
              </w:rPr>
            </w:pPr>
            <w:r w:rsidRPr="005232ED">
              <w:rPr>
                <w:rFonts w:ascii="Times New Roman" w:eastAsia="Times New Roman" w:hAnsi="Times New Roman"/>
                <w:sz w:val="24"/>
                <w:szCs w:val="24"/>
                <w:lang w:eastAsia="ar-SA"/>
              </w:rPr>
              <w:t xml:space="preserve">Įmonės kodas </w:t>
            </w:r>
            <w:r w:rsidRPr="00085085">
              <w:rPr>
                <w:rFonts w:ascii="Times New Roman" w:eastAsia="Times New Roman" w:hAnsi="Times New Roman"/>
                <w:noProof/>
                <w:sz w:val="24"/>
                <w:szCs w:val="24"/>
                <w:lang w:eastAsia="ar-SA"/>
              </w:rPr>
              <w:t>190009014</w:t>
            </w:r>
          </w:p>
        </w:tc>
      </w:tr>
      <w:tr w:rsidR="00B64F5C" w:rsidRPr="005232ED" w14:paraId="5D4C9FFF" w14:textId="77777777" w:rsidTr="00D34A0A">
        <w:trPr>
          <w:trHeight w:val="359"/>
        </w:trPr>
        <w:tc>
          <w:tcPr>
            <w:tcW w:w="4061" w:type="dxa"/>
            <w:tcBorders>
              <w:top w:val="single" w:sz="4" w:space="0" w:color="000000"/>
              <w:bottom w:val="single" w:sz="4" w:space="0" w:color="000000"/>
            </w:tcBorders>
            <w:shd w:val="clear" w:color="auto" w:fill="auto"/>
          </w:tcPr>
          <w:p w14:paraId="07BB7C7E" w14:textId="77777777" w:rsidR="00B64F5C" w:rsidRPr="005232ED" w:rsidRDefault="00B64F5C" w:rsidP="008318E0">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PVM mokėtojo kodas: Ne PVM mokėtojas</w:t>
            </w:r>
          </w:p>
        </w:tc>
        <w:tc>
          <w:tcPr>
            <w:tcW w:w="334" w:type="dxa"/>
            <w:tcBorders>
              <w:top w:val="single" w:sz="4" w:space="0" w:color="000000"/>
              <w:bottom w:val="single" w:sz="4" w:space="0" w:color="000000"/>
            </w:tcBorders>
            <w:shd w:val="clear" w:color="auto" w:fill="auto"/>
          </w:tcPr>
          <w:p w14:paraId="3EA39BDB" w14:textId="77777777"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p>
        </w:tc>
        <w:tc>
          <w:tcPr>
            <w:tcW w:w="4872" w:type="dxa"/>
            <w:tcBorders>
              <w:top w:val="single" w:sz="4" w:space="0" w:color="000000"/>
              <w:bottom w:val="single" w:sz="4" w:space="0" w:color="000000"/>
            </w:tcBorders>
            <w:shd w:val="clear" w:color="auto" w:fill="auto"/>
            <w:vAlign w:val="center"/>
          </w:tcPr>
          <w:p w14:paraId="259EEF3C" w14:textId="181AF579"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PVM mokėtojo kodas:</w:t>
            </w:r>
            <w:r w:rsidR="003E0B8F">
              <w:rPr>
                <w:rFonts w:ascii="Times New Roman" w:eastAsia="Times New Roman" w:hAnsi="Times New Roman"/>
                <w:sz w:val="24"/>
                <w:szCs w:val="24"/>
                <w:lang w:eastAsia="ar-SA"/>
              </w:rPr>
              <w:t xml:space="preserve"> </w:t>
            </w:r>
            <w:r w:rsidRPr="00085085">
              <w:rPr>
                <w:rFonts w:ascii="Times New Roman" w:eastAsia="Times New Roman" w:hAnsi="Times New Roman"/>
                <w:noProof/>
                <w:sz w:val="24"/>
                <w:szCs w:val="24"/>
                <w:lang w:eastAsia="ar-SA"/>
              </w:rPr>
              <w:t>Ne PVM mokėtojas</w:t>
            </w:r>
          </w:p>
        </w:tc>
      </w:tr>
      <w:tr w:rsidR="00B64F5C" w:rsidRPr="005232ED" w14:paraId="15D02215" w14:textId="77777777" w:rsidTr="00D34A0A">
        <w:trPr>
          <w:trHeight w:val="1016"/>
        </w:trPr>
        <w:tc>
          <w:tcPr>
            <w:tcW w:w="4061" w:type="dxa"/>
            <w:tcBorders>
              <w:top w:val="single" w:sz="4" w:space="0" w:color="000000"/>
              <w:bottom w:val="single" w:sz="4" w:space="0" w:color="000000"/>
            </w:tcBorders>
            <w:shd w:val="clear" w:color="auto" w:fill="auto"/>
          </w:tcPr>
          <w:p w14:paraId="5FA2D340" w14:textId="5CF12FAE" w:rsidR="00B64F5C" w:rsidRDefault="002B444F" w:rsidP="008318E0">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Tel....................</w:t>
            </w:r>
          </w:p>
          <w:p w14:paraId="02006BFF" w14:textId="6CECAEC7" w:rsidR="00B64F5C" w:rsidRPr="005232ED" w:rsidRDefault="00B64F5C" w:rsidP="002B444F">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5232ED">
              <w:rPr>
                <w:rFonts w:ascii="Times New Roman" w:eastAsia="Times New Roman" w:hAnsi="Times New Roman"/>
                <w:sz w:val="24"/>
                <w:szCs w:val="24"/>
                <w:lang w:eastAsia="ar-SA"/>
              </w:rPr>
              <w:t xml:space="preserve">El. Paštas: </w:t>
            </w:r>
            <w:r w:rsidR="002B444F">
              <w:rPr>
                <w:rFonts w:ascii="Times New Roman" w:eastAsia="Times New Roman" w:hAnsi="Times New Roman"/>
                <w:sz w:val="24"/>
                <w:szCs w:val="24"/>
                <w:lang w:eastAsia="ar-SA"/>
              </w:rPr>
              <w:t>............................</w:t>
            </w:r>
            <w:bookmarkStart w:id="0" w:name="_GoBack"/>
            <w:bookmarkEnd w:id="0"/>
          </w:p>
        </w:tc>
        <w:tc>
          <w:tcPr>
            <w:tcW w:w="334" w:type="dxa"/>
            <w:tcBorders>
              <w:top w:val="single" w:sz="4" w:space="0" w:color="000000"/>
              <w:bottom w:val="single" w:sz="4" w:space="0" w:color="000000"/>
            </w:tcBorders>
            <w:shd w:val="clear" w:color="auto" w:fill="auto"/>
          </w:tcPr>
          <w:p w14:paraId="653BBC5F" w14:textId="77777777"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p>
        </w:tc>
        <w:tc>
          <w:tcPr>
            <w:tcW w:w="4872" w:type="dxa"/>
            <w:tcBorders>
              <w:top w:val="single" w:sz="4" w:space="0" w:color="000000"/>
              <w:bottom w:val="single" w:sz="4" w:space="0" w:color="000000"/>
            </w:tcBorders>
            <w:shd w:val="clear" w:color="auto" w:fill="auto"/>
          </w:tcPr>
          <w:p w14:paraId="3FB68532" w14:textId="7BE4EBA4" w:rsidR="00B64F5C" w:rsidRPr="005232ED" w:rsidRDefault="00B64F5C" w:rsidP="00CC149F">
            <w:pPr>
              <w:spacing w:after="0" w:line="240" w:lineRule="auto"/>
              <w:rPr>
                <w:rFonts w:ascii="Times New Roman" w:eastAsia="Times New Roman" w:hAnsi="Times New Roman"/>
                <w:sz w:val="24"/>
                <w:szCs w:val="24"/>
                <w:lang w:eastAsia="ar-SA"/>
              </w:rPr>
            </w:pPr>
            <w:r w:rsidRPr="005232ED">
              <w:rPr>
                <w:rFonts w:ascii="Times New Roman" w:eastAsia="Times New Roman" w:hAnsi="Times New Roman"/>
                <w:sz w:val="24"/>
                <w:szCs w:val="24"/>
                <w:lang w:eastAsia="ar-SA"/>
              </w:rPr>
              <w:t xml:space="preserve">Telefonas: </w:t>
            </w:r>
            <w:r w:rsidR="00CC149F" w:rsidRPr="00CC149F">
              <w:rPr>
                <w:rFonts w:ascii="Times New Roman" w:eastAsia="Times New Roman" w:hAnsi="Times New Roman"/>
                <w:sz w:val="24"/>
                <w:szCs w:val="24"/>
                <w:lang w:eastAsia="ar-SA"/>
              </w:rPr>
              <w:t>+370 620 64752</w:t>
            </w:r>
          </w:p>
          <w:p w14:paraId="772306FD" w14:textId="018A712A"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r w:rsidRPr="005232ED">
              <w:rPr>
                <w:rFonts w:ascii="Times New Roman" w:eastAsia="Times New Roman" w:hAnsi="Times New Roman"/>
                <w:sz w:val="24"/>
                <w:szCs w:val="24"/>
                <w:lang w:eastAsia="ar-SA"/>
              </w:rPr>
              <w:t xml:space="preserve">El. p. </w:t>
            </w:r>
            <w:r w:rsidR="00CC149F" w:rsidRPr="00CC149F">
              <w:rPr>
                <w:rFonts w:ascii="Times New Roman" w:eastAsia="Times New Roman" w:hAnsi="Times New Roman"/>
                <w:sz w:val="24"/>
                <w:szCs w:val="24"/>
                <w:lang w:eastAsia="ar-SA"/>
              </w:rPr>
              <w:t>rastine@ozo.vilnius.lm.lt</w:t>
            </w:r>
          </w:p>
        </w:tc>
      </w:tr>
      <w:tr w:rsidR="00B64F5C" w:rsidRPr="005232ED" w14:paraId="5F0826F4" w14:textId="77777777" w:rsidTr="00D34A0A">
        <w:trPr>
          <w:trHeight w:val="1341"/>
        </w:trPr>
        <w:tc>
          <w:tcPr>
            <w:tcW w:w="4061" w:type="dxa"/>
            <w:shd w:val="clear" w:color="auto" w:fill="auto"/>
          </w:tcPr>
          <w:p w14:paraId="6CB83101" w14:textId="77777777" w:rsidR="00B64F5C" w:rsidRPr="005232ED" w:rsidRDefault="00B64F5C" w:rsidP="005232ED">
            <w:pPr>
              <w:suppressAutoHyphens/>
              <w:spacing w:after="0" w:line="240" w:lineRule="auto"/>
              <w:rPr>
                <w:rFonts w:ascii="Times New Roman" w:eastAsia="Times New Roman" w:hAnsi="Times New Roman"/>
                <w:sz w:val="24"/>
                <w:szCs w:val="24"/>
                <w:lang w:eastAsia="ar-SA"/>
              </w:rPr>
            </w:pPr>
          </w:p>
          <w:p w14:paraId="713CE819" w14:textId="77777777" w:rsidR="00B64F5C" w:rsidRPr="005232ED" w:rsidRDefault="00B64F5C" w:rsidP="005232ED">
            <w:pPr>
              <w:suppressAutoHyphens/>
              <w:spacing w:after="0" w:line="240" w:lineRule="auto"/>
              <w:rPr>
                <w:rFonts w:ascii="Times New Roman" w:eastAsia="Times New Roman" w:hAnsi="Times New Roman"/>
                <w:sz w:val="24"/>
                <w:szCs w:val="24"/>
                <w:lang w:eastAsia="ar-SA"/>
              </w:rPr>
            </w:pPr>
          </w:p>
          <w:p w14:paraId="48A10749" w14:textId="77777777" w:rsidR="00B64F5C" w:rsidRPr="005232ED" w:rsidRDefault="00B64F5C" w:rsidP="00A824F4">
            <w:pPr>
              <w:suppressAutoHyphens/>
              <w:spacing w:after="0" w:line="240" w:lineRule="auto"/>
              <w:rPr>
                <w:rFonts w:ascii="Times New Roman" w:eastAsia="Times New Roman" w:hAnsi="Times New Roman"/>
                <w:sz w:val="24"/>
                <w:szCs w:val="24"/>
                <w:lang w:eastAsia="ar-SA"/>
              </w:rPr>
            </w:pPr>
            <w:r w:rsidRPr="00085085">
              <w:rPr>
                <w:rFonts w:ascii="Times New Roman" w:eastAsia="Times New Roman" w:hAnsi="Times New Roman"/>
                <w:noProof/>
                <w:sz w:val="24"/>
                <w:szCs w:val="24"/>
                <w:lang w:eastAsia="ar-SA"/>
              </w:rPr>
              <w:t>Antanas Sutkauskis</w:t>
            </w:r>
            <w:r w:rsidRPr="005232ED">
              <w:rPr>
                <w:rFonts w:ascii="Times New Roman" w:eastAsia="Times New Roman" w:hAnsi="Times New Roman"/>
                <w:sz w:val="24"/>
                <w:szCs w:val="24"/>
                <w:lang w:eastAsia="ar-SA"/>
              </w:rPr>
              <w:t>____________</w:t>
            </w:r>
          </w:p>
        </w:tc>
        <w:tc>
          <w:tcPr>
            <w:tcW w:w="334" w:type="dxa"/>
            <w:shd w:val="clear" w:color="auto" w:fill="auto"/>
          </w:tcPr>
          <w:p w14:paraId="64A14D44" w14:textId="77777777"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p>
        </w:tc>
        <w:tc>
          <w:tcPr>
            <w:tcW w:w="4872" w:type="dxa"/>
            <w:shd w:val="clear" w:color="auto" w:fill="auto"/>
          </w:tcPr>
          <w:p w14:paraId="1B1E0A10" w14:textId="77777777"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p>
          <w:p w14:paraId="6A74D1EA" w14:textId="77777777"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p>
          <w:p w14:paraId="1EA5F080" w14:textId="73D799C1" w:rsidR="00B64F5C" w:rsidRPr="005232ED" w:rsidRDefault="00B64F5C" w:rsidP="008318E0">
            <w:pPr>
              <w:suppressAutoHyphens/>
              <w:snapToGrid w:val="0"/>
              <w:spacing w:after="0" w:line="240" w:lineRule="auto"/>
              <w:rPr>
                <w:rFonts w:ascii="Times New Roman" w:eastAsia="Times New Roman" w:hAnsi="Times New Roman"/>
                <w:sz w:val="24"/>
                <w:szCs w:val="24"/>
                <w:lang w:eastAsia="ar-SA"/>
              </w:rPr>
            </w:pPr>
            <w:r w:rsidRPr="00085085">
              <w:rPr>
                <w:rFonts w:ascii="Times New Roman" w:eastAsia="Times New Roman" w:hAnsi="Times New Roman"/>
                <w:noProof/>
                <w:sz w:val="24"/>
                <w:szCs w:val="24"/>
                <w:lang w:eastAsia="ar-SA"/>
              </w:rPr>
              <w:t>Direktorius</w:t>
            </w:r>
            <w:r>
              <w:rPr>
                <w:rFonts w:ascii="Times New Roman" w:eastAsia="Times New Roman" w:hAnsi="Times New Roman"/>
                <w:sz w:val="24"/>
                <w:szCs w:val="24"/>
                <w:lang w:eastAsia="ar-SA"/>
              </w:rPr>
              <w:t xml:space="preserve">  _______ </w:t>
            </w:r>
            <w:r w:rsidR="00ED4F9C">
              <w:rPr>
                <w:rFonts w:ascii="Times New Roman" w:eastAsia="Times New Roman" w:hAnsi="Times New Roman"/>
                <w:noProof/>
                <w:sz w:val="24"/>
                <w:szCs w:val="24"/>
                <w:lang w:eastAsia="ar-SA"/>
              </w:rPr>
              <w:t>Edgaras Gervaitis</w:t>
            </w:r>
          </w:p>
        </w:tc>
      </w:tr>
      <w:tr w:rsidR="00B64F5C" w:rsidRPr="005232ED" w14:paraId="26CD5F41" w14:textId="77777777" w:rsidTr="00D34A0A">
        <w:trPr>
          <w:trHeight w:val="749"/>
        </w:trPr>
        <w:tc>
          <w:tcPr>
            <w:tcW w:w="4061" w:type="dxa"/>
            <w:shd w:val="clear" w:color="auto" w:fill="auto"/>
            <w:vAlign w:val="center"/>
          </w:tcPr>
          <w:p w14:paraId="56CB5148" w14:textId="77777777" w:rsidR="00B64F5C" w:rsidRPr="005232ED" w:rsidRDefault="00B64F5C" w:rsidP="005232ED">
            <w:pPr>
              <w:suppressAutoHyphens/>
              <w:snapToGrid w:val="0"/>
              <w:spacing w:after="0" w:line="240" w:lineRule="auto"/>
              <w:ind w:firstLine="2302"/>
              <w:rPr>
                <w:rFonts w:ascii="Times New Roman" w:eastAsia="Times New Roman" w:hAnsi="Times New Roman"/>
                <w:sz w:val="24"/>
                <w:szCs w:val="24"/>
                <w:lang w:eastAsia="ar-SA"/>
              </w:rPr>
            </w:pPr>
          </w:p>
        </w:tc>
        <w:tc>
          <w:tcPr>
            <w:tcW w:w="334" w:type="dxa"/>
            <w:shd w:val="clear" w:color="auto" w:fill="auto"/>
          </w:tcPr>
          <w:p w14:paraId="50FA0D8C" w14:textId="77777777" w:rsidR="00B64F5C" w:rsidRPr="005232ED" w:rsidRDefault="00B64F5C" w:rsidP="005232ED">
            <w:pPr>
              <w:suppressAutoHyphens/>
              <w:snapToGrid w:val="0"/>
              <w:spacing w:after="0" w:line="240" w:lineRule="auto"/>
              <w:rPr>
                <w:rFonts w:ascii="Times New Roman" w:eastAsia="Times New Roman" w:hAnsi="Times New Roman"/>
                <w:sz w:val="24"/>
                <w:szCs w:val="24"/>
                <w:lang w:eastAsia="ar-SA"/>
              </w:rPr>
            </w:pPr>
          </w:p>
        </w:tc>
        <w:tc>
          <w:tcPr>
            <w:tcW w:w="4872" w:type="dxa"/>
            <w:shd w:val="clear" w:color="auto" w:fill="auto"/>
            <w:vAlign w:val="center"/>
          </w:tcPr>
          <w:p w14:paraId="23E69E42" w14:textId="77777777" w:rsidR="00B64F5C" w:rsidRPr="005232ED" w:rsidRDefault="00B64F5C" w:rsidP="005232ED">
            <w:pPr>
              <w:suppressAutoHyphens/>
              <w:snapToGrid w:val="0"/>
              <w:spacing w:after="0" w:line="240" w:lineRule="auto"/>
              <w:ind w:firstLine="2615"/>
              <w:rPr>
                <w:rFonts w:ascii="Times New Roman" w:eastAsia="Times New Roman" w:hAnsi="Times New Roman"/>
                <w:sz w:val="24"/>
                <w:szCs w:val="24"/>
                <w:lang w:eastAsia="ar-SA"/>
              </w:rPr>
            </w:pPr>
            <w:r w:rsidRPr="005232ED">
              <w:rPr>
                <w:rFonts w:ascii="Times New Roman" w:eastAsia="Times New Roman" w:hAnsi="Times New Roman"/>
                <w:sz w:val="24"/>
                <w:szCs w:val="24"/>
                <w:lang w:eastAsia="ar-SA"/>
              </w:rPr>
              <w:t>A.V.</w:t>
            </w:r>
          </w:p>
          <w:p w14:paraId="6152211E" w14:textId="77777777" w:rsidR="00B64F5C" w:rsidRPr="005232ED" w:rsidRDefault="00B64F5C" w:rsidP="005232ED">
            <w:pPr>
              <w:suppressAutoHyphens/>
              <w:snapToGrid w:val="0"/>
              <w:spacing w:after="0" w:line="240" w:lineRule="auto"/>
              <w:ind w:firstLine="2615"/>
              <w:rPr>
                <w:rFonts w:ascii="Times New Roman" w:eastAsia="Times New Roman" w:hAnsi="Times New Roman"/>
                <w:sz w:val="24"/>
                <w:szCs w:val="24"/>
                <w:lang w:eastAsia="ar-SA"/>
              </w:rPr>
            </w:pPr>
          </w:p>
        </w:tc>
      </w:tr>
    </w:tbl>
    <w:p w14:paraId="2FCC14E9" w14:textId="77777777" w:rsidR="00B64F5C" w:rsidRDefault="00B64F5C" w:rsidP="009F2431">
      <w:pPr>
        <w:sectPr w:rsidR="00B64F5C" w:rsidSect="00B64F5C">
          <w:pgSz w:w="11906" w:h="16838"/>
          <w:pgMar w:top="567" w:right="567" w:bottom="568" w:left="1701" w:header="567" w:footer="567" w:gutter="0"/>
          <w:pgNumType w:start="1"/>
          <w:cols w:space="1296"/>
          <w:docGrid w:linePitch="360"/>
        </w:sectPr>
      </w:pPr>
    </w:p>
    <w:p w14:paraId="434AEF62" w14:textId="77777777" w:rsidR="00B64F5C" w:rsidRDefault="00B64F5C" w:rsidP="009F2431"/>
    <w:sectPr w:rsidR="00B64F5C" w:rsidSect="00B64F5C">
      <w:type w:val="continuous"/>
      <w:pgSz w:w="11906" w:h="16838"/>
      <w:pgMar w:top="567"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915990"/>
    <w:multiLevelType w:val="multilevel"/>
    <w:tmpl w:val="6602E5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732AA"/>
    <w:multiLevelType w:val="multilevel"/>
    <w:tmpl w:val="D9DC4F90"/>
    <w:lvl w:ilvl="0">
      <w:start w:val="1"/>
      <w:numFmt w:val="decimal"/>
      <w:lvlText w:val="%1"/>
      <w:lvlJc w:val="left"/>
      <w:pPr>
        <w:ind w:left="360" w:hanging="360"/>
      </w:pPr>
      <w:rPr>
        <w:rFonts w:hint="default"/>
        <w:color w:val="140000"/>
      </w:rPr>
    </w:lvl>
    <w:lvl w:ilvl="1">
      <w:start w:val="1"/>
      <w:numFmt w:val="decimal"/>
      <w:lvlText w:val="%1.%2"/>
      <w:lvlJc w:val="left"/>
      <w:pPr>
        <w:ind w:left="360" w:hanging="360"/>
      </w:pPr>
      <w:rPr>
        <w:rFonts w:hint="default"/>
        <w:color w:val="140000"/>
      </w:rPr>
    </w:lvl>
    <w:lvl w:ilvl="2">
      <w:start w:val="1"/>
      <w:numFmt w:val="decimal"/>
      <w:lvlText w:val="%1.%2.%3"/>
      <w:lvlJc w:val="left"/>
      <w:pPr>
        <w:ind w:left="720" w:hanging="720"/>
      </w:pPr>
      <w:rPr>
        <w:rFonts w:hint="default"/>
        <w:color w:val="140000"/>
      </w:rPr>
    </w:lvl>
    <w:lvl w:ilvl="3">
      <w:start w:val="1"/>
      <w:numFmt w:val="decimal"/>
      <w:lvlText w:val="%1.%2.%3.%4"/>
      <w:lvlJc w:val="left"/>
      <w:pPr>
        <w:ind w:left="720" w:hanging="720"/>
      </w:pPr>
      <w:rPr>
        <w:rFonts w:hint="default"/>
        <w:color w:val="140000"/>
      </w:rPr>
    </w:lvl>
    <w:lvl w:ilvl="4">
      <w:start w:val="1"/>
      <w:numFmt w:val="decimal"/>
      <w:lvlText w:val="%1.%2.%3.%4.%5"/>
      <w:lvlJc w:val="left"/>
      <w:pPr>
        <w:ind w:left="1080" w:hanging="1080"/>
      </w:pPr>
      <w:rPr>
        <w:rFonts w:hint="default"/>
        <w:color w:val="140000"/>
      </w:rPr>
    </w:lvl>
    <w:lvl w:ilvl="5">
      <w:start w:val="1"/>
      <w:numFmt w:val="decimal"/>
      <w:lvlText w:val="%1.%2.%3.%4.%5.%6"/>
      <w:lvlJc w:val="left"/>
      <w:pPr>
        <w:ind w:left="1080" w:hanging="1080"/>
      </w:pPr>
      <w:rPr>
        <w:rFonts w:hint="default"/>
        <w:color w:val="140000"/>
      </w:rPr>
    </w:lvl>
    <w:lvl w:ilvl="6">
      <w:start w:val="1"/>
      <w:numFmt w:val="decimal"/>
      <w:lvlText w:val="%1.%2.%3.%4.%5.%6.%7"/>
      <w:lvlJc w:val="left"/>
      <w:pPr>
        <w:ind w:left="1440" w:hanging="1440"/>
      </w:pPr>
      <w:rPr>
        <w:rFonts w:hint="default"/>
        <w:color w:val="140000"/>
      </w:rPr>
    </w:lvl>
    <w:lvl w:ilvl="7">
      <w:start w:val="1"/>
      <w:numFmt w:val="decimal"/>
      <w:lvlText w:val="%1.%2.%3.%4.%5.%6.%7.%8"/>
      <w:lvlJc w:val="left"/>
      <w:pPr>
        <w:ind w:left="1440" w:hanging="1440"/>
      </w:pPr>
      <w:rPr>
        <w:rFonts w:hint="default"/>
        <w:color w:val="140000"/>
      </w:rPr>
    </w:lvl>
    <w:lvl w:ilvl="8">
      <w:start w:val="1"/>
      <w:numFmt w:val="decimal"/>
      <w:lvlText w:val="%1.%2.%3.%4.%5.%6.%7.%8.%9"/>
      <w:lvlJc w:val="left"/>
      <w:pPr>
        <w:ind w:left="1800" w:hanging="1800"/>
      </w:pPr>
      <w:rPr>
        <w:rFonts w:hint="default"/>
        <w:color w:val="140000"/>
      </w:rPr>
    </w:lvl>
  </w:abstractNum>
  <w:abstractNum w:abstractNumId="3" w15:restartNumberingAfterBreak="0">
    <w:nsid w:val="139E3AAA"/>
    <w:multiLevelType w:val="multilevel"/>
    <w:tmpl w:val="3E408C0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D7552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AC6149"/>
    <w:multiLevelType w:val="multilevel"/>
    <w:tmpl w:val="CCC64EA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6C0D3E"/>
    <w:multiLevelType w:val="multilevel"/>
    <w:tmpl w:val="B5B2F81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C12449F"/>
    <w:multiLevelType w:val="multilevel"/>
    <w:tmpl w:val="723871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5E58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27166A"/>
    <w:multiLevelType w:val="multilevel"/>
    <w:tmpl w:val="2CDA0A3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626B6F"/>
    <w:multiLevelType w:val="multilevel"/>
    <w:tmpl w:val="B3962D04"/>
    <w:lvl w:ilvl="0">
      <w:start w:val="6"/>
      <w:numFmt w:val="decimal"/>
      <w:lvlText w:val="%1."/>
      <w:lvlJc w:val="left"/>
      <w:pPr>
        <w:tabs>
          <w:tab w:val="num" w:pos="0"/>
        </w:tabs>
        <w:ind w:left="360" w:hanging="360"/>
      </w:pPr>
      <w:rPr>
        <w:rFonts w:hint="default"/>
      </w:rPr>
    </w:lvl>
    <w:lvl w:ilvl="1">
      <w:start w:val="1"/>
      <w:numFmt w:val="decimal"/>
      <w:lvlText w:val="7.%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6DA63707"/>
    <w:multiLevelType w:val="hybridMultilevel"/>
    <w:tmpl w:val="878C6682"/>
    <w:lvl w:ilvl="0" w:tplc="E55C93B8">
      <w:numFmt w:val="bullet"/>
      <w:lvlText w:val=""/>
      <w:lvlJc w:val="left"/>
      <w:pPr>
        <w:ind w:left="1152" w:hanging="360"/>
      </w:pPr>
      <w:rPr>
        <w:rFonts w:ascii="Symbol" w:eastAsia="Calibri" w:hAnsi="Symbol"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2" w15:restartNumberingAfterBreak="0">
    <w:nsid w:val="711A3C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BB42C6"/>
    <w:multiLevelType w:val="multilevel"/>
    <w:tmpl w:val="7458F2F6"/>
    <w:lvl w:ilvl="0">
      <w:start w:val="7"/>
      <w:numFmt w:val="decimal"/>
      <w:lvlText w:val="%1."/>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abstractNumId w:val="0"/>
  </w:num>
  <w:num w:numId="2">
    <w:abstractNumId w:val="5"/>
  </w:num>
  <w:num w:numId="3">
    <w:abstractNumId w:val="7"/>
  </w:num>
  <w:num w:numId="4">
    <w:abstractNumId w:val="6"/>
  </w:num>
  <w:num w:numId="5">
    <w:abstractNumId w:val="3"/>
  </w:num>
  <w:num w:numId="6">
    <w:abstractNumId w:val="1"/>
  </w:num>
  <w:num w:numId="7">
    <w:abstractNumId w:val="10"/>
  </w:num>
  <w:num w:numId="8">
    <w:abstractNumId w:val="13"/>
  </w:num>
  <w:num w:numId="9">
    <w:abstractNumId w:val="4"/>
  </w:num>
  <w:num w:numId="10">
    <w:abstractNumId w:val="11"/>
  </w:num>
  <w:num w:numId="11">
    <w:abstractNumId w:val="2"/>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ED"/>
    <w:rsid w:val="00001B8A"/>
    <w:rsid w:val="00012D22"/>
    <w:rsid w:val="00042E2C"/>
    <w:rsid w:val="00073397"/>
    <w:rsid w:val="00077C0B"/>
    <w:rsid w:val="000D2E2F"/>
    <w:rsid w:val="000E401C"/>
    <w:rsid w:val="001259E3"/>
    <w:rsid w:val="00137412"/>
    <w:rsid w:val="00142CC8"/>
    <w:rsid w:val="0019269F"/>
    <w:rsid w:val="001A0DF1"/>
    <w:rsid w:val="001A5EE5"/>
    <w:rsid w:val="001A7541"/>
    <w:rsid w:val="001B0BC8"/>
    <w:rsid w:val="001D2672"/>
    <w:rsid w:val="001E2B84"/>
    <w:rsid w:val="001E5DEB"/>
    <w:rsid w:val="00275FFC"/>
    <w:rsid w:val="002848E2"/>
    <w:rsid w:val="002B444F"/>
    <w:rsid w:val="00306740"/>
    <w:rsid w:val="00356951"/>
    <w:rsid w:val="00360F53"/>
    <w:rsid w:val="0039642C"/>
    <w:rsid w:val="003E0B8F"/>
    <w:rsid w:val="003E2BE7"/>
    <w:rsid w:val="003F6ED7"/>
    <w:rsid w:val="004053F5"/>
    <w:rsid w:val="0040755E"/>
    <w:rsid w:val="00444A28"/>
    <w:rsid w:val="004759FA"/>
    <w:rsid w:val="0049142B"/>
    <w:rsid w:val="004C3C14"/>
    <w:rsid w:val="005232ED"/>
    <w:rsid w:val="00527816"/>
    <w:rsid w:val="00542C96"/>
    <w:rsid w:val="0054757F"/>
    <w:rsid w:val="00570D99"/>
    <w:rsid w:val="00575BA7"/>
    <w:rsid w:val="005909C3"/>
    <w:rsid w:val="00591B57"/>
    <w:rsid w:val="005E3CAF"/>
    <w:rsid w:val="005F1BFA"/>
    <w:rsid w:val="00602005"/>
    <w:rsid w:val="00605E00"/>
    <w:rsid w:val="006410B1"/>
    <w:rsid w:val="006454F1"/>
    <w:rsid w:val="00672E50"/>
    <w:rsid w:val="006B11A8"/>
    <w:rsid w:val="006B6308"/>
    <w:rsid w:val="006E4E65"/>
    <w:rsid w:val="007469C7"/>
    <w:rsid w:val="00756014"/>
    <w:rsid w:val="007646D6"/>
    <w:rsid w:val="00776BB0"/>
    <w:rsid w:val="0077703D"/>
    <w:rsid w:val="00785F6B"/>
    <w:rsid w:val="007B09B4"/>
    <w:rsid w:val="007E171A"/>
    <w:rsid w:val="007E4223"/>
    <w:rsid w:val="007F2676"/>
    <w:rsid w:val="007F3943"/>
    <w:rsid w:val="008060E2"/>
    <w:rsid w:val="00817C18"/>
    <w:rsid w:val="0083110B"/>
    <w:rsid w:val="008318E0"/>
    <w:rsid w:val="00894D51"/>
    <w:rsid w:val="008B6F3F"/>
    <w:rsid w:val="008B730B"/>
    <w:rsid w:val="008E289D"/>
    <w:rsid w:val="008E7B8F"/>
    <w:rsid w:val="0090273E"/>
    <w:rsid w:val="00906078"/>
    <w:rsid w:val="009400E9"/>
    <w:rsid w:val="009534B7"/>
    <w:rsid w:val="00954BE4"/>
    <w:rsid w:val="00957565"/>
    <w:rsid w:val="00960013"/>
    <w:rsid w:val="0096560E"/>
    <w:rsid w:val="00975947"/>
    <w:rsid w:val="00984D4D"/>
    <w:rsid w:val="00996257"/>
    <w:rsid w:val="009A71CE"/>
    <w:rsid w:val="009B1C81"/>
    <w:rsid w:val="009D379E"/>
    <w:rsid w:val="009E0ED0"/>
    <w:rsid w:val="009F2431"/>
    <w:rsid w:val="00A27BD6"/>
    <w:rsid w:val="00A5730B"/>
    <w:rsid w:val="00A824F4"/>
    <w:rsid w:val="00A9423B"/>
    <w:rsid w:val="00AA3946"/>
    <w:rsid w:val="00AB2911"/>
    <w:rsid w:val="00AD4667"/>
    <w:rsid w:val="00AE3429"/>
    <w:rsid w:val="00AF1D0A"/>
    <w:rsid w:val="00B0732F"/>
    <w:rsid w:val="00B14005"/>
    <w:rsid w:val="00B54409"/>
    <w:rsid w:val="00B64F5C"/>
    <w:rsid w:val="00B70541"/>
    <w:rsid w:val="00BA51AA"/>
    <w:rsid w:val="00BF468A"/>
    <w:rsid w:val="00C20AAD"/>
    <w:rsid w:val="00C70300"/>
    <w:rsid w:val="00C96BC3"/>
    <w:rsid w:val="00CB1F31"/>
    <w:rsid w:val="00CC149F"/>
    <w:rsid w:val="00D05F9B"/>
    <w:rsid w:val="00D34A0A"/>
    <w:rsid w:val="00D528EA"/>
    <w:rsid w:val="00D939FE"/>
    <w:rsid w:val="00DB71FE"/>
    <w:rsid w:val="00DC5024"/>
    <w:rsid w:val="00DF6DA7"/>
    <w:rsid w:val="00DF7189"/>
    <w:rsid w:val="00E05070"/>
    <w:rsid w:val="00E54C79"/>
    <w:rsid w:val="00EB7B31"/>
    <w:rsid w:val="00EC12ED"/>
    <w:rsid w:val="00ED4F9C"/>
    <w:rsid w:val="00EF6E48"/>
    <w:rsid w:val="00EF7A9E"/>
    <w:rsid w:val="00F13334"/>
    <w:rsid w:val="00F61F77"/>
    <w:rsid w:val="00F76C9D"/>
    <w:rsid w:val="00F90D85"/>
    <w:rsid w:val="00F96482"/>
    <w:rsid w:val="00FD4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5218"/>
  <w15:docId w15:val="{94AECBA9-06F0-4224-B092-43A234AE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90273E"/>
    <w:rPr>
      <w:b/>
      <w:bCs/>
    </w:rPr>
  </w:style>
  <w:style w:type="paragraph" w:styleId="Sraopastraipa">
    <w:name w:val="List Paragraph"/>
    <w:basedOn w:val="prastasis"/>
    <w:uiPriority w:val="34"/>
    <w:qFormat/>
    <w:rsid w:val="008E7B8F"/>
    <w:pPr>
      <w:ind w:left="720"/>
      <w:contextualSpacing/>
    </w:pPr>
  </w:style>
  <w:style w:type="character" w:styleId="Hipersaitas">
    <w:name w:val="Hyperlink"/>
    <w:basedOn w:val="Numatytasispastraiposriftas"/>
    <w:uiPriority w:val="99"/>
    <w:unhideWhenUsed/>
    <w:rsid w:val="00776BB0"/>
    <w:rPr>
      <w:color w:val="0000FF" w:themeColor="hyperlink"/>
      <w:u w:val="single"/>
    </w:rPr>
  </w:style>
  <w:style w:type="paragraph" w:styleId="Debesliotekstas">
    <w:name w:val="Balloon Text"/>
    <w:basedOn w:val="prastasis"/>
    <w:link w:val="DebesliotekstasDiagrama"/>
    <w:uiPriority w:val="99"/>
    <w:semiHidden/>
    <w:unhideWhenUsed/>
    <w:rsid w:val="00776B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6BB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30.16.50/Litlex/LL.DLL?Tekstas=1?Id=80710&amp;Zd=sutar&amp;BF=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172.30.16.50/Litlex/LL.DLL?Tekstas=1?Id=80710&amp;Zd=sutar&amp;BF=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72.30.16.50/Litlex/LL.DLL?Tekstas=1?Id=80710&amp;Zd=sutar&amp;BF=4" TargetMode="External"/><Relationship Id="rId11" Type="http://schemas.openxmlformats.org/officeDocument/2006/relationships/hyperlink" Target="http://172.30.16.50/Litlex/LL.DLL?Tekstas=1?Id=80710&amp;Zd=sutar&amp;BF=4" TargetMode="External"/><Relationship Id="rId5" Type="http://schemas.openxmlformats.org/officeDocument/2006/relationships/webSettings" Target="webSettings.xm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386B-1A0C-4620-895F-B6C1C63B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1982</Words>
  <Characters>11301</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13257</CharactersWithSpaces>
  <SharedDoc>false</SharedDoc>
  <HLinks>
    <vt:vector size="36" baseType="variant">
      <vt:variant>
        <vt:i4>3539006</vt:i4>
      </vt:variant>
      <vt:variant>
        <vt:i4>15</vt:i4>
      </vt:variant>
      <vt:variant>
        <vt:i4>0</vt:i4>
      </vt:variant>
      <vt:variant>
        <vt:i4>5</vt:i4>
      </vt:variant>
      <vt:variant>
        <vt:lpwstr>http://172.30.16.50/Litlex/LL.DLL?Tekstas=1?Id=80710&amp;Zd=sutar&amp;BF=4</vt:lpwstr>
      </vt:variant>
      <vt:variant>
        <vt:lpwstr>347z#347z</vt:lpwstr>
      </vt:variant>
      <vt:variant>
        <vt:i4>3604543</vt:i4>
      </vt:variant>
      <vt:variant>
        <vt:i4>12</vt:i4>
      </vt:variant>
      <vt:variant>
        <vt:i4>0</vt:i4>
      </vt:variant>
      <vt:variant>
        <vt:i4>5</vt:i4>
      </vt:variant>
      <vt:variant>
        <vt:lpwstr>http://172.30.16.50/Litlex/LL.DLL?Tekstas=1?Id=80710&amp;Zd=sutar&amp;BF=4</vt:lpwstr>
      </vt:variant>
      <vt:variant>
        <vt:lpwstr>346z#346z</vt:lpwstr>
      </vt:variant>
      <vt:variant>
        <vt:i4>3473469</vt:i4>
      </vt:variant>
      <vt:variant>
        <vt:i4>9</vt:i4>
      </vt:variant>
      <vt:variant>
        <vt:i4>0</vt:i4>
      </vt:variant>
      <vt:variant>
        <vt:i4>5</vt:i4>
      </vt:variant>
      <vt:variant>
        <vt:lpwstr>http://172.30.16.50/Litlex/LL.DLL?Tekstas=1?Id=80710&amp;Zd=sutar&amp;BF=4</vt:lpwstr>
      </vt:variant>
      <vt:variant>
        <vt:lpwstr>344z#344z</vt:lpwstr>
      </vt:variant>
      <vt:variant>
        <vt:i4>3276858</vt:i4>
      </vt:variant>
      <vt:variant>
        <vt:i4>6</vt:i4>
      </vt:variant>
      <vt:variant>
        <vt:i4>0</vt:i4>
      </vt:variant>
      <vt:variant>
        <vt:i4>5</vt:i4>
      </vt:variant>
      <vt:variant>
        <vt:lpwstr>http://172.30.16.50/Litlex/LL.DLL?Tekstas=1?Id=80710&amp;Zd=sutar&amp;BF=4</vt:lpwstr>
      </vt:variant>
      <vt:variant>
        <vt:lpwstr>343z#343z</vt:lpwstr>
      </vt:variant>
      <vt:variant>
        <vt:i4>3342395</vt:i4>
      </vt:variant>
      <vt:variant>
        <vt:i4>3</vt:i4>
      </vt:variant>
      <vt:variant>
        <vt:i4>0</vt:i4>
      </vt:variant>
      <vt:variant>
        <vt:i4>5</vt:i4>
      </vt:variant>
      <vt:variant>
        <vt:lpwstr>http://172.30.16.50/Litlex/LL.DLL?Tekstas=1?Id=80710&amp;Zd=sutar&amp;BF=4</vt:lpwstr>
      </vt:variant>
      <vt:variant>
        <vt:lpwstr>342z#342z</vt:lpwstr>
      </vt:variant>
      <vt:variant>
        <vt:i4>3145784</vt:i4>
      </vt:variant>
      <vt:variant>
        <vt:i4>0</vt:i4>
      </vt:variant>
      <vt:variant>
        <vt:i4>0</vt:i4>
      </vt:variant>
      <vt:variant>
        <vt:i4>5</vt:i4>
      </vt:variant>
      <vt:variant>
        <vt:lpwstr>http://172.30.16.50/Litlex/LL.DLL?Tekstas=1?Id=80710&amp;Zd=sutar&amp;BF=4</vt:lpwstr>
      </vt:variant>
      <vt:variant>
        <vt:lpwstr>341z#341z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Ozogimnazija PC</cp:lastModifiedBy>
  <cp:revision>4</cp:revision>
  <cp:lastPrinted>2025-06-22T05:19:00Z</cp:lastPrinted>
  <dcterms:created xsi:type="dcterms:W3CDTF">2025-05-31T05:04:00Z</dcterms:created>
  <dcterms:modified xsi:type="dcterms:W3CDTF">2025-06-22T05:28:00Z</dcterms:modified>
</cp:coreProperties>
</file>