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ragraph"/>
        <w:spacing w:beforeAutospacing="0" w:before="0" w:afterAutospacing="0" w:after="0"/>
        <w:ind w:firstLine="720" w:left="4320"/>
        <w:textAlignment w:val="baseline"/>
        <w:rPr>
          <w:rFonts w:ascii="Segoe UI" w:hAnsi="Segoe UI" w:cs="Segoe UI"/>
          <w:sz w:val="18"/>
          <w:szCs w:val="18"/>
        </w:rPr>
      </w:pPr>
      <w:r>
        <w:rPr>
          <w:rFonts w:cs="Segoe UI" w:ascii="Segoe UI" w:hAnsi="Segoe UI"/>
          <w:sz w:val="18"/>
          <w:szCs w:val="18"/>
        </w:rPr>
      </w:r>
    </w:p>
    <w:p>
      <w:pPr>
        <w:pStyle w:val="Normal"/>
        <w:widowControl w:val="false"/>
        <w:tabs>
          <w:tab w:val="clear" w:pos="1296"/>
          <w:tab w:val="left" w:pos="567" w:leader="none"/>
          <w:tab w:val="left" w:pos="851" w:leader="none"/>
        </w:tabs>
        <w:jc w:val="center"/>
        <w:rPr>
          <w:b/>
          <w:bCs/>
          <w:caps/>
          <w:szCs w:val="24"/>
        </w:rPr>
      </w:pPr>
      <w:r>
        <w:rPr>
          <w:b/>
          <w:bCs/>
          <w:caps/>
          <w:szCs w:val="24"/>
        </w:rPr>
        <w:t>paslaugų pirkimo-pardavimo sutarties Specialiosios sąlygos</w:t>
      </w:r>
    </w:p>
    <w:p>
      <w:pPr>
        <w:pStyle w:val="Normal"/>
        <w:widowControl w:val="false"/>
        <w:tabs>
          <w:tab w:val="clear" w:pos="1296"/>
          <w:tab w:val="left" w:pos="567" w:leader="none"/>
          <w:tab w:val="left" w:pos="851" w:leader="none"/>
        </w:tabs>
        <w:jc w:val="center"/>
        <w:rPr>
          <w:b/>
          <w:bCs/>
          <w:caps/>
          <w:szCs w:val="24"/>
        </w:rPr>
      </w:pPr>
      <w:r>
        <w:rPr>
          <w:b/>
          <w:bCs/>
          <w:caps/>
          <w:szCs w:val="24"/>
        </w:rPr>
        <w:t>2025-06-19 Nr. MS-2025/18</w:t>
      </w:r>
    </w:p>
    <w:p>
      <w:pPr>
        <w:pStyle w:val="Normal"/>
        <w:jc w:val="center"/>
        <w:rPr>
          <w:szCs w:val="24"/>
        </w:rPr>
      </w:pPr>
      <w:r>
        <w:rPr>
          <w:szCs w:val="24"/>
        </w:rPr>
      </w:r>
    </w:p>
    <w:tbl>
      <w:tblPr>
        <w:tblW w:w="955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446"/>
        <w:gridCol w:w="2180"/>
        <w:gridCol w:w="2360"/>
        <w:gridCol w:w="2571"/>
      </w:tblGrid>
      <w:tr>
        <w:trPr/>
        <w:tc>
          <w:tcPr>
            <w:tcW w:w="2446" w:type="dxa"/>
            <w:tcBorders>
              <w:top w:val="single" w:sz="4" w:space="0" w:color="000000"/>
              <w:left w:val="single" w:sz="4" w:space="0" w:color="000000"/>
              <w:bottom w:val="single" w:sz="4" w:space="0" w:color="000000"/>
              <w:right w:val="single" w:sz="4" w:space="0" w:color="000000"/>
            </w:tcBorders>
          </w:tcPr>
          <w:p>
            <w:pPr>
              <w:pStyle w:val="Normal"/>
              <w:jc w:val="both"/>
              <w:rPr>
                <w:szCs w:val="24"/>
              </w:rPr>
            </w:pPr>
            <w:r>
              <w:rPr>
                <w:b/>
                <w:kern w:val="2"/>
                <w:szCs w:val="24"/>
              </w:rPr>
              <w:t>Sutarties pavadinimas</w:t>
            </w:r>
          </w:p>
        </w:tc>
        <w:tc>
          <w:tcPr>
            <w:tcW w:w="7111"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szCs w:val="24"/>
              </w:rPr>
            </w:pPr>
            <w:r>
              <w:rPr>
                <w:szCs w:val="24"/>
              </w:rPr>
              <w:t>LOBIS palaikymo paslaugos</w:t>
            </w:r>
          </w:p>
        </w:tc>
      </w:tr>
      <w:tr>
        <w:trPr/>
        <w:tc>
          <w:tcPr>
            <w:tcW w:w="2446" w:type="dxa"/>
            <w:tcBorders>
              <w:top w:val="single" w:sz="4" w:space="0" w:color="000000"/>
              <w:left w:val="single" w:sz="4" w:space="0" w:color="000000"/>
              <w:bottom w:val="single" w:sz="4" w:space="0" w:color="000000"/>
              <w:right w:val="single" w:sz="4" w:space="0" w:color="000000"/>
            </w:tcBorders>
          </w:tcPr>
          <w:p>
            <w:pPr>
              <w:pStyle w:val="Normal"/>
              <w:jc w:val="both"/>
              <w:rPr>
                <w:b/>
                <w:kern w:val="2"/>
                <w:szCs w:val="24"/>
              </w:rPr>
            </w:pPr>
            <w:r>
              <w:rPr>
                <w:b/>
                <w:kern w:val="2"/>
                <w:szCs w:val="24"/>
              </w:rPr>
              <w:t>Sutarties data</w:t>
            </w:r>
          </w:p>
        </w:tc>
        <w:tc>
          <w:tcPr>
            <w:tcW w:w="2180" w:type="dxa"/>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r>
          </w:p>
        </w:tc>
        <w:tc>
          <w:tcPr>
            <w:tcW w:w="2360" w:type="dxa"/>
            <w:tcBorders>
              <w:top w:val="single" w:sz="4" w:space="0" w:color="000000"/>
              <w:left w:val="single" w:sz="4" w:space="0" w:color="000000"/>
              <w:bottom w:val="single" w:sz="4" w:space="0" w:color="000000"/>
              <w:right w:val="single" w:sz="4" w:space="0" w:color="000000"/>
            </w:tcBorders>
          </w:tcPr>
          <w:p>
            <w:pPr>
              <w:pStyle w:val="Normal"/>
              <w:jc w:val="both"/>
              <w:rPr>
                <w:b/>
                <w:kern w:val="2"/>
                <w:szCs w:val="24"/>
              </w:rPr>
            </w:pPr>
            <w:r>
              <w:rPr>
                <w:b/>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r>
          </w:p>
        </w:tc>
      </w:tr>
    </w:tbl>
    <w:p>
      <w:pPr>
        <w:pStyle w:val="Normal"/>
        <w:jc w:val="both"/>
        <w:rPr>
          <w:szCs w:val="24"/>
        </w:rPr>
      </w:pPr>
      <w:r>
        <w:rPr>
          <w:szCs w:val="24"/>
        </w:rPr>
      </w:r>
    </w:p>
    <w:tbl>
      <w:tblPr>
        <w:tblW w:w="95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60"/>
        <w:gridCol w:w="3240"/>
        <w:gridCol w:w="3960"/>
      </w:tblGrid>
      <w:tr>
        <w:trPr/>
        <w:tc>
          <w:tcPr>
            <w:tcW w:w="9560" w:type="dxa"/>
            <w:gridSpan w:val="3"/>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 SUTARTIES ŠALYS</w:t>
            </w:r>
          </w:p>
        </w:tc>
      </w:tr>
      <w:tr>
        <w:trPr/>
        <w:tc>
          <w:tcPr>
            <w:tcW w:w="2360"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r>
          </w:p>
          <w:p>
            <w:pPr>
              <w:pStyle w:val="Normal"/>
              <w:jc w:val="center"/>
              <w:rPr>
                <w:b/>
                <w:kern w:val="2"/>
                <w:szCs w:val="24"/>
              </w:rPr>
            </w:pPr>
            <w:r>
              <w:rPr>
                <w:b/>
                <w:kern w:val="2"/>
                <w:szCs w:val="24"/>
              </w:rPr>
            </w:r>
          </w:p>
          <w:p>
            <w:pPr>
              <w:pStyle w:val="Normal"/>
              <w:jc w:val="center"/>
              <w:rPr>
                <w:b/>
                <w:kern w:val="2"/>
                <w:szCs w:val="24"/>
              </w:rPr>
            </w:pPr>
            <w:r>
              <w:rPr>
                <w:b/>
                <w:kern w:val="2"/>
                <w:szCs w:val="24"/>
              </w:rPr>
            </w:r>
          </w:p>
          <w:p>
            <w:pPr>
              <w:pStyle w:val="Normal"/>
              <w:rPr>
                <w:b/>
                <w:kern w:val="2"/>
                <w:szCs w:val="24"/>
              </w:rPr>
            </w:pPr>
            <w:r>
              <w:rPr>
                <w:b/>
                <w:kern w:val="2"/>
                <w:szCs w:val="24"/>
              </w:rPr>
            </w:r>
          </w:p>
          <w:p>
            <w:pPr>
              <w:pStyle w:val="Normal"/>
              <w:rPr>
                <w:b/>
                <w:kern w:val="2"/>
                <w:szCs w:val="24"/>
              </w:rPr>
            </w:pPr>
            <w:r>
              <w:rPr>
                <w:b/>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pPr>
              <w:pStyle w:val="Normal"/>
              <w:rPr>
                <w:szCs w:val="24"/>
              </w:rPr>
            </w:pPr>
            <w:r>
              <w:rPr>
                <w:kern w:val="2"/>
                <w:szCs w:val="24"/>
              </w:rPr>
              <w:t>1.1.1. Pavadinimas</w:t>
            </w:r>
          </w:p>
        </w:tc>
        <w:tc>
          <w:tcPr>
            <w:tcW w:w="396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Cs w:val="24"/>
              </w:rPr>
            </w:pPr>
            <w:r>
              <w:rPr>
                <w:rFonts w:cs="" w:cstheme="majorBidi"/>
                <w:kern w:val="2"/>
                <w:szCs w:val="24"/>
              </w:rPr>
              <w:t>Vyriausioji tarnybinės etikos komisija</w:t>
            </w:r>
          </w:p>
        </w:tc>
      </w:tr>
      <w:tr>
        <w:trPr/>
        <w:tc>
          <w:tcPr>
            <w:tcW w:w="2360"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szCs w:val="24"/>
              </w:rPr>
            </w:pPr>
            <w:r>
              <w:rPr>
                <w:kern w:val="2"/>
                <w:szCs w:val="24"/>
              </w:rPr>
              <w:t>1.1.2. Juridinio asmens kodas</w:t>
            </w:r>
          </w:p>
        </w:tc>
        <w:tc>
          <w:tcPr>
            <w:tcW w:w="396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Cs w:val="24"/>
              </w:rPr>
            </w:pPr>
            <w:r>
              <w:rPr>
                <w:rFonts w:cs="" w:cstheme="majorBidi"/>
                <w:kern w:val="2"/>
                <w:szCs w:val="24"/>
              </w:rPr>
              <w:t>188736355</w:t>
            </w:r>
          </w:p>
        </w:tc>
      </w:tr>
      <w:tr>
        <w:trPr/>
        <w:tc>
          <w:tcPr>
            <w:tcW w:w="2360"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szCs w:val="24"/>
              </w:rPr>
            </w:pPr>
            <w:r>
              <w:rPr>
                <w:kern w:val="2"/>
                <w:szCs w:val="24"/>
              </w:rPr>
              <w:t>1.1.3. Adresas</w:t>
            </w:r>
          </w:p>
        </w:tc>
        <w:tc>
          <w:tcPr>
            <w:tcW w:w="396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Cs w:val="24"/>
              </w:rPr>
            </w:pPr>
            <w:r>
              <w:rPr>
                <w:rFonts w:cs="" w:cstheme="majorBidi"/>
                <w:kern w:val="2"/>
                <w:szCs w:val="24"/>
              </w:rPr>
              <w:t>A. Goštauto g. 9-102, LT-01108 Vilnius</w:t>
            </w:r>
          </w:p>
        </w:tc>
      </w:tr>
      <w:tr>
        <w:trPr/>
        <w:tc>
          <w:tcPr>
            <w:tcW w:w="2360"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szCs w:val="24"/>
              </w:rPr>
            </w:pPr>
            <w:r>
              <w:rPr>
                <w:kern w:val="2"/>
                <w:szCs w:val="24"/>
              </w:rPr>
              <w:t>1.1.4. PVM mokėtojo kodas</w:t>
            </w:r>
          </w:p>
        </w:tc>
        <w:tc>
          <w:tcPr>
            <w:tcW w:w="396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Cs w:val="24"/>
              </w:rPr>
            </w:pPr>
            <w:r>
              <w:rPr>
                <w:rFonts w:cs="" w:cstheme="majorBidi"/>
                <w:kern w:val="2"/>
                <w:szCs w:val="24"/>
              </w:rPr>
              <w:t>-</w:t>
            </w:r>
          </w:p>
        </w:tc>
      </w:tr>
      <w:tr>
        <w:trPr/>
        <w:tc>
          <w:tcPr>
            <w:tcW w:w="2360"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szCs w:val="24"/>
              </w:rPr>
            </w:pPr>
            <w:r>
              <w:rPr>
                <w:kern w:val="2"/>
                <w:szCs w:val="24"/>
              </w:rPr>
              <w:t>1.1.5. Atsiskaitomoji sąskaita</w:t>
            </w:r>
          </w:p>
        </w:tc>
        <w:tc>
          <w:tcPr>
            <w:tcW w:w="396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Cs w:val="24"/>
              </w:rPr>
            </w:pPr>
            <w:r>
              <w:rPr>
                <w:rFonts w:cs="" w:cstheme="majorBidi"/>
                <w:kern w:val="2"/>
                <w:szCs w:val="24"/>
              </w:rPr>
              <w:t>LT26 7300 0100 9114 6802</w:t>
            </w:r>
          </w:p>
        </w:tc>
      </w:tr>
      <w:tr>
        <w:trPr/>
        <w:tc>
          <w:tcPr>
            <w:tcW w:w="2360"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szCs w:val="24"/>
              </w:rPr>
            </w:pPr>
            <w:r>
              <w:rPr>
                <w:kern w:val="2"/>
                <w:szCs w:val="24"/>
              </w:rPr>
              <w:t>1.1.6. Bankas, banko kodas</w:t>
            </w:r>
          </w:p>
        </w:tc>
        <w:tc>
          <w:tcPr>
            <w:tcW w:w="396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Cs w:val="24"/>
              </w:rPr>
            </w:pPr>
            <w:r>
              <w:rPr>
                <w:rFonts w:cs="" w:cstheme="majorBidi"/>
                <w:kern w:val="2"/>
                <w:szCs w:val="24"/>
              </w:rPr>
              <w:t>„</w:t>
            </w:r>
            <w:r>
              <w:rPr>
                <w:rFonts w:cs="" w:cstheme="majorBidi"/>
                <w:kern w:val="2"/>
                <w:szCs w:val="24"/>
              </w:rPr>
              <w:t>Swedbank” AB</w:t>
            </w:r>
          </w:p>
        </w:tc>
      </w:tr>
      <w:tr>
        <w:trPr/>
        <w:tc>
          <w:tcPr>
            <w:tcW w:w="2360"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szCs w:val="24"/>
              </w:rPr>
            </w:pPr>
            <w:r>
              <w:rPr>
                <w:kern w:val="2"/>
                <w:szCs w:val="24"/>
              </w:rPr>
              <w:t>1.1.7. Telefonas</w:t>
            </w:r>
          </w:p>
        </w:tc>
        <w:tc>
          <w:tcPr>
            <w:tcW w:w="396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Cs w:val="24"/>
              </w:rPr>
            </w:pPr>
            <w:r>
              <w:rPr>
                <w:rFonts w:cs="" w:cstheme="majorBidi"/>
                <w:kern w:val="2"/>
                <w:szCs w:val="24"/>
              </w:rPr>
              <w:t>+370 5 212 4396</w:t>
            </w:r>
          </w:p>
        </w:tc>
      </w:tr>
      <w:tr>
        <w:trPr/>
        <w:tc>
          <w:tcPr>
            <w:tcW w:w="2360"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szCs w:val="24"/>
              </w:rPr>
            </w:pPr>
            <w:r>
              <w:rPr>
                <w:kern w:val="2"/>
                <w:szCs w:val="24"/>
              </w:rPr>
              <w:t>1.1.8. El. paštas</w:t>
            </w:r>
          </w:p>
        </w:tc>
        <w:tc>
          <w:tcPr>
            <w:tcW w:w="396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Cs w:val="24"/>
              </w:rPr>
            </w:pPr>
            <w:r>
              <w:rPr>
                <w:rFonts w:cs="" w:cstheme="majorBidi"/>
                <w:kern w:val="2"/>
                <w:szCs w:val="24"/>
              </w:rPr>
              <w:t>vtek@vtek.lt</w:t>
            </w:r>
          </w:p>
        </w:tc>
      </w:tr>
      <w:tr>
        <w:trPr/>
        <w:tc>
          <w:tcPr>
            <w:tcW w:w="2360"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szCs w:val="24"/>
              </w:rPr>
            </w:pPr>
            <w:r>
              <w:rPr>
                <w:kern w:val="2"/>
                <w:szCs w:val="24"/>
              </w:rPr>
              <w:t>1.1.9. Šalies atstovas</w:t>
            </w:r>
          </w:p>
        </w:tc>
        <w:tc>
          <w:tcPr>
            <w:tcW w:w="396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Cs w:val="24"/>
              </w:rPr>
            </w:pPr>
            <w:r>
              <w:rPr>
                <w:rFonts w:cs="" w:cstheme="majorBidi"/>
                <w:kern w:val="2"/>
                <w:szCs w:val="24"/>
              </w:rPr>
              <w:t>Gediminas Sakalauskas</w:t>
            </w:r>
          </w:p>
        </w:tc>
      </w:tr>
      <w:tr>
        <w:trPr/>
        <w:tc>
          <w:tcPr>
            <w:tcW w:w="2360"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szCs w:val="24"/>
              </w:rPr>
            </w:pPr>
            <w:r>
              <w:rPr>
                <w:kern w:val="2"/>
                <w:szCs w:val="24"/>
              </w:rPr>
              <w:t>1.1.10. Atstovavimo pagrindas</w:t>
            </w:r>
          </w:p>
        </w:tc>
        <w:tc>
          <w:tcPr>
            <w:tcW w:w="396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Cs w:val="24"/>
              </w:rPr>
            </w:pPr>
            <w:r>
              <w:rPr>
                <w:rFonts w:cs="" w:cstheme="majorBidi"/>
                <w:kern w:val="2"/>
                <w:szCs w:val="24"/>
              </w:rPr>
              <w:t>Vyriausiosios tarnybinės etikos komisijos įstatymas</w:t>
            </w:r>
          </w:p>
        </w:tc>
      </w:tr>
      <w:tr>
        <w:trPr/>
        <w:tc>
          <w:tcPr>
            <w:tcW w:w="2360" w:type="dxa"/>
            <w:vMerge w:val="restart"/>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p>
            <w:pPr>
              <w:pStyle w:val="Normal"/>
              <w:rPr>
                <w:b/>
                <w:kern w:val="2"/>
                <w:szCs w:val="24"/>
              </w:rPr>
            </w:pPr>
            <w:r>
              <w:rPr>
                <w:b/>
                <w:kern w:val="2"/>
                <w:szCs w:val="24"/>
              </w:rPr>
            </w:r>
          </w:p>
          <w:p>
            <w:pPr>
              <w:pStyle w:val="Normal"/>
              <w:rPr>
                <w:b/>
                <w:kern w:val="2"/>
                <w:szCs w:val="24"/>
              </w:rPr>
            </w:pPr>
            <w:r>
              <w:rPr>
                <w:b/>
                <w:kern w:val="2"/>
                <w:szCs w:val="24"/>
              </w:rPr>
            </w:r>
          </w:p>
          <w:p>
            <w:pPr>
              <w:pStyle w:val="Normal"/>
              <w:rPr>
                <w:b/>
                <w:kern w:val="2"/>
                <w:szCs w:val="24"/>
              </w:rPr>
            </w:pPr>
            <w:r>
              <w:rPr>
                <w:b/>
                <w:kern w:val="2"/>
                <w:szCs w:val="24"/>
              </w:rPr>
            </w:r>
          </w:p>
          <w:p>
            <w:pPr>
              <w:pStyle w:val="Normal"/>
              <w:rPr>
                <w:b/>
                <w:kern w:val="2"/>
                <w:szCs w:val="24"/>
              </w:rPr>
            </w:pPr>
            <w:r>
              <w:rPr>
                <w:b/>
                <w:kern w:val="2"/>
                <w:szCs w:val="24"/>
              </w:rPr>
              <w:t>1.2. Tiekėjas</w:t>
            </w:r>
          </w:p>
          <w:p>
            <w:pPr>
              <w:pStyle w:val="Normal"/>
              <w:rPr>
                <w:color w:val="4472C4"/>
                <w:kern w:val="2"/>
                <w:szCs w:val="24"/>
              </w:rPr>
            </w:pPr>
            <w:r>
              <w:rPr>
                <w:color w:val="4472C4"/>
                <w:kern w:val="2"/>
                <w:szCs w:val="24"/>
              </w:rPr>
            </w:r>
          </w:p>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szCs w:val="24"/>
              </w:rPr>
            </w:pPr>
            <w:r>
              <w:rPr>
                <w:kern w:val="2"/>
                <w:szCs w:val="24"/>
              </w:rPr>
              <w:t>1.2.1. Pavadinimas</w:t>
            </w:r>
          </w:p>
        </w:tc>
        <w:tc>
          <w:tcPr>
            <w:tcW w:w="396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Cs w:val="24"/>
              </w:rPr>
            </w:pPr>
            <w:r>
              <w:rPr>
                <w:rFonts w:cs="" w:cstheme="majorBidi"/>
                <w:kern w:val="2"/>
                <w:szCs w:val="24"/>
              </w:rPr>
              <w:t>UAB „Insoft“</w:t>
            </w:r>
          </w:p>
        </w:tc>
      </w:tr>
      <w:tr>
        <w:trPr/>
        <w:tc>
          <w:tcPr>
            <w:tcW w:w="2360"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szCs w:val="24"/>
              </w:rPr>
            </w:pPr>
            <w:r>
              <w:rPr>
                <w:kern w:val="2"/>
                <w:szCs w:val="24"/>
              </w:rPr>
              <w:t>1.2.2. Juridinio asmens kodas</w:t>
            </w:r>
          </w:p>
        </w:tc>
        <w:tc>
          <w:tcPr>
            <w:tcW w:w="396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Cs w:val="24"/>
              </w:rPr>
            </w:pPr>
            <w:r>
              <w:rPr>
                <w:rFonts w:cs="" w:cstheme="majorBidi"/>
                <w:kern w:val="2"/>
                <w:szCs w:val="24"/>
              </w:rPr>
              <w:t>302294870</w:t>
            </w:r>
          </w:p>
        </w:tc>
      </w:tr>
      <w:tr>
        <w:trPr/>
        <w:tc>
          <w:tcPr>
            <w:tcW w:w="2360"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szCs w:val="24"/>
              </w:rPr>
            </w:pPr>
            <w:r>
              <w:rPr>
                <w:kern w:val="2"/>
                <w:szCs w:val="24"/>
              </w:rPr>
              <w:t>1.2.3. Adresas</w:t>
            </w:r>
          </w:p>
        </w:tc>
        <w:tc>
          <w:tcPr>
            <w:tcW w:w="396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color w:val="000000"/>
              </w:rPr>
            </w:pPr>
            <w:r>
              <w:rPr>
                <w:rFonts w:cs="" w:cstheme="majorBidi"/>
                <w:color w:val="000000"/>
                <w:kern w:val="2"/>
                <w:szCs w:val="24"/>
              </w:rPr>
              <w:t>J. Rutkausko g. 6, 05132 Vilnius</w:t>
            </w:r>
          </w:p>
        </w:tc>
      </w:tr>
      <w:tr>
        <w:trPr/>
        <w:tc>
          <w:tcPr>
            <w:tcW w:w="2360"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szCs w:val="24"/>
              </w:rPr>
            </w:pPr>
            <w:r>
              <w:rPr>
                <w:kern w:val="2"/>
                <w:szCs w:val="24"/>
              </w:rPr>
              <w:t>1.2.4. PVM mokėtojo kodas</w:t>
            </w:r>
          </w:p>
        </w:tc>
        <w:tc>
          <w:tcPr>
            <w:tcW w:w="396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color w:val="000000"/>
              </w:rPr>
            </w:pPr>
            <w:r>
              <w:rPr>
                <w:rFonts w:cs="" w:cstheme="majorBidi"/>
                <w:color w:val="000000"/>
                <w:kern w:val="2"/>
                <w:szCs w:val="24"/>
              </w:rPr>
              <w:t>LT100004466518</w:t>
            </w:r>
          </w:p>
        </w:tc>
      </w:tr>
      <w:tr>
        <w:trPr/>
        <w:tc>
          <w:tcPr>
            <w:tcW w:w="2360"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szCs w:val="24"/>
              </w:rPr>
            </w:pPr>
            <w:r>
              <w:rPr>
                <w:kern w:val="2"/>
                <w:szCs w:val="24"/>
              </w:rPr>
              <w:t>1.2.5. Atsiskaitomoji sąskaita</w:t>
            </w:r>
          </w:p>
        </w:tc>
        <w:tc>
          <w:tcPr>
            <w:tcW w:w="396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color w:val="000000"/>
              </w:rPr>
            </w:pPr>
            <w:r>
              <w:rPr>
                <w:rFonts w:cs="" w:cstheme="majorBidi"/>
                <w:color w:val="000000"/>
                <w:kern w:val="2"/>
                <w:szCs w:val="24"/>
              </w:rPr>
              <w:t>LT48 7044 0600 0665 7896</w:t>
            </w:r>
          </w:p>
        </w:tc>
      </w:tr>
      <w:tr>
        <w:trPr/>
        <w:tc>
          <w:tcPr>
            <w:tcW w:w="2360"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szCs w:val="24"/>
              </w:rPr>
            </w:pPr>
            <w:r>
              <w:rPr>
                <w:kern w:val="2"/>
                <w:szCs w:val="24"/>
              </w:rPr>
              <w:t>1.2.6. Bankas, banko kodas</w:t>
            </w:r>
          </w:p>
        </w:tc>
        <w:tc>
          <w:tcPr>
            <w:tcW w:w="396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color w:val="000000"/>
              </w:rPr>
            </w:pPr>
            <w:r>
              <w:rPr>
                <w:rFonts w:cs="" w:cstheme="majorBidi"/>
                <w:color w:val="000000"/>
                <w:kern w:val="2"/>
                <w:szCs w:val="24"/>
              </w:rPr>
              <w:t>AB SEB bankas</w:t>
            </w:r>
          </w:p>
        </w:tc>
      </w:tr>
      <w:tr>
        <w:trPr/>
        <w:tc>
          <w:tcPr>
            <w:tcW w:w="2360"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szCs w:val="24"/>
              </w:rPr>
            </w:pPr>
            <w:r>
              <w:rPr>
                <w:kern w:val="2"/>
                <w:szCs w:val="24"/>
              </w:rPr>
              <w:t>1.2.7. Telefonas</w:t>
            </w:r>
          </w:p>
        </w:tc>
        <w:tc>
          <w:tcPr>
            <w:tcW w:w="396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color w:val="000000"/>
              </w:rPr>
            </w:pPr>
            <w:r>
              <w:rPr>
                <w:rFonts w:cs="" w:cstheme="majorBidi"/>
                <w:color w:val="000000"/>
                <w:kern w:val="2"/>
                <w:szCs w:val="24"/>
              </w:rPr>
              <w:t>+370 5 2100660</w:t>
            </w:r>
          </w:p>
        </w:tc>
      </w:tr>
      <w:tr>
        <w:trPr/>
        <w:tc>
          <w:tcPr>
            <w:tcW w:w="2360"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szCs w:val="24"/>
              </w:rPr>
            </w:pPr>
            <w:r>
              <w:rPr>
                <w:kern w:val="2"/>
                <w:szCs w:val="24"/>
              </w:rPr>
              <w:t>1.2.8. El. paštas</w:t>
            </w:r>
          </w:p>
        </w:tc>
        <w:tc>
          <w:tcPr>
            <w:tcW w:w="396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color w:val="000000"/>
              </w:rPr>
            </w:pPr>
            <w:r>
              <w:rPr>
                <w:rFonts w:cs="" w:cstheme="majorBidi"/>
                <w:color w:val="000000"/>
                <w:kern w:val="2"/>
                <w:szCs w:val="24"/>
              </w:rPr>
              <w:t>info@insoft.lt</w:t>
            </w:r>
          </w:p>
        </w:tc>
      </w:tr>
      <w:tr>
        <w:trPr/>
        <w:tc>
          <w:tcPr>
            <w:tcW w:w="2360"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szCs w:val="24"/>
              </w:rPr>
            </w:pPr>
            <w:r>
              <w:rPr>
                <w:kern w:val="2"/>
                <w:szCs w:val="24"/>
              </w:rPr>
              <w:t>1.2.9. Šalies atstovas</w:t>
            </w:r>
          </w:p>
        </w:tc>
        <w:tc>
          <w:tcPr>
            <w:tcW w:w="396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color w:val="000000"/>
              </w:rPr>
            </w:pPr>
            <w:r>
              <w:rPr>
                <w:rFonts w:cs="" w:cstheme="majorBidi"/>
                <w:color w:val="000000"/>
                <w:kern w:val="2"/>
                <w:szCs w:val="24"/>
              </w:rPr>
              <w:t>Mindaugas Mikulėnas</w:t>
            </w:r>
          </w:p>
        </w:tc>
      </w:tr>
      <w:tr>
        <w:trPr/>
        <w:tc>
          <w:tcPr>
            <w:tcW w:w="2360"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szCs w:val="24"/>
              </w:rPr>
            </w:pPr>
            <w:r>
              <w:rPr>
                <w:kern w:val="2"/>
                <w:szCs w:val="24"/>
              </w:rPr>
              <w:t>1.2.10. Atstovavimo pagrindas</w:t>
            </w:r>
          </w:p>
        </w:tc>
        <w:tc>
          <w:tcPr>
            <w:tcW w:w="396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Cs w:val="24"/>
              </w:rPr>
            </w:pPr>
            <w:r>
              <w:rPr>
                <w:rFonts w:cs="" w:cstheme="majorBidi"/>
                <w:kern w:val="2"/>
                <w:szCs w:val="24"/>
              </w:rPr>
              <w:t>UAB „Insoft“ įstatai</w:t>
            </w:r>
          </w:p>
        </w:tc>
      </w:tr>
    </w:tbl>
    <w:p>
      <w:pPr>
        <w:pStyle w:val="Normal"/>
        <w:jc w:val="both"/>
        <w:rPr>
          <w:szCs w:val="24"/>
        </w:rPr>
      </w:pPr>
      <w:r>
        <w:rPr>
          <w:szCs w:val="24"/>
        </w:rPr>
      </w:r>
    </w:p>
    <w:tbl>
      <w:tblPr>
        <w:tblW w:w="953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056"/>
        <w:gridCol w:w="39"/>
        <w:gridCol w:w="2130"/>
        <w:gridCol w:w="4309"/>
      </w:tblGrid>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2. ATSAKINGI ASMENYS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76"/>
              <w:rPr>
                <w:rFonts w:cs="" w:cstheme="majorBidi"/>
                <w:kern w:val="2"/>
                <w:sz w:val="22"/>
                <w:szCs w:val="22"/>
              </w:rPr>
            </w:pPr>
            <w:r>
              <w:rPr>
                <w:sz w:val="22"/>
                <w:szCs w:val="22"/>
              </w:rPr>
              <w:t xml:space="preserve">Vyriausiosios tarnybinės etikos komisijos  </w:t>
            </w:r>
            <w:r>
              <w:rPr>
                <w:rStyle w:val="Hyperlink"/>
                <w:rFonts w:cs="" w:cstheme="majorBidi"/>
                <w:kern w:val="2"/>
                <w:sz w:val="22"/>
                <w:szCs w:val="22"/>
              </w:rPr>
              <w:t>[</w:t>
            </w:r>
            <w:r>
              <w:rPr>
                <w:rStyle w:val="Hyperlink"/>
                <w:rFonts w:cs="" w:cstheme="majorBidi"/>
                <w:kern w:val="2"/>
                <w:sz w:val="22"/>
                <w:szCs w:val="22"/>
                <w:shd w:fill="CCCCCC" w:val="clear"/>
              </w:rPr>
              <w:t>uždengti asmens duomenys</w:t>
            </w:r>
            <w:r>
              <w:rPr>
                <w:rStyle w:val="Hyperlink"/>
                <w:rFonts w:cs="" w:cstheme="majorBidi"/>
                <w:kern w:val="2"/>
                <w:sz w:val="22"/>
                <w:szCs w:val="22"/>
              </w:rPr>
              <w:t>]</w:t>
            </w:r>
            <w:r>
              <w:rPr>
                <w:rFonts w:cs="" w:cstheme="majorBidi"/>
                <w:kern w:val="2"/>
                <w:sz w:val="22"/>
                <w:szCs w:val="22"/>
              </w:rPr>
              <w:t xml:space="preserve"> ;</w:t>
            </w:r>
          </w:p>
          <w:p>
            <w:pPr>
              <w:pStyle w:val="Normal"/>
              <w:spacing w:lineRule="auto" w:line="276"/>
              <w:rPr>
                <w:sz w:val="22"/>
                <w:szCs w:val="22"/>
                <w:lang w:val="en-US"/>
              </w:rPr>
            </w:pPr>
            <w:r>
              <w:rPr>
                <w:rFonts w:cs="" w:cstheme="majorBidi"/>
                <w:kern w:val="2"/>
                <w:sz w:val="22"/>
                <w:szCs w:val="22"/>
              </w:rPr>
              <w:t xml:space="preserve">Vyriausiosios tarnybinės etikos komisijos vyriausioji  </w:t>
            </w:r>
            <w:r>
              <w:rPr>
                <w:rStyle w:val="Hyperlink"/>
                <w:rFonts w:cs="" w:cstheme="majorBidi"/>
                <w:kern w:val="2"/>
                <w:sz w:val="22"/>
                <w:szCs w:val="22"/>
              </w:rPr>
              <w:t>[</w:t>
            </w:r>
            <w:r>
              <w:rPr>
                <w:rStyle w:val="Hyperlink"/>
                <w:rFonts w:cs="" w:cstheme="majorBidi"/>
                <w:kern w:val="2"/>
                <w:sz w:val="22"/>
                <w:szCs w:val="22"/>
                <w:shd w:fill="CCCCCC" w:val="clear"/>
              </w:rPr>
              <w:t>uždengti asmens duomenys</w:t>
            </w:r>
            <w:r>
              <w:rPr>
                <w:rStyle w:val="Hyperlink"/>
                <w:rFonts w:cs="" w:cstheme="majorBidi"/>
                <w:kern w:val="2"/>
                <w:sz w:val="22"/>
                <w:szCs w:val="22"/>
              </w:rPr>
              <w:t>]</w:t>
            </w:r>
            <w:r>
              <w:rPr>
                <w:rFonts w:cs="" w:cstheme="majorBidi"/>
                <w:kern w:val="2"/>
                <w:sz w:val="22"/>
                <w:szCs w:val="22"/>
              </w:rPr>
              <w:t xml:space="preserve"> </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2.2. Tiekėjo kontaktiniai asmenys, atsakingi už Sutarties vykdymą</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76"/>
              <w:rPr>
                <w:sz w:val="22"/>
                <w:szCs w:val="22"/>
              </w:rPr>
            </w:pPr>
            <w:r>
              <w:rPr>
                <w:sz w:val="22"/>
                <w:szCs w:val="22"/>
              </w:rPr>
              <w:t xml:space="preserve">UAB „Insoft“  </w:t>
            </w:r>
            <w:r>
              <w:rPr>
                <w:rStyle w:val="Hyperlink"/>
                <w:rFonts w:cs="" w:cstheme="majorBidi"/>
                <w:kern w:val="2"/>
                <w:sz w:val="22"/>
                <w:szCs w:val="22"/>
              </w:rPr>
              <w:t>[</w:t>
            </w:r>
            <w:r>
              <w:rPr>
                <w:rStyle w:val="Hyperlink"/>
                <w:rFonts w:cs="" w:cstheme="majorBidi"/>
                <w:kern w:val="2"/>
                <w:sz w:val="22"/>
                <w:szCs w:val="22"/>
                <w:shd w:fill="CCCCCC" w:val="clear"/>
              </w:rPr>
              <w:t>uždengti asmens duomenys</w:t>
            </w:r>
            <w:r>
              <w:rPr>
                <w:rStyle w:val="Hyperlink"/>
                <w:rFonts w:cs="" w:cstheme="majorBidi"/>
                <w:kern w:val="2"/>
                <w:sz w:val="22"/>
                <w:szCs w:val="22"/>
              </w:rPr>
              <w:t>]</w:t>
            </w:r>
            <w:r>
              <w:rPr>
                <w:rFonts w:cs="" w:cstheme="majorBidi"/>
                <w:kern w:val="2"/>
                <w:sz w:val="22"/>
                <w:szCs w:val="22"/>
              </w:rPr>
              <w:t xml:space="preserve"> </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3. SUTARTIES DALYKAS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3.1. Sutarties dalykas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pPr>
            <w:r>
              <w:rPr>
                <w:rFonts w:cs="" w:cstheme="majorBidi"/>
                <w:kern w:val="2"/>
                <w:sz w:val="20"/>
              </w:rPr>
              <w:t xml:space="preserve">Perkamos Paslaugos: LOBIS palaikymo paslaugos  (toliau – </w:t>
            </w:r>
            <w:r>
              <w:rPr>
                <w:rFonts w:cs="" w:cstheme="majorBidi"/>
                <w:b/>
                <w:bCs/>
                <w:kern w:val="2"/>
                <w:sz w:val="20"/>
              </w:rPr>
              <w:t>Paslaugos</w:t>
            </w:r>
            <w:r>
              <w:rPr>
                <w:rFonts w:cs="" w:cstheme="majorBidi"/>
                <w:kern w:val="2"/>
                <w:sz w:val="20"/>
              </w:rPr>
              <w:t>).</w:t>
            </w:r>
          </w:p>
          <w:p>
            <w:pPr>
              <w:pStyle w:val="Normal"/>
              <w:spacing w:lineRule="auto" w:line="276"/>
              <w:jc w:val="both"/>
              <w:rPr>
                <w:rFonts w:cs="" w:cstheme="majorBidi"/>
                <w:kern w:val="2"/>
                <w:sz w:val="20"/>
              </w:rPr>
            </w:pPr>
            <w:r>
              <w:rPr>
                <w:rFonts w:cs="" w:cstheme="majorBidi"/>
                <w:kern w:val="2"/>
                <w:sz w:val="20"/>
              </w:rPr>
            </w:r>
          </w:p>
          <w:p>
            <w:pPr>
              <w:pStyle w:val="BodyText"/>
              <w:jc w:val="both"/>
              <w:rPr>
                <w:sz w:val="20"/>
              </w:rPr>
            </w:pPr>
            <w:r>
              <w:rPr>
                <w:rFonts w:cs="" w:cstheme="majorBidi"/>
                <w:kern w:val="2"/>
                <w:sz w:val="20"/>
              </w:rPr>
              <w:t>1. LOB IS perkėlimas iš AB Lietuvos radijo ir televizijos centras į Valstybės skaitmeninių sprendimų agentūros (toliau – VSSA) duomenų centrą.</w:t>
            </w:r>
          </w:p>
          <w:p>
            <w:pPr>
              <w:pStyle w:val="BodyText"/>
              <w:jc w:val="both"/>
              <w:rPr>
                <w:rFonts w:cs="" w:cstheme="majorBidi"/>
                <w:kern w:val="2"/>
              </w:rPr>
            </w:pPr>
            <w:r>
              <w:rPr>
                <w:rFonts w:cs="" w:cstheme="majorBidi"/>
                <w:kern w:val="2"/>
              </w:rPr>
            </w:r>
          </w:p>
          <w:p>
            <w:pPr>
              <w:pStyle w:val="BodyText"/>
              <w:spacing w:before="0" w:after="283"/>
              <w:jc w:val="both"/>
              <w:rPr>
                <w:sz w:val="20"/>
              </w:rPr>
            </w:pPr>
            <w:r>
              <w:rPr>
                <w:sz w:val="20"/>
              </w:rPr>
              <w:t>2. LOB IS palaikymas bei pagal poreikį esamų funkcionalumų modernizavimas.</w:t>
            </w:r>
          </w:p>
          <w:p>
            <w:pPr>
              <w:pStyle w:val="BodyText"/>
              <w:spacing w:before="0" w:after="283"/>
              <w:jc w:val="both"/>
              <w:rPr/>
            </w:pPr>
            <w:r>
              <w:rPr>
                <w:color w:val="000000"/>
                <w:kern w:val="2"/>
                <w:sz w:val="20"/>
              </w:rPr>
              <w:t>3. Pagalba perkeliant VTEK naudojamas informacines sistemas ir interneto puslapį iš AB Lietuvos radijo ir televizijos centras į VSSA duomenų centrą (konsultavimas, dalyvavimas susitikimuose su VSSA ir Kertiniu valstybės telekomunikacijų centru, pagalba pildant virtualių mašinų užsakymus VSSA ir pan.).</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3.2. Pirkimo pavadinimas ir numeris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sz w:val="20"/>
              </w:rPr>
            </w:pPr>
            <w:r>
              <w:rPr>
                <w:sz w:val="20"/>
              </w:rPr>
              <w:t>LOBIS palaikymo paslaugos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3.3. Informacija apie Europos Sąjungos lėšomis finansuojamą projektą arba kitą projektą</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kern w:val="2"/>
                <w:szCs w:val="24"/>
              </w:rPr>
            </w:pPr>
            <w:r>
              <w:rPr>
                <w:kern w:val="2"/>
                <w:szCs w:val="24"/>
              </w:rPr>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kern w:val="2"/>
                <w:szCs w:val="24"/>
              </w:rPr>
              <w:t xml:space="preserve">Tiekėjas Paslaugas įsipareigoja teikti nuo Sutarties įsigaliojimo dienos  ir teikti </w:t>
            </w:r>
            <w:r>
              <w:rPr>
                <w:b/>
                <w:color w:val="000000"/>
                <w:kern w:val="2"/>
                <w:szCs w:val="24"/>
              </w:rPr>
              <w:t>12 mėnesių.</w:t>
            </w:r>
          </w:p>
          <w:p>
            <w:pPr>
              <w:pStyle w:val="Normal"/>
              <w:rPr>
                <w:b/>
                <w:kern w:val="2"/>
                <w:szCs w:val="24"/>
              </w:rPr>
            </w:pPr>
            <w:r>
              <w:rPr>
                <w:b/>
                <w:kern w:val="2"/>
                <w:szCs w:val="24"/>
              </w:rPr>
            </w:r>
          </w:p>
          <w:p>
            <w:pPr>
              <w:pStyle w:val="Normal"/>
              <w:widowControl w:val="false"/>
              <w:tabs>
                <w:tab w:val="clear" w:pos="1296"/>
                <w:tab w:val="left" w:pos="5760" w:leader="none"/>
              </w:tabs>
              <w:spacing w:before="0" w:after="120"/>
              <w:jc w:val="both"/>
              <w:rPr>
                <w:szCs w:val="24"/>
              </w:rPr>
            </w:pPr>
            <w:r>
              <w:rPr>
                <w:szCs w:val="24"/>
                <w:shd w:fill="FFFFFF" w:val="clear"/>
              </w:rPr>
              <w:t>Vykdomų konkrečių darbų trukmė (valandomis) yra suderinama raštu su Pirkėjo atstovais prieš atliekant paslaugas.</w:t>
            </w:r>
          </w:p>
          <w:p>
            <w:pPr>
              <w:pStyle w:val="Normal"/>
              <w:widowControl w:val="false"/>
              <w:tabs>
                <w:tab w:val="clear" w:pos="1296"/>
                <w:tab w:val="left" w:pos="5760" w:leader="none"/>
              </w:tabs>
              <w:spacing w:before="0" w:after="120"/>
              <w:jc w:val="both"/>
              <w:rPr/>
            </w:pPr>
            <w:r>
              <w:rPr>
                <w:rStyle w:val="PagrindinistekstasDiagrama"/>
                <w:color w:val="000000"/>
                <w:kern w:val="2"/>
                <w:szCs w:val="24"/>
                <w:shd w:fill="FFFFFF" w:val="clear"/>
              </w:rPr>
              <w:t xml:space="preserve"> </w:t>
            </w:r>
            <w:r>
              <w:rPr>
                <w:rStyle w:val="PagrindinistekstasDiagrama"/>
                <w:color w:val="000000"/>
                <w:kern w:val="2"/>
                <w:szCs w:val="24"/>
                <w:shd w:fill="FFFFFF" w:val="clear"/>
              </w:rPr>
              <w:t>Konkrečių darbų atlikimo terminas yra lygus darbo valandas padauginus iš penkių (pvz. konkrečių darbų atlikimo terminas yra 8 darbo valandos, tai darbų atlikimo terminas būtų 40 val. (8 val. x 5)). Terminas pradedamas skaičiuoti nuo sekančios darbo dienos. 9.00 val.</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4.2. Paslaugų / jų dalies / etapo / periodo suteikimo termino pratęsimas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t>Netaikoma</w:t>
            </w:r>
          </w:p>
          <w:p>
            <w:pPr>
              <w:pStyle w:val="Normal"/>
              <w:jc w:val="both"/>
              <w:rPr>
                <w:color w:val="4472C4"/>
                <w:kern w:val="2"/>
                <w:szCs w:val="24"/>
              </w:rPr>
            </w:pPr>
            <w:r>
              <w:rPr>
                <w:color w:val="4472C4"/>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4.3. Užsakymų teikimo tvarka</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Netaikoma</w:t>
            </w:r>
          </w:p>
        </w:tc>
      </w:tr>
      <w:tr>
        <w:trPr>
          <w:trHeight w:val="11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4.4. Dėl minimalios Užsakymo vertės ar apimties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szCs w:val="24"/>
              </w:rPr>
            </w:pPr>
            <w:r>
              <w:rPr>
                <w:szCs w:val="24"/>
              </w:rPr>
            </w:r>
          </w:p>
        </w:tc>
      </w:tr>
      <w:tr>
        <w:trPr>
          <w:trHeight w:val="1087"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4.5. Pateikiami dokumentai</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jc w:val="both"/>
              <w:rPr>
                <w:color w:val="000000"/>
              </w:rPr>
            </w:pPr>
            <w:r>
              <w:rPr>
                <w:color w:val="000000"/>
                <w:kern w:val="2"/>
                <w:szCs w:val="24"/>
              </w:rPr>
              <w:t>Turi būti pateikiami šie dokumentai: Paslaugų perdavimo-priėmimo aktas ir Sąskaita . Tiekėjui nepateikus nurodytų dokumentų, laikoma, kad Paslaugos neatitinka Sutartyje nustatytų reikalavimų.</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5. SUTARTIES KAINA IR ATSISKAITYMO TVARKA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5.1. Sutarčiai taikomas kainos apskaičiavimo būdas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Other1"/>
              <w:tabs>
                <w:tab w:val="clear" w:pos="1296"/>
                <w:tab w:val="left" w:pos="1829" w:leader="none"/>
                <w:tab w:val="left" w:pos="3130" w:leader="none"/>
                <w:tab w:val="left" w:pos="4205" w:leader="none"/>
              </w:tabs>
              <w:jc w:val="both"/>
              <w:rPr>
                <w:sz w:val="24"/>
                <w:szCs w:val="24"/>
              </w:rPr>
            </w:pPr>
            <w:r>
              <w:rPr>
                <w:i w:val="false"/>
                <w:iCs w:val="false"/>
                <w:sz w:val="24"/>
                <w:szCs w:val="24"/>
              </w:rPr>
              <w:t>Fiksuotos įkainio kainodara</w:t>
            </w:r>
          </w:p>
          <w:p>
            <w:pPr>
              <w:pStyle w:val="Other1"/>
              <w:tabs>
                <w:tab w:val="clear" w:pos="1296"/>
                <w:tab w:val="left" w:pos="1829" w:leader="none"/>
                <w:tab w:val="left" w:pos="3130" w:leader="none"/>
                <w:tab w:val="left" w:pos="4205" w:leader="none"/>
              </w:tabs>
              <w:jc w:val="both"/>
              <w:rPr>
                <w:rFonts w:cs="" w:cstheme="majorBidi"/>
                <w:i w:val="false"/>
                <w:i w:val="false"/>
                <w:iCs w:val="false"/>
                <w:sz w:val="24"/>
                <w:szCs w:val="24"/>
              </w:rPr>
            </w:pPr>
            <w:r>
              <w:rPr>
                <w:rFonts w:cs="" w:cstheme="majorBidi"/>
                <w:i w:val="false"/>
                <w:iCs w:val="false"/>
                <w:sz w:val="24"/>
                <w:szCs w:val="24"/>
              </w:rPr>
            </w:r>
          </w:p>
          <w:p>
            <w:pPr>
              <w:pStyle w:val="Other1"/>
              <w:tabs>
                <w:tab w:val="clear" w:pos="1296"/>
                <w:tab w:val="left" w:pos="1829" w:leader="none"/>
                <w:tab w:val="left" w:pos="3130" w:leader="none"/>
                <w:tab w:val="left" w:pos="4205" w:leader="none"/>
              </w:tabs>
              <w:jc w:val="both"/>
              <w:rPr/>
            </w:pPr>
            <w:r>
              <w:rPr>
                <w:rStyle w:val="Other"/>
                <w:rFonts w:cs="" w:cstheme="majorBidi"/>
                <w:kern w:val="2"/>
                <w:sz w:val="24"/>
                <w:szCs w:val="24"/>
              </w:rPr>
              <w:t>Kainodara nustatoma vadovaujantis Kainodaros taisyklių nustatymo metodika, patvirtinta Viešųjų pirkimų tarnybos direktoriaus 2017 m. birželio 28 d. įsakymu Nr. 1S- 95 „Dėl kainodaros taisyklių nustatymo metodikos patvirtinimo“.</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pPr>
            <w:r>
              <w:rPr>
                <w:color w:val="4472C4"/>
                <w:kern w:val="2"/>
                <w:szCs w:val="24"/>
              </w:rPr>
              <w:t xml:space="preserve"> </w:t>
            </w:r>
            <w:r>
              <w:rPr>
                <w:rStyle w:val="Other"/>
                <w:i w:val="false"/>
                <w:iCs w:val="false"/>
                <w:kern w:val="2"/>
                <w:szCs w:val="24"/>
              </w:rPr>
              <w:t>Paslaugų fiksuotas valandinis įkainis yra 65,00 Eur (šešiasdešimt penki eurai, 0 ct) be pridėtinės vertės mokesčio (toliau – PVM).</w:t>
            </w:r>
          </w:p>
          <w:p>
            <w:pPr>
              <w:pStyle w:val="Normal"/>
              <w:rPr/>
            </w:pPr>
            <w:r>
              <w:rPr>
                <w:rStyle w:val="Other"/>
                <w:i w:val="false"/>
                <w:iCs w:val="false"/>
                <w:kern w:val="2"/>
                <w:szCs w:val="24"/>
              </w:rPr>
              <w:t>Maksimali Sutarties kaina yra 14 900 eurų be PVM.</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76"/>
              <w:rPr>
                <w:szCs w:val="24"/>
              </w:rPr>
            </w:pPr>
            <w:r>
              <w:rPr>
                <w:rFonts w:cs="" w:cstheme="majorBidi"/>
                <w:kern w:val="2"/>
                <w:szCs w:val="24"/>
              </w:rPr>
              <w:t>Sutarties kaina bus perskaičiuojami:</w:t>
            </w:r>
          </w:p>
          <w:p>
            <w:pPr>
              <w:pStyle w:val="Normal"/>
              <w:spacing w:lineRule="auto" w:line="276"/>
              <w:rPr>
                <w:szCs w:val="24"/>
              </w:rPr>
            </w:pPr>
            <w:r>
              <w:rPr>
                <w:rFonts w:cs="" w:cstheme="majorBidi"/>
                <w:kern w:val="2"/>
                <w:szCs w:val="24"/>
              </w:rPr>
              <w:t>5.3.1. dėl PVM tarifo pasikeitimo;</w:t>
            </w:r>
          </w:p>
          <w:p>
            <w:pPr>
              <w:pStyle w:val="Normal"/>
              <w:spacing w:lineRule="auto" w:line="276"/>
              <w:rPr>
                <w:color w:val="000000"/>
                <w:szCs w:val="24"/>
              </w:rPr>
            </w:pPr>
            <w:r>
              <w:rPr>
                <w:rFonts w:cs="" w:cstheme="majorBidi"/>
                <w:color w:val="000000"/>
                <w:kern w:val="2"/>
                <w:szCs w:val="24"/>
                <w:shd w:fill="FFFFFF" w:val="clear"/>
              </w:rPr>
              <w:t>5.3.2. dėl kainų lygio p</w:t>
            </w:r>
            <w:r>
              <w:rPr>
                <w:rFonts w:cs="" w:cstheme="majorBidi"/>
                <w:color w:val="000000"/>
                <w:kern w:val="2"/>
                <w:szCs w:val="24"/>
              </w:rPr>
              <w:t>okyčio.</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5.3.1. Sutarties kainos / įkainių peržiūra dėl PVM tarifo pasikeitimo</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szCs w:val="24"/>
              </w:rPr>
            </w:pPr>
            <w:r>
              <w:rPr>
                <w:rFonts w:cs="" w:cstheme="majorBidi"/>
                <w:kern w:val="2"/>
                <w:szCs w:val="24"/>
              </w:rPr>
              <w:t>Jeigu Sutarties vykdymo metu pasikeičia PVM mokėjimą reglamentuojantys teisės aktai, darantys tiesioginę įtaką Tiekėjo tiekiamų Paslaugų Sutartyje nurodytai kainai / įkainiams, Sutarties kaina / įkainiai perskaičiuojami nekeičiant Paslaugų kainos / įkainio be PVM.</w:t>
            </w:r>
          </w:p>
          <w:p>
            <w:pPr>
              <w:pStyle w:val="Normal"/>
              <w:spacing w:lineRule="auto" w:line="276"/>
              <w:jc w:val="both"/>
              <w:rPr>
                <w:rFonts w:cs="" w:cstheme="majorBidi"/>
                <w:kern w:val="2"/>
                <w:szCs w:val="24"/>
              </w:rPr>
            </w:pPr>
            <w:r>
              <w:rPr>
                <w:rFonts w:cs="" w:cstheme="majorBidi"/>
                <w:kern w:val="2"/>
                <w:szCs w:val="24"/>
              </w:rPr>
            </w:r>
          </w:p>
          <w:p>
            <w:pPr>
              <w:pStyle w:val="Normal"/>
              <w:spacing w:lineRule="auto" w:line="276"/>
              <w:jc w:val="both"/>
              <w:rPr>
                <w:szCs w:val="24"/>
              </w:rPr>
            </w:pPr>
            <w:r>
              <w:rPr>
                <w:rFonts w:cs="" w:cstheme="majorBidi"/>
                <w:kern w:val="2"/>
                <w:szCs w:val="24"/>
              </w:rPr>
              <w:t>Perskaičiavimas įforminamas Susitarimu ne vėliau kaip per 30 dienų nuo PVM mokėjimą reglamentuojančių teisės aktų pasikeitimo, kuris tampa neatskiriama Sutarties dalimi. Perskaičiuota (-as) Sutarties kaina / įkainis taikoma (-as) už tą Paslaugų dalį, kurios bus tiekiamos nuo Šalių pasirašyto Susitarimo įsigaliojimo dienos.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Cs/>
                <w:kern w:val="2"/>
                <w:szCs w:val="24"/>
              </w:rPr>
            </w:pPr>
            <w:r>
              <w:rPr>
                <w:b/>
                <w:bCs/>
                <w:kern w:val="2"/>
                <w:szCs w:val="24"/>
              </w:rPr>
              <w:t>5.3.3. Sutarties kainos / įkainių peržiūra dėl kainų lygio pokyčio</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rFonts w:eastAsia="Calibri" w:cs="" w:asciiTheme="majorBidi" w:cstheme="majorBidi" w:eastAsiaTheme="minorHAnsi" w:hAnsiTheme="majorBidi"/>
                <w:sz w:val="20"/>
              </w:rPr>
            </w:pPr>
            <w:r>
              <w:rPr>
                <w:rFonts w:eastAsia="Calibri" w:cs="" w:cstheme="majorBidi" w:eastAsiaTheme="minorHAnsi"/>
                <w:sz w:val="20"/>
              </w:rPr>
              <w:t>B</w:t>
            </w:r>
            <w:r>
              <w:rPr>
                <w:rFonts w:eastAsia="Calibri" w:cs="" w:cstheme="majorBidi" w:eastAsiaTheme="minorHAnsi"/>
                <w:szCs w:val="24"/>
              </w:rPr>
              <w:t>et kuri šalis turi teisę inicijuoti Sutarties kainos / įkainių perskaičiavimą ne anksčiau kaip po 12 (dvylikos) mėnesių nuo Sutarties įsigaliojimo dienos (jeigu perskaičiavimas jau buvo atliktas – nuo paskutinio perskaičiavimo pagal šį punktą dienos) arba tuo atveju, jeigu Sutartis sudaryta trumpesniam nei 12 (dvylikos) mėnesių terminui, praėjus ne trumpiau nei 6 (šešiems) mėnesiams Sutarties vykdymo laiko, jeigu Lietuvos Statistikos Departamento viešai Oficialiosios statistikos portale</w:t>
            </w:r>
            <w:r>
              <w:rPr>
                <w:rStyle w:val="FootnoteReference"/>
                <w:rFonts w:eastAsia="Calibri" w:cs="" w:cstheme="majorBidi" w:eastAsiaTheme="minorHAnsi"/>
                <w:szCs w:val="24"/>
              </w:rPr>
              <w:footnoteReference w:id="2"/>
            </w:r>
            <w:r>
              <w:rPr>
                <w:rFonts w:eastAsia="Calibri" w:cs="" w:cstheme="majorBidi" w:eastAsiaTheme="minorHAnsi"/>
                <w:szCs w:val="24"/>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pPr>
              <w:pStyle w:val="Normal"/>
              <w:spacing w:lineRule="auto" w:line="276"/>
              <w:rPr>
                <w:rFonts w:eastAsia="Calibri" w:cs="" w:cstheme="majorBidi" w:eastAsiaTheme="minorHAnsi"/>
                <w:szCs w:val="24"/>
              </w:rPr>
            </w:pPr>
            <w:r>
              <w:rPr>
                <w:rFonts w:eastAsia="Calibri" w:cs="" w:cstheme="majorBidi" w:eastAsiaTheme="minorHAnsi"/>
                <w:szCs w:val="24"/>
              </w:rPr>
            </w:r>
          </w:p>
          <w:p>
            <w:pPr>
              <w:pStyle w:val="Normal"/>
              <w:widowControl w:val="false"/>
              <w:tabs>
                <w:tab w:val="clear" w:pos="1296"/>
                <w:tab w:val="left" w:pos="709" w:leader="none"/>
              </w:tabs>
              <w:spacing w:lineRule="auto" w:line="276" w:before="0" w:after="160"/>
              <w:jc w:val="both"/>
              <w:rPr>
                <w:szCs w:val="24"/>
              </w:rPr>
            </w:pPr>
            <w:r>
              <w:rPr>
                <w:rFonts w:eastAsia="Calibri" w:cs="" w:cstheme="majorBidi" w:eastAsiaTheme="minorHAnsi"/>
                <w:szCs w:val="24"/>
              </w:rPr>
              <w:t>Sutarties kainos / įkainių peržiūra atliekama ne dažniau, kaip kas 6 (šešis) mėnesius. Sutarties kaina / įkainiai yra peržiūrimi tik tai Sutarties daliai, kuri nėra išpirkta, t. y. Paslaugoms, kurioms nėra priimtos ir apmokėtos. Vėlesnė Sutarties kainos / įkainių peržiūra negali apimti laikotarpio, už kurį jau buvo atlikta peržiūra.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pPr>
              <w:pStyle w:val="Normal"/>
              <w:spacing w:lineRule="auto" w:line="276"/>
              <w:jc w:val="both"/>
              <w:rPr>
                <w:szCs w:val="24"/>
              </w:rPr>
            </w:pPr>
            <w:r>
              <w:rPr>
                <w:rFonts w:eastAsia="Calibri" w:cs="" w:cstheme="majorBidi" w:eastAsiaTheme="minorHAnsi"/>
                <w:szCs w:val="24"/>
              </w:rPr>
              <w:t xml:space="preserve">Atlikdamos perskaičiavimą Šalys vadovaujasi Lietuvos Statistikos Departamento viešai Oficialiosios statistikos portale paskelbtais Rodiklių duomenų bazės duomenimis </w:t>
            </w:r>
            <w:r>
              <w:rPr>
                <w:rFonts w:eastAsia="Calibri" w:cs="" w:cstheme="majorBidi" w:eastAsiaTheme="minorHAnsi"/>
                <w:kern w:val="2"/>
                <w:szCs w:val="24"/>
              </w:rPr>
              <w:t>„Vartojimo prekės ir paslaugos“</w:t>
            </w:r>
            <w:r>
              <w:rPr>
                <w:rFonts w:eastAsia="Calibri" w:cs="" w:cstheme="majorBidi" w:eastAsiaTheme="minorHAnsi"/>
                <w:szCs w:val="24"/>
              </w:rPr>
              <w:t>,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pPr>
              <w:pStyle w:val="Normal"/>
              <w:spacing w:lineRule="auto" w:line="276"/>
              <w:rPr>
                <w:rFonts w:cs="" w:asciiTheme="majorBidi" w:cstheme="majorBidi" w:hAnsiTheme="majorBidi"/>
                <w:szCs w:val="24"/>
              </w:rPr>
            </w:pPr>
            <w:r>
              <w:rPr>
                <w:rFonts w:cs="" w:asciiTheme="majorBidi" w:cstheme="majorBidi" w:hAnsiTheme="majorBidi"/>
                <w:szCs w:val="24"/>
              </w:rPr>
            </w:r>
          </w:p>
          <w:p>
            <w:pPr>
              <w:pStyle w:val="Normal"/>
              <w:widowControl w:val="false"/>
              <w:tabs>
                <w:tab w:val="clear" w:pos="1296"/>
                <w:tab w:val="left" w:pos="709" w:leader="none"/>
              </w:tabs>
              <w:spacing w:lineRule="auto" w:line="276" w:before="0" w:after="160"/>
              <w:jc w:val="both"/>
              <w:rPr>
                <w:szCs w:val="24"/>
              </w:rPr>
            </w:pPr>
            <w:r>
              <w:rPr>
                <w:rFonts w:eastAsia="Calibri" w:cs="" w:cstheme="majorBidi" w:eastAsiaTheme="minorHAnsi"/>
                <w:szCs w:val="24"/>
              </w:rPr>
              <w:t>Nauja Sutarties kaina / įkainiai apskaičiuojami pagal žemiau pateiktą formulę:</w:t>
            </w:r>
          </w:p>
          <w:tbl>
            <w:tblPr>
              <w:tblW w:w="671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716"/>
            </w:tblGrid>
            <w:tr>
              <w:trPr/>
              <w:tc>
                <w:tcPr>
                  <w:tcW w:w="6716" w:type="dxa"/>
                  <w:tcBorders/>
                </w:tcPr>
                <w:p>
                  <w:pPr>
                    <w:pStyle w:val="Normal"/>
                    <w:widowControl w:val="false"/>
                    <w:tabs>
                      <w:tab w:val="clear" w:pos="1296"/>
                      <w:tab w:val="left" w:pos="709" w:leader="none"/>
                    </w:tabs>
                    <w:spacing w:lineRule="auto" w:line="276"/>
                    <w:jc w:val="both"/>
                    <w:rPr>
                      <w:rFonts w:eastAsia="" w:cs="" w:asciiTheme="majorBidi" w:cstheme="majorBidi" w:eastAsiaTheme="minorEastAsia" w:hAnsiTheme="majorBidi"/>
                      <w:sz w:val="18"/>
                      <w:szCs w:val="18"/>
                    </w:rPr>
                  </w:pPr>
                  <w:r>
                    <w:rPr>
                      <w:rFonts w:eastAsia="" w:cs="" w:asciiTheme="majorBidi" w:cstheme="majorBidi" w:eastAsiaTheme="minorEastAsia" w:hAnsiTheme="majorBidi"/>
                      <w:sz w:val="18"/>
                      <w:szCs w:val="18"/>
                    </w:rPr>
                  </w:r>
                </w:p>
                <w:p>
                  <w:pPr>
                    <w:pStyle w:val="Normal"/>
                    <w:widowControl w:val="false"/>
                    <w:tabs>
                      <w:tab w:val="clear" w:pos="1296"/>
                      <w:tab w:val="left" w:pos="709" w:leader="none"/>
                    </w:tabs>
                    <w:spacing w:lineRule="auto" w:line="276"/>
                    <w:jc w:val="center"/>
                    <w:rPr>
                      <w:rFonts w:eastAsia="" w:cs="" w:asciiTheme="majorBidi" w:cstheme="majorBidi" w:eastAsiaTheme="minorEastAsia" w:hAnsiTheme="majorBidi"/>
                      <w:sz w:val="18"/>
                      <w:szCs w:val="18"/>
                    </w:rPr>
                  </w:pPr>
                  <w:r>
                    <w:rPr/>
                  </w:r>
                  <m:oMathPara xmlns:m="http://schemas.openxmlformats.org/officeDocument/2006/math">
                    <m:oMathParaPr>
                      <m:jc m:val="center"/>
                    </m:oMathParaPr>
                    <m:oMath>
                      <m:sSub>
                        <m:e>
                          <m:r>
                            <w:rPr>
                              <w:rFonts w:ascii="Cambria Math" w:hAnsi="Cambria Math"/>
                            </w:rPr>
                            <m:t xml:space="preserve">a</m:t>
                          </m:r>
                        </m:e>
                        <m:sub>
                          <m:r>
                            <w:rPr>
                              <w:rFonts w:ascii="Cambria Math" w:hAnsi="Cambria Math"/>
                            </w:rPr>
                            <m:t xml:space="preserve">1</m:t>
                          </m:r>
                        </m:sub>
                      </m:sSub>
                      <m:r>
                        <w:rPr>
                          <w:rFonts w:ascii="Cambria Math" w:hAnsi="Cambria Math"/>
                        </w:rPr>
                        <m:t xml:space="preserve">=</m:t>
                      </m:r>
                      <m:r>
                        <w:rPr>
                          <w:rFonts w:ascii="Cambria Math" w:hAnsi="Cambria Math"/>
                        </w:rPr>
                        <m:t xml:space="preserve">a</m:t>
                      </m:r>
                      <m:r>
                        <w:rPr>
                          <w:rFonts w:ascii="Cambria Math" w:hAnsi="Cambria Math"/>
                        </w:rPr>
                        <m:t xml:space="preserve">+</m:t>
                      </m:r>
                      <m:d>
                        <m:dPr>
                          <m:begChr m:val="("/>
                          <m:endChr m:val=")"/>
                        </m:dPr>
                        <m:e>
                          <m:f>
                            <m:num>
                              <m:r>
                                <w:rPr>
                                  <w:rFonts w:ascii="Cambria Math" w:hAnsi="Cambria Math"/>
                                </w:rPr>
                                <m:t xml:space="preserve">k</m:t>
                              </m:r>
                            </m:num>
                            <m:den>
                              <m:r>
                                <w:rPr>
                                  <w:rFonts w:ascii="Cambria Math" w:hAnsi="Cambria Math"/>
                                </w:rPr>
                                <m:t xml:space="preserve">100</m:t>
                              </m:r>
                            </m:den>
                          </m:f>
                          <m:r>
                            <w:rPr>
                              <w:rFonts w:ascii="Cambria Math" w:hAnsi="Cambria Math"/>
                            </w:rPr>
                            <m:t xml:space="preserve">×</m:t>
                          </m:r>
                          <m:r>
                            <w:rPr>
                              <w:rFonts w:ascii="Cambria Math" w:hAnsi="Cambria Math"/>
                            </w:rPr>
                            <m:t xml:space="preserve">a</m:t>
                          </m:r>
                        </m:e>
                      </m:d>
                    </m:oMath>
                  </m:oMathPara>
                </w:p>
                <w:p>
                  <w:pPr>
                    <w:pStyle w:val="Normal"/>
                    <w:widowControl w:val="false"/>
                    <w:tabs>
                      <w:tab w:val="clear" w:pos="1296"/>
                      <w:tab w:val="left" w:pos="709" w:leader="none"/>
                    </w:tabs>
                    <w:spacing w:lineRule="auto" w:line="276"/>
                    <w:jc w:val="both"/>
                    <w:rPr>
                      <w:rFonts w:eastAsia="" w:cs="" w:asciiTheme="majorBidi" w:cstheme="majorBidi" w:eastAsiaTheme="minorEastAsia" w:hAnsiTheme="majorBidi"/>
                      <w:sz w:val="18"/>
                      <w:szCs w:val="18"/>
                    </w:rPr>
                  </w:pPr>
                  <w:r>
                    <w:rPr>
                      <w:rFonts w:eastAsia="" w:cs="" w:asciiTheme="majorBidi" w:cstheme="majorBidi" w:eastAsiaTheme="minorEastAsia" w:hAnsiTheme="majorBidi"/>
                      <w:sz w:val="18"/>
                      <w:szCs w:val="18"/>
                    </w:rPr>
                  </w:r>
                </w:p>
              </w:tc>
            </w:tr>
            <w:tr>
              <w:trPr/>
              <w:tc>
                <w:tcPr>
                  <w:tcW w:w="6716" w:type="dxa"/>
                  <w:tcBorders/>
                </w:tcPr>
                <w:p>
                  <w:pPr>
                    <w:pStyle w:val="Normal"/>
                    <w:spacing w:lineRule="auto" w:line="276"/>
                    <w:jc w:val="right"/>
                    <w:textAlignment w:val="baseline"/>
                    <w:rPr>
                      <w:rFonts w:cs="" w:asciiTheme="majorBidi" w:cstheme="majorBidi" w:hAnsiTheme="majorBidi"/>
                      <w:kern w:val="2"/>
                      <w:sz w:val="18"/>
                      <w:szCs w:val="18"/>
                    </w:rPr>
                  </w:pPr>
                  <w:r>
                    <w:rPr>
                      <w:rFonts w:cs="" w:cstheme="majorBidi"/>
                      <w:i/>
                      <w:iCs/>
                      <w:color w:themeColor="text1" w:val="000000"/>
                      <w:kern w:val="2"/>
                      <w:sz w:val="18"/>
                      <w:szCs w:val="18"/>
                    </w:rPr>
                    <w:t xml:space="preserve">a </w:t>
                  </w:r>
                  <w:r>
                    <w:rPr>
                      <w:rFonts w:cs="" w:cstheme="majorBidi"/>
                      <w:color w:themeColor="text1" w:val="000000"/>
                      <w:kern w:val="2"/>
                      <w:sz w:val="18"/>
                      <w:szCs w:val="18"/>
                    </w:rPr>
                    <w:t>– kaina / įkainis (Eur be PVM) (jei peržiūra jau buvo atlikta, tai po paskutinio perskaičiavimo)</w:t>
                  </w:r>
                </w:p>
                <w:p>
                  <w:pPr>
                    <w:pStyle w:val="Normal"/>
                    <w:spacing w:lineRule="auto" w:line="276"/>
                    <w:jc w:val="right"/>
                    <w:textAlignment w:val="baseline"/>
                    <w:rPr>
                      <w:rFonts w:cs="" w:asciiTheme="majorBidi" w:cstheme="majorBidi" w:hAnsiTheme="majorBidi"/>
                      <w:kern w:val="2"/>
                      <w:sz w:val="18"/>
                      <w:szCs w:val="18"/>
                    </w:rPr>
                  </w:pPr>
                  <w:r>
                    <w:rPr>
                      <w:rFonts w:cs="" w:cstheme="majorBidi"/>
                      <w:i/>
                      <w:iCs/>
                      <w:color w:themeColor="text1" w:val="000000"/>
                      <w:kern w:val="2"/>
                      <w:sz w:val="18"/>
                      <w:szCs w:val="18"/>
                    </w:rPr>
                    <w:t>a</w:t>
                  </w:r>
                  <w:r>
                    <w:rPr>
                      <w:rFonts w:cs="" w:cstheme="majorBidi"/>
                      <w:i/>
                      <w:iCs/>
                      <w:color w:themeColor="text1" w:val="000000"/>
                      <w:kern w:val="2"/>
                      <w:sz w:val="18"/>
                      <w:szCs w:val="18"/>
                      <w:vertAlign w:val="subscript"/>
                    </w:rPr>
                    <w:t>1</w:t>
                  </w:r>
                  <w:r>
                    <w:rPr>
                      <w:rFonts w:cs="" w:cstheme="majorBidi"/>
                      <w:color w:themeColor="text1" w:val="000000"/>
                      <w:kern w:val="2"/>
                      <w:sz w:val="18"/>
                      <w:szCs w:val="18"/>
                    </w:rPr>
                    <w:t xml:space="preserve"> – perskaičiuota (pakeista) kaina / įkainis (Eur be PVM)</w:t>
                  </w:r>
                </w:p>
                <w:p>
                  <w:pPr>
                    <w:pStyle w:val="Normal"/>
                    <w:widowControl w:val="false"/>
                    <w:tabs>
                      <w:tab w:val="clear" w:pos="1296"/>
                      <w:tab w:val="left" w:pos="709" w:leader="none"/>
                    </w:tabs>
                    <w:spacing w:lineRule="auto" w:line="276"/>
                    <w:jc w:val="right"/>
                    <w:rPr>
                      <w:rFonts w:eastAsia="Calibri" w:cs="" w:asciiTheme="majorBidi" w:cstheme="majorBidi" w:eastAsiaTheme="minorHAnsi" w:hAnsiTheme="majorBidi"/>
                      <w:kern w:val="2"/>
                      <w:sz w:val="18"/>
                      <w:szCs w:val="18"/>
                    </w:rPr>
                  </w:pPr>
                  <w:r>
                    <w:rPr>
                      <w:rFonts w:eastAsia="Calibri" w:cs="" w:cstheme="majorBidi" w:eastAsiaTheme="minorHAnsi"/>
                      <w:i/>
                      <w:iCs/>
                      <w:color w:themeColor="text1" w:val="000000"/>
                      <w:kern w:val="2"/>
                      <w:sz w:val="18"/>
                      <w:szCs w:val="18"/>
                    </w:rPr>
                    <w:t>k</w:t>
                  </w:r>
                  <w:r>
                    <w:rPr>
                      <w:rFonts w:eastAsia="Calibri" w:cs="" w:cstheme="majorBidi" w:eastAsiaTheme="minorHAnsi"/>
                      <w:color w:themeColor="text1" w:val="000000"/>
                      <w:kern w:val="2"/>
                      <w:sz w:val="18"/>
                      <w:szCs w:val="18"/>
                    </w:rPr>
                    <w:t xml:space="preserve"> – pagal vartotojų kainų indeksą „Vartojimo prekės ir paslaugos“ apskaičiuotas Vartojimo prekių ir paslaugų kainų pokytis (padidėjimas arba sumažėjimas) (%),</w:t>
                  </w:r>
                </w:p>
                <w:p>
                  <w:pPr>
                    <w:pStyle w:val="Normal"/>
                    <w:widowControl w:val="false"/>
                    <w:tabs>
                      <w:tab w:val="clear" w:pos="1296"/>
                      <w:tab w:val="left" w:pos="709" w:leader="none"/>
                    </w:tabs>
                    <w:spacing w:lineRule="auto" w:line="276"/>
                    <w:rPr>
                      <w:rFonts w:eastAsia="Calibri" w:cs="" w:asciiTheme="majorBidi" w:cstheme="majorBidi" w:eastAsiaTheme="minorHAnsi" w:hAnsiTheme="majorBidi"/>
                      <w:kern w:val="2"/>
                      <w:sz w:val="18"/>
                      <w:szCs w:val="18"/>
                    </w:rPr>
                  </w:pPr>
                  <w:r>
                    <w:rPr>
                      <w:rFonts w:eastAsia="Calibri" w:cs="" w:cstheme="majorBidi" w:eastAsiaTheme="minorHAnsi"/>
                      <w:color w:themeColor="text1" w:val="000000"/>
                      <w:kern w:val="2"/>
                      <w:sz w:val="18"/>
                      <w:szCs w:val="18"/>
                    </w:rPr>
                    <w:t>„</w:t>
                  </w:r>
                  <w:r>
                    <w:rPr>
                      <w:rFonts w:eastAsia="Calibri" w:cs="" w:cstheme="majorBidi" w:eastAsiaTheme="minorHAnsi"/>
                      <w:color w:themeColor="text1" w:val="000000"/>
                      <w:kern w:val="2"/>
                      <w:sz w:val="18"/>
                      <w:szCs w:val="18"/>
                    </w:rPr>
                    <w:t>k“ reikšmė apskaičiuojama pagal tokią formulę:</w:t>
                  </w:r>
                </w:p>
              </w:tc>
            </w:tr>
            <w:tr>
              <w:trPr/>
              <w:tc>
                <w:tcPr>
                  <w:tcW w:w="6716" w:type="dxa"/>
                  <w:tcBorders/>
                </w:tcPr>
                <w:p>
                  <w:pPr>
                    <w:pStyle w:val="Normal"/>
                    <w:widowControl w:val="false"/>
                    <w:tabs>
                      <w:tab w:val="clear" w:pos="1296"/>
                      <w:tab w:val="left" w:pos="709" w:leader="none"/>
                    </w:tabs>
                    <w:spacing w:lineRule="auto" w:line="276"/>
                    <w:jc w:val="both"/>
                    <w:rPr>
                      <w:rFonts w:cs="" w:asciiTheme="majorBidi" w:cstheme="majorBidi" w:hAnsiTheme="majorBidi"/>
                      <w:sz w:val="18"/>
                      <w:szCs w:val="18"/>
                    </w:rPr>
                  </w:pPr>
                  <w:r>
                    <w:rPr>
                      <w:rFonts w:cs="" w:asciiTheme="majorBidi" w:cstheme="majorBidi" w:hAnsiTheme="majorBidi"/>
                      <w:sz w:val="18"/>
                      <w:szCs w:val="18"/>
                    </w:rPr>
                  </w:r>
                </w:p>
                <w:p>
                  <w:pPr>
                    <w:pStyle w:val="Normal"/>
                    <w:widowControl w:val="false"/>
                    <w:tabs>
                      <w:tab w:val="clear" w:pos="1296"/>
                      <w:tab w:val="left" w:pos="709" w:leader="none"/>
                    </w:tabs>
                    <w:spacing w:lineRule="auto" w:line="276"/>
                    <w:jc w:val="center"/>
                    <w:rPr>
                      <w:rFonts w:eastAsia="" w:cs="" w:asciiTheme="majorBidi" w:cstheme="majorBidi" w:eastAsiaTheme="minorEastAsia" w:hAnsiTheme="majorBidi"/>
                      <w:sz w:val="18"/>
                      <w:szCs w:val="18"/>
                    </w:rPr>
                  </w:pPr>
                  <w:r>
                    <w:rPr/>
                  </w:r>
                  <m:oMathPara xmlns:m="http://schemas.openxmlformats.org/officeDocument/2006/math">
                    <m:oMathParaPr>
                      <m:jc m:val="center"/>
                    </m:oMathParaPr>
                    <m:oMath>
                      <m:r>
                        <w:rPr>
                          <w:rFonts w:ascii="Cambria Math" w:hAnsi="Cambria Math"/>
                        </w:rPr>
                        <m:t xml:space="preserve">k</m:t>
                      </m:r>
                      <m:r>
                        <w:rPr>
                          <w:rFonts w:ascii="Cambria Math" w:hAnsi="Cambria Math"/>
                        </w:rPr>
                        <m:t xml:space="preserve">=</m:t>
                      </m:r>
                      <m:f>
                        <m:num>
                          <m:sSub>
                            <m:e>
                              <m:r>
                                <w:rPr>
                                  <w:rFonts w:ascii="Cambria Math" w:hAnsi="Cambria Math"/>
                                </w:rPr>
                                <m:t xml:space="preserve">Ind</m:t>
                              </m:r>
                            </m:e>
                            <m:sub>
                              <m:r>
                                <w:rPr>
                                  <w:rFonts w:ascii="Cambria Math" w:hAnsi="Cambria Math"/>
                                </w:rPr>
                                <m:t xml:space="preserve">naujausias</m:t>
                              </m:r>
                            </m:sub>
                          </m:sSub>
                        </m:num>
                        <m:den>
                          <m:sSub>
                            <m:e>
                              <m:r>
                                <w:rPr>
                                  <w:rFonts w:ascii="Cambria Math" w:hAnsi="Cambria Math"/>
                                </w:rPr>
                                <m:t xml:space="preserve">Ind</m:t>
                              </m:r>
                            </m:e>
                            <m:sub>
                              <m:r>
                                <w:rPr>
                                  <w:rFonts w:ascii="Cambria Math" w:hAnsi="Cambria Math"/>
                                </w:rPr>
                                <m:t xml:space="preserve">pradžia</m:t>
                              </m:r>
                            </m:sub>
                          </m:sSub>
                        </m:den>
                      </m:f>
                      <m:r>
                        <w:rPr>
                          <w:rFonts w:ascii="Cambria Math" w:hAnsi="Cambria Math"/>
                        </w:rPr>
                        <m:t xml:space="preserve">×</m:t>
                      </m:r>
                      <m:r>
                        <w:rPr>
                          <w:rFonts w:ascii="Cambria Math" w:hAnsi="Cambria Math"/>
                        </w:rPr>
                        <m:t xml:space="preserve">100</m:t>
                      </m:r>
                      <m:r>
                        <w:rPr>
                          <w:rFonts w:ascii="Cambria Math" w:hAnsi="Cambria Math"/>
                        </w:rPr>
                        <m:t xml:space="preserve">−</m:t>
                      </m:r>
                      <m:r>
                        <w:rPr>
                          <w:rFonts w:ascii="Cambria Math" w:hAnsi="Cambria Math"/>
                        </w:rPr>
                        <m:t xml:space="preserve">100</m:t>
                      </m:r>
                    </m:oMath>
                  </m:oMathPara>
                </w:p>
                <w:p>
                  <w:pPr>
                    <w:pStyle w:val="Normal"/>
                    <w:widowControl w:val="false"/>
                    <w:tabs>
                      <w:tab w:val="clear" w:pos="1296"/>
                      <w:tab w:val="left" w:pos="709" w:leader="none"/>
                    </w:tabs>
                    <w:spacing w:lineRule="auto" w:line="276"/>
                    <w:jc w:val="both"/>
                    <w:rPr>
                      <w:rFonts w:eastAsia="Calibri" w:cs="" w:asciiTheme="majorBidi" w:cstheme="majorBidi" w:eastAsiaTheme="minorHAnsi" w:hAnsiTheme="majorBidi"/>
                      <w:sz w:val="18"/>
                      <w:szCs w:val="18"/>
                    </w:rPr>
                  </w:pPr>
                  <w:r>
                    <w:rPr>
                      <w:rFonts w:eastAsia="Calibri" w:cs="" w:asciiTheme="majorBidi" w:cstheme="majorBidi" w:eastAsiaTheme="minorHAnsi" w:hAnsiTheme="majorBidi"/>
                      <w:sz w:val="18"/>
                      <w:szCs w:val="18"/>
                    </w:rPr>
                  </w:r>
                </w:p>
              </w:tc>
            </w:tr>
            <w:tr>
              <w:trPr/>
              <w:tc>
                <w:tcPr>
                  <w:tcW w:w="6716" w:type="dxa"/>
                  <w:tcBorders/>
                </w:tcPr>
                <w:p>
                  <w:pPr>
                    <w:pStyle w:val="Normal"/>
                    <w:spacing w:lineRule="auto" w:line="276"/>
                    <w:jc w:val="right"/>
                    <w:textAlignment w:val="baseline"/>
                    <w:rPr>
                      <w:rFonts w:cs="" w:asciiTheme="majorBidi" w:cstheme="majorBidi" w:hAnsiTheme="majorBidi"/>
                      <w:kern w:val="2"/>
                      <w:sz w:val="18"/>
                      <w:szCs w:val="18"/>
                    </w:rPr>
                  </w:pPr>
                  <w:r>
                    <w:rPr>
                      <w:rFonts w:cs="" w:cstheme="majorBidi"/>
                      <w:i/>
                      <w:iCs/>
                      <w:color w:themeColor="text1" w:val="000000"/>
                      <w:kern w:val="2"/>
                      <w:sz w:val="18"/>
                      <w:szCs w:val="18"/>
                    </w:rPr>
                    <w:t>Ind</w:t>
                  </w:r>
                  <w:r>
                    <w:rPr>
                      <w:rFonts w:cs="" w:cstheme="majorBidi"/>
                      <w:i/>
                      <w:iCs/>
                      <w:color w:themeColor="text1" w:val="000000"/>
                      <w:kern w:val="2"/>
                      <w:sz w:val="18"/>
                      <w:szCs w:val="18"/>
                      <w:vertAlign w:val="subscript"/>
                    </w:rPr>
                    <w:t>naujausias</w:t>
                  </w:r>
                  <w:r>
                    <w:rPr>
                      <w:rFonts w:cs="" w:cstheme="majorBidi"/>
                      <w:color w:themeColor="text1" w:val="000000"/>
                      <w:kern w:val="2"/>
                      <w:sz w:val="18"/>
                      <w:szCs w:val="18"/>
                    </w:rPr>
                    <w:t xml:space="preserve"> – kreipimosi dėl kainos / įkainių peržiūros išsiuntimo kitai šaliai dieną paskelbtas naujausias Vartotojų kainų indeksas „Vartojimo prekės ir paslaugos“</w:t>
                  </w:r>
                </w:p>
                <w:p>
                  <w:pPr>
                    <w:pStyle w:val="Normal"/>
                    <w:widowControl w:val="false"/>
                    <w:tabs>
                      <w:tab w:val="clear" w:pos="1296"/>
                      <w:tab w:val="left" w:pos="709" w:leader="none"/>
                    </w:tabs>
                    <w:spacing w:lineRule="auto" w:line="276"/>
                    <w:jc w:val="right"/>
                    <w:rPr>
                      <w:rFonts w:eastAsia="Calibri" w:cs="" w:asciiTheme="majorBidi" w:cstheme="majorBidi" w:eastAsiaTheme="minorHAnsi" w:hAnsiTheme="majorBidi"/>
                      <w:sz w:val="18"/>
                      <w:szCs w:val="18"/>
                    </w:rPr>
                  </w:pPr>
                  <w:r>
                    <w:rPr>
                      <w:rFonts w:eastAsia="Calibri" w:cs="" w:cstheme="majorBidi" w:eastAsiaTheme="minorHAnsi"/>
                      <w:i/>
                      <w:iCs/>
                      <w:color w:themeColor="text1" w:val="000000"/>
                      <w:kern w:val="2"/>
                      <w:sz w:val="18"/>
                      <w:szCs w:val="18"/>
                    </w:rPr>
                    <w:t>Ind</w:t>
                  </w:r>
                  <w:r>
                    <w:rPr>
                      <w:rFonts w:eastAsia="Calibri" w:cs="" w:cstheme="majorBidi" w:eastAsiaTheme="minorHAnsi"/>
                      <w:i/>
                      <w:iCs/>
                      <w:color w:themeColor="text1" w:val="000000"/>
                      <w:kern w:val="2"/>
                      <w:sz w:val="18"/>
                      <w:szCs w:val="18"/>
                      <w:vertAlign w:val="subscript"/>
                    </w:rPr>
                    <w:t>pradžia</w:t>
                  </w:r>
                  <w:r>
                    <w:rPr>
                      <w:rFonts w:eastAsia="Calibri" w:cs="" w:cstheme="majorBidi" w:eastAsiaTheme="minorHAnsi"/>
                      <w:color w:themeColor="text1" w:val="000000"/>
                      <w:kern w:val="2"/>
                      <w:sz w:val="18"/>
                      <w:szCs w:val="18"/>
                    </w:rPr>
                    <w:t xml:space="preserve"> – laikotarpio pradžios datos (mėnesio) Vartotojų kainų indeksas „Vartojimo prekės ir paslaugos“</w:t>
                  </w:r>
                </w:p>
              </w:tc>
            </w:tr>
          </w:tbl>
          <w:p>
            <w:pPr>
              <w:pStyle w:val="Normal"/>
              <w:spacing w:lineRule="auto" w:line="276"/>
              <w:rPr>
                <w:rFonts w:cs="" w:asciiTheme="majorBidi" w:cstheme="majorBidi" w:hAnsiTheme="majorBidi"/>
                <w:sz w:val="20"/>
              </w:rPr>
            </w:pPr>
            <w:r>
              <w:rPr>
                <w:rFonts w:cs="" w:asciiTheme="majorBidi" w:cstheme="majorBidi" w:hAnsiTheme="majorBidi"/>
                <w:sz w:val="20"/>
              </w:rPr>
            </w:r>
          </w:p>
          <w:p>
            <w:pPr>
              <w:pStyle w:val="Normal"/>
              <w:widowControl w:val="false"/>
              <w:tabs>
                <w:tab w:val="clear" w:pos="1296"/>
                <w:tab w:val="left" w:pos="709" w:leader="none"/>
              </w:tabs>
              <w:spacing w:lineRule="auto" w:line="276" w:before="0" w:after="160"/>
              <w:jc w:val="both"/>
              <w:rPr>
                <w:szCs w:val="24"/>
              </w:rPr>
            </w:pPr>
            <w:r>
              <w:rPr>
                <w:rFonts w:eastAsia="Calibri" w:cs="" w:cstheme="majorBidi" w:eastAsiaTheme="minorHAnsi"/>
                <w:szCs w:val="24"/>
              </w:rPr>
              <w:t>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pPr>
              <w:pStyle w:val="Normal"/>
              <w:widowControl w:val="false"/>
              <w:tabs>
                <w:tab w:val="clear" w:pos="1296"/>
                <w:tab w:val="left" w:pos="709" w:leader="none"/>
              </w:tabs>
              <w:spacing w:lineRule="auto" w:line="276" w:before="0" w:after="160"/>
              <w:jc w:val="both"/>
              <w:rPr>
                <w:rFonts w:eastAsia="Calibri" w:cs="" w:asciiTheme="majorBidi" w:cstheme="majorBidi" w:eastAsiaTheme="minorHAnsi" w:hAnsiTheme="majorBidi"/>
                <w:szCs w:val="24"/>
              </w:rPr>
            </w:pPr>
            <w:r>
              <w:rPr>
                <w:rFonts w:eastAsia="Calibri" w:cs="" w:asciiTheme="majorBidi" w:cstheme="majorBidi" w:eastAsiaTheme="minorHAnsi" w:hAnsiTheme="majorBidi"/>
                <w:szCs w:val="24"/>
              </w:rPr>
            </w:r>
          </w:p>
          <w:p>
            <w:pPr>
              <w:pStyle w:val="Normal"/>
              <w:widowControl w:val="false"/>
              <w:tabs>
                <w:tab w:val="clear" w:pos="1296"/>
                <w:tab w:val="left" w:pos="709" w:leader="none"/>
              </w:tabs>
              <w:spacing w:lineRule="auto" w:line="276" w:before="0" w:after="160"/>
              <w:jc w:val="both"/>
              <w:rPr>
                <w:szCs w:val="24"/>
              </w:rPr>
            </w:pPr>
            <w:r>
              <w:rPr>
                <w:rFonts w:eastAsia="Calibri" w:cs="" w:cstheme="majorBidi" w:eastAsiaTheme="minorHAnsi"/>
                <w:szCs w:val="24"/>
              </w:rPr>
              <w:t>Šalis, siekianti Sutarties kainos / įkainių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kita svarbi informacija. Prašyme Šalis neturi teisės nurodyti kito indekso ar prašyti perskaičiavimo pagal kitą indeksą nei nurodytas šiame skyriuje.</w:t>
            </w:r>
          </w:p>
          <w:p>
            <w:pPr>
              <w:pStyle w:val="Normal"/>
              <w:spacing w:lineRule="auto" w:line="276"/>
              <w:jc w:val="both"/>
              <w:rPr/>
            </w:pPr>
            <w:r>
              <w:rPr>
                <w:rFonts w:eastAsia="Calibri" w:cs="" w:cstheme="majorBidi" w:eastAsiaTheme="minorHAnsi"/>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kern w:val="2"/>
                <w:szCs w:val="24"/>
              </w:rPr>
            </w:pPr>
            <w:r>
              <w:rPr>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kern w:val="2"/>
                <w:szCs w:val="24"/>
              </w:rPr>
            </w:pPr>
            <w:r>
              <w:rPr>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5.5. Atsiskaitymo su Tiekėju terminas ir tvarka</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 xml:space="preserve">Pirkėjas atsiskaito su Tiekėju ne vėliau kaip per </w:t>
            </w:r>
            <w:r>
              <w:rPr>
                <w:color w:val="4472C4"/>
                <w:kern w:val="2"/>
                <w:szCs w:val="24"/>
              </w:rPr>
              <w:t>30</w:t>
            </w:r>
            <w:r>
              <w:rPr>
                <w:kern w:val="2"/>
                <w:szCs w:val="24"/>
              </w:rPr>
              <w:t xml:space="preserve"> nuo Sąskaitos gavimo dienos.</w:t>
            </w:r>
          </w:p>
          <w:p>
            <w:pPr>
              <w:pStyle w:val="Normal"/>
              <w:rPr>
                <w:color w:val="000000"/>
                <w:kern w:val="2"/>
                <w:szCs w:val="24"/>
                <w:shd w:fill="FFFFFF" w:val="clear"/>
              </w:rPr>
            </w:pPr>
            <w:r>
              <w:rPr>
                <w:color w:val="000000"/>
                <w:kern w:val="2"/>
                <w:szCs w:val="24"/>
                <w:shd w:fill="FFFFFF" w:val="clear"/>
              </w:rPr>
              <w:t>Apmokėjimo sąlygos: įvykdžius Užsakymą, mokama už konkretų  apimtį pagal nustatytus įkainius.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5.6. Avansas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5.7. Avanso užtikrinimas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6. PASLAUGŲ KOKYBĖ IR GARANTINIAI ĮSIPAREIGOJIMAI</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6.1. Garantinis terminas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color w:val="4472C4"/>
                <w:szCs w:val="24"/>
              </w:rPr>
            </w:pPr>
            <w:r>
              <w:rPr>
                <w:b/>
                <w:bCs/>
              </w:rPr>
              <w:t>Paslaugoms</w:t>
            </w:r>
            <w:r>
              <w:rPr>
                <w:szCs w:val="24"/>
              </w:rPr>
              <w:t xml:space="preserve"> </w:t>
            </w:r>
            <w:r>
              <w:rPr>
                <w:kern w:val="2"/>
              </w:rPr>
              <w:t>taikomas</w:t>
            </w:r>
            <w:r>
              <w:rPr>
                <w:color w:val="0070C0"/>
              </w:rPr>
              <w:t xml:space="preserve"> </w:t>
            </w:r>
            <w:r>
              <w:rPr>
                <w:kern w:val="2"/>
              </w:rPr>
              <w:t>garantinis terminas, kur</w:t>
            </w:r>
            <w:r>
              <w:rPr>
                <w:color w:val="000000"/>
                <w:kern w:val="2"/>
              </w:rPr>
              <w:t xml:space="preserve">is yra 24 mėnesiai. </w:t>
            </w:r>
            <w:r>
              <w:rPr>
                <w:color w:val="000000"/>
                <w:kern w:val="2"/>
                <w:szCs w:val="24"/>
              </w:rPr>
              <w:t xml:space="preserve"> </w:t>
            </w:r>
            <w:r>
              <w:rPr>
                <w:color w:val="000000"/>
                <w:kern w:val="2"/>
              </w:rPr>
              <w:t xml:space="preserve">Garantinis terminas skaičiuojamas nuo </w:t>
            </w:r>
            <w:r>
              <w:rPr>
                <w:color w:val="000000"/>
              </w:rPr>
              <w:t>Paslaugų</w:t>
            </w:r>
            <w:r>
              <w:rPr>
                <w:color w:val="000000"/>
                <w:kern w:val="2"/>
              </w:rPr>
              <w:t xml:space="preserve"> perdavimo–priėmimo akto ar Sąskaitos (kai </w:t>
            </w:r>
            <w:r>
              <w:rPr>
                <w:color w:val="000000"/>
              </w:rPr>
              <w:t>Pas</w:t>
            </w:r>
            <w:r>
              <w:rPr/>
              <w:t>laugų</w:t>
            </w:r>
            <w:r>
              <w:rPr>
                <w:kern w:val="2"/>
              </w:rPr>
              <w:t xml:space="preserve"> perdavimo–priėmimo aktas nėra pasirašomas) pasirašymo dienos.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szCs w:val="24"/>
              </w:rPr>
              <w:t>6.2. Terminas Paslaugų trūkumams pašalinti</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 xml:space="preserve">Sutartyje nurodytu garantinio termino laikotarpiu nustačius Paslaugų trūkumų, Tiekėjas turi </w:t>
            </w:r>
            <w:r>
              <w:rPr>
                <w:b/>
                <w:kern w:val="2"/>
                <w:szCs w:val="24"/>
              </w:rPr>
              <w:t>ne vėliau kaip</w:t>
            </w:r>
            <w:r>
              <w:rPr>
                <w:kern w:val="2"/>
                <w:szCs w:val="24"/>
              </w:rPr>
              <w:t xml:space="preserve"> pe</w:t>
            </w:r>
            <w:r>
              <w:rPr>
                <w:color w:val="000000"/>
                <w:kern w:val="2"/>
                <w:szCs w:val="24"/>
              </w:rPr>
              <w:t xml:space="preserve">r 30 dienų </w:t>
            </w:r>
            <w:r>
              <w:rPr>
                <w:kern w:val="2"/>
                <w:szCs w:val="24"/>
              </w:rPr>
              <w:t>nuo rašytinės pretenzijos gavimo dienos pašalinti Paslaugų trūkumus.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szCs w:val="24"/>
              </w:rPr>
            </w:pPr>
            <w:r>
              <w:rPr>
                <w:b/>
                <w:szCs w:val="24"/>
              </w:rPr>
              <w:t>6.3. Kokybinių kriterijų įgyvendinimo ir tikrinimo tvarka</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color w:val="4472C4"/>
                <w:kern w:val="2"/>
                <w:szCs w:val="24"/>
              </w:rPr>
            </w:pPr>
            <w:r>
              <w:rPr>
                <w:kern w:val="2"/>
                <w:szCs w:val="24"/>
              </w:rPr>
              <w:t>Netaikoma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7. SUTARTIES VYKDYMUI PASITELKIAMI SUBTIEKĖJAI IR (AR) SPECIALISTAI</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bCs/>
                <w:kern w:val="2"/>
                <w:szCs w:val="24"/>
              </w:rPr>
            </w:pPr>
            <w:r>
              <w:rPr>
                <w:b/>
                <w:bCs/>
                <w:kern w:val="2"/>
                <w:szCs w:val="24"/>
              </w:rPr>
              <w:t>7.1. Sutarties vykdymui pasitelkiami subtiekėjai ir (ar) specialistai</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Sutarties vykdymui subtiekėjai ir (ar) specialistai nepasitelkiami.</w:t>
            </w:r>
          </w:p>
          <w:p>
            <w:pPr>
              <w:pStyle w:val="Normal"/>
              <w:rPr>
                <w:kern w:val="2"/>
                <w:szCs w:val="24"/>
              </w:rPr>
            </w:pPr>
            <w:r>
              <w:rPr>
                <w:kern w:val="2"/>
                <w:szCs w:val="24"/>
              </w:rPr>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8. PRIEVOLIŲ PAGAL SUTARTĮ ĮVYKDYMO UŽTIKRINIMAS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8.1. Prievolių pagal Sutartį įvykdymo užtikrinimas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Prievolių pagal Sutartį įvykdymas užtikrinamas netesybomis (delspinigiais, bauda)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8.2 Sutarties įvykdymo užtikrinimo galiojimo terminas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kern w:val="2"/>
                <w:szCs w:val="24"/>
              </w:rPr>
            </w:pPr>
            <w:r>
              <w:rPr>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8.3. Sutarties įvykdymo užtikrinimo pateikimas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kern w:val="2"/>
                <w:szCs w:val="24"/>
              </w:rPr>
            </w:pPr>
            <w:r>
              <w:rPr>
                <w:kern w:val="2"/>
                <w:szCs w:val="24"/>
              </w:rPr>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9. ŠALIŲ ATSAKOMYBĖ</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szCs w:val="24"/>
              </w:rPr>
            </w:pPr>
            <w:r>
              <w:rPr>
                <w:b/>
                <w:kern w:val="2"/>
                <w:szCs w:val="24"/>
              </w:rPr>
              <w:t>9.1. Pirkėjui taikomos netesybos už mokėjimų pagal Sutartį vėlavimą</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szCs w:val="24"/>
              </w:rPr>
            </w:pPr>
            <w:r>
              <w:rPr>
                <w:rFonts w:cs="" w:cstheme="majorBidi"/>
                <w:bCs/>
                <w:color w:val="000000"/>
                <w:kern w:val="2"/>
                <w:szCs w:val="24"/>
              </w:rPr>
              <w:t>Jei Pirkėjas, gavęs tinkamai pateiktą ir užpildytą Sąskaitą, uždelsia atsiskaityti už tinkamai Tiekėjo suteiktas ir perduotas Paslaugas per Sutartyje nurodytą terminą, Tiekėjas nuo kitos, nei nustatytas terminas, dienos skaičiuoja Pirkėjui 0,02 (dvi šimtosios) procento dydžio delspinigius nuo neapmokėtos sumos be PVM už kiekvieną vėlavimo dieną.</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szCs w:val="24"/>
              </w:rPr>
            </w:pPr>
            <w:r>
              <w:rPr>
                <w:b/>
                <w:szCs w:val="24"/>
              </w:rPr>
              <w:t>9.2. Tiekėjui taikomos netesybos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296"/>
                <w:tab w:val="left" w:pos="0" w:leader="none"/>
                <w:tab w:val="left" w:pos="561" w:leader="none"/>
              </w:tabs>
              <w:jc w:val="both"/>
              <w:rPr>
                <w:szCs w:val="24"/>
              </w:rPr>
            </w:pPr>
            <w:r>
              <w:rPr>
                <w:kern w:val="2"/>
                <w:szCs w:val="24"/>
              </w:rPr>
              <w:t>Jei Paslaugų teikėjas dėl savo kaltės vėluoja įvykdyti sutartinius įsipareigojimus per Sutartyje nustatytą terminą, Pirkėjas be oficialaus įspėjimo ir neprarasdamas teisės į kitas savo teisių gynimo priemones pagal Sutartį gali pradėti skaičiuoti 10 eurų didžio delspinigius už kiekvieną vėluojama suteikti paslaugų darbo valandą. Delspinigius Paslaugų tiekėjas privalo sumokėti per 5 darbo dienų, nuo pareikalavimo delspinigius sumokėti dienos.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bCs/>
                <w:kern w:val="2"/>
                <w:szCs w:val="24"/>
              </w:rPr>
            </w:pPr>
            <w:r>
              <w:rPr>
                <w:bCs/>
                <w:kern w:val="2"/>
                <w:szCs w:val="24"/>
              </w:rPr>
              <w:t>9.3.</w:t>
            </w:r>
            <w:r>
              <w:rPr>
                <w:bCs/>
                <w:color w:val="000000"/>
                <w:kern w:val="2"/>
                <w:szCs w:val="24"/>
              </w:rPr>
              <w:t xml:space="preserve">1. Nutraukus Sutartį dėl esminio Sutarties pažeidimo, mokama 1500 Eur </w:t>
            </w:r>
            <w:r>
              <w:rPr>
                <w:bCs/>
                <w:kern w:val="2"/>
                <w:szCs w:val="24"/>
              </w:rPr>
              <w:t>dydžio bauda.</w:t>
            </w:r>
          </w:p>
          <w:p>
            <w:pPr>
              <w:pStyle w:val="Normal"/>
              <w:rPr>
                <w:bCs/>
                <w:szCs w:val="24"/>
              </w:rPr>
            </w:pPr>
            <w:r>
              <w:rPr>
                <w:bCs/>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bCs/>
                <w:color w:val="000000"/>
                <w:kern w:val="2"/>
                <w:szCs w:val="24"/>
              </w:rPr>
            </w:pPr>
            <w:r>
              <w:rPr>
                <w:bCs/>
                <w:color w:val="000000"/>
                <w:kern w:val="2"/>
                <w:szCs w:val="24"/>
              </w:rPr>
              <w:t>Netaikoma</w:t>
            </w:r>
          </w:p>
          <w:p>
            <w:pPr>
              <w:pStyle w:val="Normal"/>
              <w:rPr>
                <w:bCs/>
                <w:kern w:val="2"/>
                <w:szCs w:val="24"/>
              </w:rPr>
            </w:pPr>
            <w:r>
              <w:rPr>
                <w:bCs/>
                <w:kern w:val="2"/>
                <w:szCs w:val="24"/>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9.5. Tiekėjui taikomos baudos dėl aplinkosauginių ir (arba) socialinių kriterijų nesilaikymo</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bCs/>
                <w:color w:val="000000"/>
                <w:kern w:val="2"/>
                <w:szCs w:val="24"/>
              </w:rPr>
            </w:pPr>
            <w:r>
              <w:rPr>
                <w:bCs/>
                <w:color w:val="000000"/>
                <w:kern w:val="2"/>
                <w:szCs w:val="24"/>
              </w:rPr>
              <w:t>Netaikoma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9.6. Tiekėjui / Pirkėjui taikoma bauda dėl konfidencialumo reikalavimų nesilaikymo</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bCs/>
                <w:kern w:val="2"/>
                <w:szCs w:val="24"/>
              </w:rPr>
            </w:pPr>
            <w:r>
              <w:rPr>
                <w:bCs/>
                <w:kern w:val="2"/>
                <w:szCs w:val="24"/>
              </w:rPr>
              <w:t>Netaikoma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rPr>
              <w:t>9.7. Tiekėjui taikomos netesybos dėl pirkimo dokumentuose nustatytų Kokybinių kriterijų nepasiekimo Sutarties vykdymo metu</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szCs w:val="24"/>
              </w:rPr>
            </w:pPr>
            <w:r>
              <w:rPr>
                <w:bCs/>
                <w:szCs w:val="24"/>
              </w:rPr>
              <w:t>Netaikoma</w:t>
            </w:r>
          </w:p>
        </w:tc>
      </w:tr>
      <w:tr>
        <w:trPr>
          <w:trHeight w:val="1212"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9.8. Tiekėjui taikomos netesybos dėl Sutarties įvykdymo užtikrinimo </w:t>
            </w:r>
            <w:r>
              <w:rPr>
                <w:b/>
                <w:szCs w:val="24"/>
              </w:rPr>
              <w:t>nepratęsimo</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szCs w:val="24"/>
              </w:rPr>
            </w:pPr>
            <w:r>
              <w:rPr>
                <w:bCs/>
                <w:kern w:val="2"/>
                <w:szCs w:val="24"/>
              </w:rPr>
              <w:t>Netaikoma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szCs w:val="24"/>
              </w:rPr>
            </w:pPr>
            <w:r>
              <w:rPr>
                <w:bCs/>
                <w:kern w:val="2"/>
                <w:szCs w:val="24"/>
              </w:rPr>
              <w:t>Netaikoma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lang w:val="en-US"/>
              </w:rPr>
            </w:pPr>
            <w:r>
              <w:rPr>
                <w:b/>
                <w:kern w:val="2"/>
                <w:szCs w:val="24"/>
                <w:lang w:val="en-US"/>
              </w:rPr>
              <w:t xml:space="preserve">9.10. </w:t>
            </w:r>
            <w:r>
              <w:rPr>
                <w:b/>
                <w:kern w:val="2"/>
                <w:szCs w:val="24"/>
              </w:rPr>
              <w:t>Kitos netesybos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1296"/>
                <w:tab w:val="left" w:pos="993" w:leader="none"/>
                <w:tab w:val="left" w:pos="1418" w:leader="none"/>
              </w:tabs>
              <w:jc w:val="both"/>
              <w:rPr>
                <w:color w:val="000000"/>
                <w:szCs w:val="24"/>
              </w:rPr>
            </w:pPr>
            <w:r>
              <w:rPr>
                <w:rFonts w:eastAsia="Arial Unicode MS"/>
                <w:bCs/>
                <w:color w:val="000000"/>
                <w:kern w:val="2"/>
                <w:szCs w:val="24"/>
              </w:rPr>
              <w:t>Netesybas Paslaugų tiekėjas privalo sumokėti per 5 darbo dienas, Paslaugų gavėjui pareikalavus. Jei Paslaugų tiekėjas per nurodytą terminą netesybų nesumoka, Paslaugų gavėjas turi teisę netesybas išskaičiuoti iš mokėtinų sumų.</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szCs w:val="24"/>
              </w:rPr>
            </w:pPr>
            <w:r>
              <w:rPr>
                <w:b/>
                <w:kern w:val="2"/>
                <w:szCs w:val="24"/>
              </w:rPr>
              <w:t>10. ESMINĖS SUTARTIES SĄLYGOS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lang w:val="en-US"/>
              </w:rPr>
            </w:pPr>
            <w:r>
              <w:rPr>
                <w:b/>
                <w:kern w:val="2"/>
                <w:szCs w:val="24"/>
                <w:lang w:val="en-US"/>
              </w:rPr>
              <w:t xml:space="preserve">10.1. </w:t>
            </w:r>
            <w:r>
              <w:rPr>
                <w:b/>
                <w:kern w:val="2"/>
                <w:szCs w:val="24"/>
              </w:rPr>
              <w:t>Esminės Sutarties sąlygos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szCs w:val="24"/>
              </w:rPr>
            </w:pPr>
            <w:r>
              <w:rPr>
                <w:rFonts w:cs="" w:cstheme="majorBidi"/>
                <w:kern w:val="2"/>
                <w:szCs w:val="24"/>
              </w:rPr>
              <w:t>10.1.1. Sutarties įkainiai;</w:t>
            </w:r>
          </w:p>
          <w:p>
            <w:pPr>
              <w:pStyle w:val="Normal"/>
              <w:spacing w:lineRule="auto" w:line="276"/>
              <w:jc w:val="both"/>
              <w:rPr>
                <w:szCs w:val="24"/>
              </w:rPr>
            </w:pPr>
            <w:r>
              <w:rPr>
                <w:rFonts w:eastAsia="Arial" w:cs="" w:cstheme="majorBidi"/>
                <w:kern w:val="2"/>
                <w:szCs w:val="24"/>
              </w:rPr>
              <w:t>10.1.2. prievolių vykdymo terminai.</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bCs/>
              </w:rPr>
              <w:t>10.2. Dideli arba nuolatiniai esminės Sutarties sąlygos vykdymo trūkumai</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76"/>
              <w:jc w:val="both"/>
              <w:textAlignment w:val="baseline"/>
              <w:rPr>
                <w:szCs w:val="24"/>
              </w:rPr>
            </w:pPr>
            <w:r>
              <w:rPr>
                <w:rFonts w:eastAsia="Arial"/>
                <w:szCs w:val="24"/>
              </w:rPr>
              <w:t>10.2.1. Paslaugos visai nesuteikiamos dėl Paslaugų tiekėjo kaltės;</w:t>
            </w:r>
          </w:p>
          <w:p>
            <w:pPr>
              <w:pStyle w:val="Normal"/>
              <w:spacing w:lineRule="auto" w:line="276"/>
              <w:jc w:val="both"/>
              <w:textAlignment w:val="baseline"/>
              <w:rPr>
                <w:szCs w:val="24"/>
              </w:rPr>
            </w:pPr>
            <w:r>
              <w:rPr>
                <w:rFonts w:eastAsia="Arial"/>
                <w:szCs w:val="24"/>
              </w:rPr>
              <w:t xml:space="preserve">10.2.2. Paslaugų tiekėjas vėluoja paslaugas  </w:t>
            </w:r>
            <w:r>
              <w:rPr>
                <w:rFonts w:eastAsia="Arial" w:cs="" w:cstheme="majorBidi"/>
                <w:kern w:val="2"/>
                <w:szCs w:val="24"/>
              </w:rPr>
              <w:t>2 (du) kartus iš eilės arba vėluoja suteikti Paslaugas daugiau nei 10 dienų negu Sutartyje nustatytas Paslaugų suteikimo terminas.</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11. SUTARTIES GALIOJIMAS IR KEITIMAS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szCs w:val="24"/>
              </w:rPr>
              <w:t>11.1. Sutarties sudarymas ir įsigaliojimas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Ši Sutartis laikoma sudaryta ir įsigalioja nuo Sutarties pasirašymo dienos (antrosios Šalies pasirašymo dieną).</w:t>
            </w:r>
          </w:p>
          <w:p>
            <w:pPr>
              <w:pStyle w:val="Normal"/>
              <w:rPr>
                <w:color w:val="4472C4"/>
                <w:kern w:val="2"/>
                <w:szCs w:val="24"/>
              </w:rPr>
            </w:pPr>
            <w:r>
              <w:rPr>
                <w:color w:val="000000"/>
                <w:kern w:val="2"/>
                <w:szCs w:val="24"/>
              </w:rPr>
              <w:t>Sutartis galioja iki visiško prievolių įvykdymo (kol bus išnaudota Pradinės Sutarties vertė, bet jos terminas negali būti ilgesnis kaip 12 mėnesių.</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11.2. Sutarties galiojimo termino pratęsimas</w:t>
            </w:r>
          </w:p>
        </w:tc>
        <w:tc>
          <w:tcPr>
            <w:tcW w:w="6439"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kern w:val="2"/>
                <w:szCs w:val="24"/>
              </w:rPr>
            </w:pPr>
            <w:r>
              <w:rPr>
                <w:kern w:val="2"/>
                <w:szCs w:val="24"/>
              </w:rPr>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12. SUTARTIES NUTRAUKIMAS</w:t>
            </w:r>
          </w:p>
        </w:tc>
      </w:tr>
      <w:tr>
        <w:trPr>
          <w:trHeight w:val="300" w:hRule="atLeast"/>
        </w:trPr>
        <w:tc>
          <w:tcPr>
            <w:tcW w:w="3056"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12.1. Sutarties nutraukimo pagrindai</w:t>
            </w:r>
          </w:p>
        </w:tc>
        <w:tc>
          <w:tcPr>
            <w:tcW w:w="6478" w:type="dxa"/>
            <w:gridSpan w:val="3"/>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Sutartis gali būti nutraukiama rašytiniu Šalių susitarimu arba vienašališkai, Bendrosiose sąlygose nustatyta tvarka.</w:t>
            </w:r>
          </w:p>
        </w:tc>
      </w:tr>
      <w:tr>
        <w:trPr>
          <w:trHeight w:val="300" w:hRule="atLeast"/>
        </w:trPr>
        <w:tc>
          <w:tcPr>
            <w:tcW w:w="3056"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12.2. Esminiai Sutarties </w:t>
            </w:r>
            <w:r>
              <w:rPr>
                <w:b/>
                <w:szCs w:val="24"/>
              </w:rPr>
              <w:t>pažeidimai</w:t>
            </w:r>
          </w:p>
        </w:tc>
        <w:tc>
          <w:tcPr>
            <w:tcW w:w="6478"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szCs w:val="24"/>
              </w:rPr>
            </w:pPr>
            <w:r>
              <w:rPr>
                <w:rFonts w:cs="" w:cstheme="majorBidi"/>
                <w:kern w:val="2"/>
                <w:szCs w:val="24"/>
              </w:rPr>
              <w:t>12.2.1. jeigu Tiekėjas nevykdo prisiimtų įsipareigojimų už Sutartyje nustatytą Sutarties kainą / įkainius;</w:t>
            </w:r>
          </w:p>
          <w:p>
            <w:pPr>
              <w:pStyle w:val="Normal"/>
              <w:spacing w:lineRule="auto" w:line="276"/>
              <w:jc w:val="both"/>
              <w:rPr>
                <w:szCs w:val="24"/>
              </w:rPr>
            </w:pPr>
            <w:r>
              <w:rPr>
                <w:rFonts w:eastAsia="Arial" w:cs="" w:cstheme="majorBidi"/>
                <w:kern w:val="2"/>
                <w:szCs w:val="24"/>
              </w:rPr>
              <w:t>12.2.2. jeigu Tiekėjas nesilaiko Sutartyje nustatytų Paslaugų teikimo terminų 2 (du) kartus iš eilės arba vėluoja suteikti Paslaugas daugiau nei 10 dienų negu Sutartyje nustatytas Paslaugų suteikimo terminas;</w:t>
            </w:r>
          </w:p>
          <w:p>
            <w:pPr>
              <w:pStyle w:val="Normal"/>
              <w:tabs>
                <w:tab w:val="clear" w:pos="1296"/>
                <w:tab w:val="left" w:pos="567" w:leader="none"/>
                <w:tab w:val="left" w:pos="851" w:leader="none"/>
                <w:tab w:val="left" w:pos="992" w:leader="none"/>
                <w:tab w:val="left" w:pos="1134" w:leader="none"/>
              </w:tabs>
              <w:spacing w:lineRule="auto" w:line="276"/>
              <w:jc w:val="both"/>
              <w:rPr>
                <w:szCs w:val="24"/>
              </w:rPr>
            </w:pPr>
            <w:r>
              <w:rPr>
                <w:rFonts w:eastAsia="Arial" w:cs="" w:cstheme="majorBidi"/>
                <w:kern w:val="2"/>
                <w:szCs w:val="24"/>
              </w:rPr>
              <w:t>12.2.3. jeigu Tiekėjas pažeidžia Paslaugų suteikimo terminus ir priskaičiuotų netesybų už vėlavimą suma viršija 10 (dešimt) proc. Pradinės sutarties vertės;</w:t>
            </w:r>
          </w:p>
          <w:p>
            <w:pPr>
              <w:pStyle w:val="Normal"/>
              <w:tabs>
                <w:tab w:val="clear" w:pos="1296"/>
                <w:tab w:val="left" w:pos="567" w:leader="none"/>
                <w:tab w:val="left" w:pos="851" w:leader="none"/>
                <w:tab w:val="left" w:pos="992" w:leader="none"/>
                <w:tab w:val="left" w:pos="1134" w:leader="none"/>
              </w:tabs>
              <w:spacing w:lineRule="auto" w:line="276"/>
              <w:jc w:val="both"/>
              <w:rPr>
                <w:szCs w:val="24"/>
              </w:rPr>
            </w:pPr>
            <w:r>
              <w:rPr>
                <w:rFonts w:eastAsia="Arial" w:cs="" w:cstheme="majorBidi"/>
                <w:kern w:val="2"/>
                <w:szCs w:val="24"/>
              </w:rPr>
              <w:t>12.2.4. Tiekėjas pažeidžia Paslaugų suteikimo terminus ir dėl to Paslaugos tampa nebereikalingos;</w:t>
            </w:r>
          </w:p>
          <w:p>
            <w:pPr>
              <w:pStyle w:val="Normal"/>
              <w:tabs>
                <w:tab w:val="clear" w:pos="1296"/>
                <w:tab w:val="left" w:pos="567" w:leader="none"/>
                <w:tab w:val="left" w:pos="851" w:leader="none"/>
                <w:tab w:val="left" w:pos="992" w:leader="none"/>
                <w:tab w:val="left" w:pos="1134" w:leader="none"/>
              </w:tabs>
              <w:spacing w:lineRule="auto" w:line="276"/>
              <w:jc w:val="both"/>
              <w:rPr>
                <w:szCs w:val="24"/>
              </w:rPr>
            </w:pPr>
            <w:r>
              <w:rPr>
                <w:rFonts w:eastAsia="Arial" w:cs="" w:cstheme="majorBidi"/>
                <w:kern w:val="2"/>
                <w:szCs w:val="24"/>
              </w:rPr>
              <w:t xml:space="preserve">12.2.5. </w:t>
            </w:r>
            <w:bookmarkStart w:id="0" w:name="_Hlk161133829_Copy_1"/>
            <w:r>
              <w:rPr>
                <w:rFonts w:eastAsia="Arial" w:cs="" w:cstheme="majorBidi"/>
                <w:kern w:val="2"/>
                <w:szCs w:val="24"/>
              </w:rPr>
              <w:t>Tiekėjas pažeidžia šios Sutarties nuostatas, reglamentuojančias konkurenciją, intelektinės nuosavybės ar konfidencialios informacijos valdymą</w:t>
            </w:r>
            <w:bookmarkEnd w:id="0"/>
            <w:r>
              <w:rPr>
                <w:rFonts w:eastAsia="Arial" w:cs="" w:cstheme="majorBidi"/>
                <w:kern w:val="2"/>
                <w:szCs w:val="24"/>
              </w:rPr>
              <w:t>.</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b/>
                <w:kern w:val="2"/>
                <w:szCs w:val="24"/>
              </w:rPr>
              <w:t>13. APLINKOS APSAUGOS IR SOCIALINIAI KRITERIJAI</w:t>
            </w:r>
          </w:p>
        </w:tc>
      </w:tr>
      <w:tr>
        <w:trPr>
          <w:trHeight w:val="300" w:hRule="atLeast"/>
        </w:trPr>
        <w:tc>
          <w:tcPr>
            <w:tcW w:w="3056" w:type="dxa"/>
            <w:tcBorders>
              <w:top w:val="single" w:sz="4" w:space="0" w:color="000000"/>
              <w:left w:val="single" w:sz="4" w:space="0" w:color="000000"/>
              <w:bottom w:val="single" w:sz="4" w:space="0" w:color="000000"/>
              <w:right w:val="single" w:sz="4" w:space="0" w:color="000000"/>
            </w:tcBorders>
          </w:tcPr>
          <w:p>
            <w:pPr>
              <w:pStyle w:val="Normal"/>
              <w:rPr>
                <w:szCs w:val="24"/>
              </w:rPr>
            </w:pPr>
            <w:r>
              <w:rPr>
                <w:b/>
                <w:kern w:val="2"/>
                <w:szCs w:val="24"/>
              </w:rPr>
              <w:t>13.1. Su perkamomis paslaugomis susiję  aplinkos apsaugos kriterijai</w:t>
            </w:r>
          </w:p>
        </w:tc>
        <w:tc>
          <w:tcPr>
            <w:tcW w:w="6478" w:type="dxa"/>
            <w:gridSpan w:val="3"/>
            <w:tcBorders>
              <w:top w:val="single" w:sz="4" w:space="0" w:color="000000"/>
              <w:left w:val="single" w:sz="4" w:space="0" w:color="000000"/>
              <w:bottom w:val="single" w:sz="4" w:space="0" w:color="000000"/>
              <w:right w:val="single" w:sz="4" w:space="0" w:color="000000"/>
            </w:tcBorders>
          </w:tcPr>
          <w:p>
            <w:pPr>
              <w:pStyle w:val="Other1"/>
              <w:tabs>
                <w:tab w:val="clear" w:pos="1296"/>
                <w:tab w:val="left" w:pos="1829" w:leader="none"/>
                <w:tab w:val="left" w:pos="3130" w:leader="none"/>
                <w:tab w:val="left" w:pos="4205" w:leader="none"/>
              </w:tabs>
              <w:jc w:val="both"/>
              <w:rPr>
                <w:sz w:val="24"/>
                <w:szCs w:val="24"/>
              </w:rPr>
            </w:pPr>
            <w:r>
              <w:rPr>
                <w:rFonts w:cs="" w:cstheme="majorBidi"/>
                <w:i w:val="false"/>
                <w:iCs w:val="false"/>
                <w:kern w:val="2"/>
                <w:sz w:val="24"/>
                <w:szCs w:val="24"/>
                <w:shd w:fill="FFFFFF" w:val="clear"/>
              </w:rPr>
              <w:t xml:space="preserve">Aplinkosauginiai kriterijai nustatomi vadovaujantis </w:t>
            </w:r>
            <w:r>
              <w:rPr>
                <w:rFonts w:cs="" w:cstheme="majorBidi"/>
                <w:i w:val="false"/>
                <w:iCs w:val="false"/>
                <w:kern w:val="2"/>
                <w:sz w:val="24"/>
                <w:szCs w:val="24"/>
              </w:rPr>
              <w:t>Aplinkos apsaugos kriterijų taikymo, vykdant žaliuosius pirkimus, tvarkos aprašo, patvirtinto 2011 m. birželio 28 d. įsakymu D1-508</w:t>
            </w:r>
            <w:r>
              <w:rPr>
                <w:rFonts w:cs="" w:cstheme="majorBidi"/>
                <w:i w:val="false"/>
                <w:iCs w:val="false"/>
                <w:kern w:val="2"/>
                <w:sz w:val="24"/>
                <w:szCs w:val="24"/>
                <w:shd w:fill="FFFFFF" w:val="clear"/>
              </w:rPr>
              <w:t xml:space="preserve"> „Dėl Aplinkos apsaugos kriterijų taikymo, vykdant žaliuosius pirkimus, tvarkos aprašo patvirtinimo“ 9.2.1.  4 punktu, Pirkimas laikomas žaliuoju, nes dalis Pirkimo objekto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w:t>
            </w:r>
            <w:r>
              <w:rPr>
                <w:rStyle w:val="EndnoteReference"/>
                <w:rFonts w:cs="" w:cstheme="majorBidi"/>
                <w:i w:val="false"/>
                <w:iCs w:val="false"/>
                <w:kern w:val="2"/>
                <w:sz w:val="24"/>
                <w:szCs w:val="24"/>
                <w:shd w:fill="FFFFFF" w:val="clear"/>
              </w:rPr>
              <w:endnoteReference w:id="2"/>
            </w:r>
            <w:r>
              <w:rPr>
                <w:rStyle w:val="FootnoteReference"/>
                <w:rFonts w:cs="" w:cstheme="majorBidi"/>
                <w:i w:val="false"/>
                <w:iCs w:val="false"/>
                <w:kern w:val="2"/>
                <w:sz w:val="24"/>
                <w:szCs w:val="24"/>
                <w:shd w:fill="FFFFFF" w:val="clear"/>
              </w:rPr>
              <w:footnoteReference w:id="3"/>
            </w:r>
            <w:r>
              <w:rPr>
                <w:rFonts w:cs="" w:cstheme="majorBidi"/>
                <w:i w:val="false"/>
                <w:iCs w:val="false"/>
                <w:kern w:val="2"/>
                <w:sz w:val="24"/>
                <w:szCs w:val="24"/>
                <w:shd w:fill="FFFFFF" w:val="clear"/>
              </w:rPr>
              <w:t>, todėl Pirkimo objektui, tiekėjų kvalifikacijos reikalavimams, pasiūlymų vertinimo kriterijams, Pirkimo sutarties vykdymo sąlygoms ar kitiems reikalavimams kiti aplinkos apsaugos (žalieji) kriterijai</w:t>
            </w:r>
            <w:r>
              <w:rPr>
                <w:rFonts w:cs="" w:cstheme="majorBidi"/>
                <w:b/>
                <w:bCs/>
                <w:i w:val="false"/>
                <w:iCs w:val="false"/>
                <w:kern w:val="2"/>
                <w:sz w:val="24"/>
                <w:szCs w:val="24"/>
                <w:shd w:fill="FFFFFF" w:val="clear"/>
              </w:rPr>
              <w:t xml:space="preserve"> nėra nustatomi.</w:t>
            </w:r>
          </w:p>
          <w:p>
            <w:pPr>
              <w:pStyle w:val="Other1"/>
              <w:tabs>
                <w:tab w:val="clear" w:pos="1296"/>
                <w:tab w:val="left" w:pos="1829" w:leader="none"/>
                <w:tab w:val="left" w:pos="3130" w:leader="none"/>
                <w:tab w:val="left" w:pos="4205" w:leader="none"/>
              </w:tabs>
              <w:jc w:val="both"/>
              <w:rPr>
                <w:sz w:val="24"/>
                <w:szCs w:val="24"/>
              </w:rPr>
            </w:pPr>
            <w:r>
              <w:rPr>
                <w:rFonts w:cs="" w:cstheme="majorBidi"/>
                <w:i w:val="false"/>
                <w:iCs w:val="false"/>
                <w:kern w:val="2"/>
                <w:sz w:val="24"/>
                <w:szCs w:val="24"/>
                <w:shd w:fill="FFFFFF" w:val="clear"/>
              </w:rPr>
              <w:t>9.2.2. taikant Tvarkos aprašo 4.4.4.1 papunktyje</w:t>
            </w:r>
            <w:r>
              <w:rPr>
                <w:rStyle w:val="FootnoteReference"/>
                <w:rFonts w:cs="" w:cstheme="majorBidi"/>
                <w:i w:val="false"/>
                <w:iCs w:val="false"/>
                <w:kern w:val="2"/>
                <w:sz w:val="24"/>
                <w:szCs w:val="24"/>
                <w:shd w:fill="FFFFFF" w:val="clear"/>
              </w:rPr>
              <w:footnoteReference w:id="4"/>
            </w:r>
            <w:r>
              <w:rPr>
                <w:rFonts w:cs="" w:cstheme="majorBidi"/>
                <w:i w:val="false"/>
                <w:iCs w:val="false"/>
                <w:kern w:val="2"/>
                <w:sz w:val="24"/>
                <w:szCs w:val="24"/>
                <w:shd w:fill="FFFFFF" w:val="clear"/>
              </w:rPr>
              <w:t> nustatytą aplinkosauginį  principą ir siekiant, kad teikiant Paslaugas ir vykdant sutartinius įsipareigojimus, būtų sunaudojama mažiau gamtos išteklių ir siekiant mažinti popieriaus sunaudojimą, atsisakyti nebūtino dokumentų kopijavimo ir spausdinimo, dokumentaciją, teikti tik elektroniniu formatu, o dokumentaciją, kuri turi būti pasirašoma, pasirašyti elektroniniu parašu. Esant būtinybei dokumentaciją spausdinti, ji turi būti spausdinama ant abiejų lapo pusių ir naudojamas popierius, kuris atitinka aplinkos apsaugos kriterijus popieriui ir jo gaminiams, nustatytus Tvarkos aprašo 2 priedo 1 punkte.</w:t>
            </w:r>
          </w:p>
        </w:tc>
      </w:tr>
      <w:tr>
        <w:trPr>
          <w:trHeight w:val="300" w:hRule="atLeast"/>
        </w:trPr>
        <w:tc>
          <w:tcPr>
            <w:tcW w:w="3056"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13.2. Su perkamomis Paslaugomis susiję socialiniai kriterijai</w:t>
            </w:r>
          </w:p>
        </w:tc>
        <w:tc>
          <w:tcPr>
            <w:tcW w:w="6478" w:type="dxa"/>
            <w:gridSpan w:val="3"/>
            <w:tcBorders>
              <w:top w:val="single" w:sz="4" w:space="0" w:color="000000"/>
              <w:left w:val="single" w:sz="4" w:space="0" w:color="000000"/>
              <w:bottom w:val="single" w:sz="4" w:space="0" w:color="000000"/>
              <w:right w:val="single" w:sz="4" w:space="0" w:color="000000"/>
            </w:tcBorders>
          </w:tcPr>
          <w:p>
            <w:pPr>
              <w:pStyle w:val="Normal"/>
              <w:rPr>
                <w:color w:val="000000"/>
                <w:kern w:val="2"/>
                <w:szCs w:val="24"/>
                <w:shd w:fill="FFFFFF" w:val="clear"/>
              </w:rPr>
            </w:pPr>
            <w:r>
              <w:rPr>
                <w:color w:val="000000"/>
                <w:kern w:val="2"/>
                <w:szCs w:val="24"/>
                <w:shd w:fill="FFFFFF" w:val="clear"/>
              </w:rPr>
              <w:t>Netaikoma</w:t>
            </w:r>
          </w:p>
          <w:p>
            <w:pPr>
              <w:pStyle w:val="Normal"/>
              <w:rPr>
                <w:color w:val="000000"/>
                <w:kern w:val="2"/>
                <w:szCs w:val="24"/>
                <w:shd w:fill="FFFFFF" w:val="clear"/>
              </w:rPr>
            </w:pPr>
            <w:r>
              <w:rPr>
                <w:color w:val="000000"/>
                <w:kern w:val="2"/>
                <w:szCs w:val="24"/>
                <w:shd w:fill="FFFFFF" w:val="clear"/>
              </w:rPr>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14. BENDRŲJŲ SĄLYGŲ PAKEITIMAI IR PAPILDYMAI</w:t>
            </w:r>
          </w:p>
        </w:tc>
      </w:tr>
      <w:tr>
        <w:trPr>
          <w:trHeight w:val="300" w:hRule="atLeast"/>
        </w:trPr>
        <w:tc>
          <w:tcPr>
            <w:tcW w:w="9534" w:type="dxa"/>
            <w:gridSpan w:val="4"/>
            <w:tcBorders>
              <w:left w:val="single" w:sz="4" w:space="0" w:color="000000"/>
              <w:bottom w:val="single" w:sz="4" w:space="0" w:color="000000"/>
              <w:right w:val="single" w:sz="4" w:space="0" w:color="000000"/>
            </w:tcBorders>
          </w:tcPr>
          <w:p>
            <w:pPr>
              <w:pStyle w:val="Normal"/>
              <w:jc w:val="center"/>
              <w:rPr>
                <w:b/>
                <w:kern w:val="2"/>
                <w:szCs w:val="24"/>
              </w:rPr>
            </w:pPr>
            <w:r>
              <w:rPr>
                <w:b/>
                <w:kern w:val="2"/>
                <w:szCs w:val="24"/>
              </w:rPr>
              <w:t>-</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15. SUTARTIES PRIEDAI</w:t>
            </w:r>
          </w:p>
        </w:tc>
      </w:tr>
      <w:tr>
        <w:trPr>
          <w:trHeight w:val="300" w:hRule="atLeast"/>
        </w:trPr>
        <w:tc>
          <w:tcPr>
            <w:tcW w:w="3056" w:type="dxa"/>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w:t>
            </w:r>
          </w:p>
        </w:tc>
        <w:tc>
          <w:tcPr>
            <w:tcW w:w="6478" w:type="dxa"/>
            <w:gridSpan w:val="3"/>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w:t>
            </w:r>
          </w:p>
        </w:tc>
      </w:tr>
      <w:tr>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16. ŠALIŲ ATSTOVŲ PARAŠAI</w:t>
            </w:r>
          </w:p>
        </w:tc>
      </w:tr>
      <w:tr>
        <w:trPr/>
        <w:tc>
          <w:tcPr>
            <w:tcW w:w="5225" w:type="dxa"/>
            <w:gridSpan w:val="3"/>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PIRKĖJAS</w:t>
            </w:r>
          </w:p>
        </w:tc>
        <w:tc>
          <w:tcPr>
            <w:tcW w:w="4309" w:type="dxa"/>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TIEKĖJAS</w:t>
            </w:r>
          </w:p>
        </w:tc>
      </w:tr>
      <w:tr>
        <w:trPr/>
        <w:tc>
          <w:tcPr>
            <w:tcW w:w="5225" w:type="dxa"/>
            <w:gridSpan w:val="3"/>
            <w:tcBorders>
              <w:top w:val="single" w:sz="4" w:space="0" w:color="000000"/>
              <w:left w:val="single" w:sz="4" w:space="0" w:color="000000"/>
              <w:bottom w:val="single" w:sz="4" w:space="0" w:color="000000"/>
              <w:right w:val="single" w:sz="4" w:space="0" w:color="000000"/>
            </w:tcBorders>
          </w:tcPr>
          <w:p>
            <w:pPr>
              <w:pStyle w:val="Other1"/>
              <w:ind w:firstLine="660"/>
              <w:rPr/>
            </w:pPr>
            <w:r>
              <w:rPr>
                <w:rStyle w:val="Other"/>
                <w:rFonts w:cs="" w:cstheme="majorBidi"/>
                <w:b/>
                <w:bCs/>
                <w:sz w:val="24"/>
                <w:szCs w:val="24"/>
              </w:rPr>
              <w:t>Gediminas Sakalauskas</w:t>
            </w:r>
          </w:p>
        </w:tc>
        <w:tc>
          <w:tcPr>
            <w:tcW w:w="4309" w:type="dxa"/>
            <w:tcBorders>
              <w:top w:val="single" w:sz="4" w:space="0" w:color="000000"/>
              <w:left w:val="single" w:sz="4" w:space="0" w:color="000000"/>
              <w:bottom w:val="single" w:sz="4" w:space="0" w:color="000000"/>
              <w:right w:val="single" w:sz="4" w:space="0" w:color="000000"/>
            </w:tcBorders>
          </w:tcPr>
          <w:p>
            <w:pPr>
              <w:pStyle w:val="Other1"/>
              <w:ind w:firstLine="660"/>
              <w:rPr/>
            </w:pPr>
            <w:r>
              <w:rPr>
                <w:rStyle w:val="Other"/>
                <w:rFonts w:cs="" w:cstheme="majorBidi"/>
                <w:b/>
                <w:bCs/>
                <w:sz w:val="24"/>
                <w:szCs w:val="24"/>
              </w:rPr>
              <w:t>Mindaugas Mikulėnas</w:t>
            </w:r>
          </w:p>
        </w:tc>
      </w:tr>
      <w:tr>
        <w:trPr/>
        <w:tc>
          <w:tcPr>
            <w:tcW w:w="5225" w:type="dxa"/>
            <w:gridSpan w:val="3"/>
            <w:tcBorders>
              <w:top w:val="single" w:sz="4" w:space="0" w:color="000000"/>
              <w:left w:val="single" w:sz="4" w:space="0" w:color="000000"/>
              <w:bottom w:val="single" w:sz="4" w:space="0" w:color="000000"/>
              <w:right w:val="single" w:sz="4" w:space="0" w:color="000000"/>
            </w:tcBorders>
          </w:tcPr>
          <w:p>
            <w:pPr>
              <w:pStyle w:val="Other1"/>
              <w:rPr/>
            </w:pPr>
            <w:r>
              <w:rPr>
                <w:rStyle w:val="Other"/>
                <w:rFonts w:cs="" w:cstheme="majorBidi"/>
                <w:b/>
                <w:bCs/>
                <w:sz w:val="24"/>
                <w:szCs w:val="24"/>
              </w:rPr>
              <w:t>Vyriausiosios tarnybinės etikos komisijos pirmininkas</w:t>
            </w:r>
          </w:p>
        </w:tc>
        <w:tc>
          <w:tcPr>
            <w:tcW w:w="4309" w:type="dxa"/>
            <w:tcBorders>
              <w:top w:val="single" w:sz="4" w:space="0" w:color="000000"/>
              <w:left w:val="single" w:sz="4" w:space="0" w:color="000000"/>
              <w:bottom w:val="single" w:sz="4" w:space="0" w:color="000000"/>
              <w:right w:val="single" w:sz="4" w:space="0" w:color="000000"/>
            </w:tcBorders>
          </w:tcPr>
          <w:p>
            <w:pPr>
              <w:pStyle w:val="Other1"/>
              <w:ind w:firstLine="660"/>
              <w:rPr/>
            </w:pPr>
            <w:r>
              <w:rPr>
                <w:rStyle w:val="Other"/>
                <w:rFonts w:cs="" w:cstheme="majorBidi"/>
                <w:b/>
                <w:bCs/>
                <w:sz w:val="24"/>
                <w:szCs w:val="24"/>
              </w:rPr>
              <w:t>UAB „Insoft“ direktorius</w:t>
            </w:r>
          </w:p>
        </w:tc>
      </w:tr>
      <w:tr>
        <w:trPr/>
        <w:tc>
          <w:tcPr>
            <w:tcW w:w="5225" w:type="dxa"/>
            <w:gridSpan w:val="3"/>
            <w:tcBorders>
              <w:left w:val="single" w:sz="4" w:space="0" w:color="000000"/>
              <w:bottom w:val="single" w:sz="4" w:space="0" w:color="000000"/>
              <w:right w:val="single" w:sz="4" w:space="0" w:color="000000"/>
            </w:tcBorders>
          </w:tcPr>
          <w:p>
            <w:pPr>
              <w:pStyle w:val="Normal"/>
              <w:jc w:val="center"/>
              <w:rPr>
                <w:b/>
                <w:color w:val="000000"/>
                <w:kern w:val="2"/>
                <w:szCs w:val="24"/>
              </w:rPr>
            </w:pPr>
            <w:r>
              <w:rPr>
                <w:b/>
                <w:color w:val="000000"/>
                <w:kern w:val="2"/>
                <w:szCs w:val="24"/>
              </w:rPr>
            </w:r>
          </w:p>
          <w:p>
            <w:pPr>
              <w:pStyle w:val="Normal"/>
              <w:jc w:val="center"/>
              <w:rPr>
                <w:color w:val="000000"/>
                <w:szCs w:val="24"/>
              </w:rPr>
            </w:pPr>
            <w:r>
              <w:rPr>
                <w:b/>
                <w:color w:val="000000"/>
                <w:kern w:val="2"/>
                <w:szCs w:val="24"/>
              </w:rPr>
              <w:t>(parašas)</w:t>
            </w:r>
          </w:p>
        </w:tc>
        <w:tc>
          <w:tcPr>
            <w:tcW w:w="4309" w:type="dxa"/>
            <w:tcBorders>
              <w:left w:val="single" w:sz="4" w:space="0" w:color="000000"/>
              <w:bottom w:val="single" w:sz="4" w:space="0" w:color="000000"/>
              <w:right w:val="single" w:sz="4" w:space="0" w:color="000000"/>
            </w:tcBorders>
          </w:tcPr>
          <w:p>
            <w:pPr>
              <w:pStyle w:val="Normal"/>
              <w:jc w:val="center"/>
              <w:rPr>
                <w:b/>
                <w:color w:val="000000"/>
                <w:kern w:val="2"/>
                <w:szCs w:val="24"/>
              </w:rPr>
            </w:pPr>
            <w:r>
              <w:rPr>
                <w:b/>
                <w:color w:val="000000"/>
                <w:kern w:val="2"/>
                <w:szCs w:val="24"/>
              </w:rPr>
            </w:r>
          </w:p>
          <w:p>
            <w:pPr>
              <w:pStyle w:val="Normal"/>
              <w:jc w:val="center"/>
              <w:rPr>
                <w:color w:val="000000"/>
                <w:szCs w:val="24"/>
              </w:rPr>
            </w:pPr>
            <w:r>
              <w:rPr>
                <w:b/>
                <w:color w:val="000000"/>
                <w:kern w:val="2"/>
                <w:szCs w:val="24"/>
              </w:rPr>
              <w:t>(parašas)</w:t>
            </w:r>
          </w:p>
        </w:tc>
      </w:tr>
    </w:tbl>
    <w:p>
      <w:pPr>
        <w:pStyle w:val="Normal"/>
        <w:rPr>
          <w:szCs w:val="24"/>
        </w:rPr>
      </w:pPr>
      <w:r>
        <w:rPr>
          <w:szCs w:val="24"/>
        </w:rPr>
      </w:r>
    </w:p>
    <w:p>
      <w:pPr>
        <w:pStyle w:val="Normal"/>
        <w:rPr>
          <w:szCs w:val="24"/>
        </w:rPr>
      </w:pPr>
      <w:r>
        <w:rPr>
          <w:szCs w:val="24"/>
        </w:rPr>
      </w:r>
    </w:p>
    <w:p>
      <w:pPr>
        <w:pStyle w:val="Normal"/>
        <w:tabs>
          <w:tab w:val="clear" w:pos="1296"/>
          <w:tab w:val="left" w:pos="5400" w:leader="none"/>
        </w:tabs>
        <w:jc w:val="center"/>
        <w:textAlignment w:val="center"/>
        <w:rPr/>
      </w:pPr>
      <w:r>
        <w:rPr>
          <w:b/>
          <w:bCs/>
        </w:rPr>
        <w:t>______________</w:t>
      </w:r>
    </w:p>
    <w:sectPr>
      <w:headerReference w:type="default" r:id="rId2"/>
      <w:footerReference w:type="default" r:id="rId3"/>
      <w:footnotePr>
        <w:numFmt w:val="decimal"/>
      </w:footnotePr>
      <w:endnotePr>
        <w:numFmt w:val="decimal"/>
      </w:endnotePr>
      <w:type w:val="nextPage"/>
      <w:pgSz w:w="12240" w:h="15840"/>
      <w:pgMar w:left="1701" w:right="567" w:gutter="0" w:header="720" w:top="1134" w:footer="720" w:bottom="1134"/>
      <w:pgNumType w:start="1" w:fmt="decimal"/>
      <w:formProt w:val="false"/>
      <w:titlePg/>
      <w:textDirection w:val="lrTb"/>
      <w:docGrid w:type="default" w:linePitch="36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Normal"/>
        <w:jc w:val="both"/>
        <w:rPr>
          <w:rFonts w:ascii="Aptos" w:hAnsi="Aptos"/>
          <w:sz w:val="18"/>
          <w:szCs w:val="18"/>
        </w:rPr>
      </w:pPr>
      <w:r>
        <w:rPr>
          <w:rStyle w:val="EndnoteCharacters"/>
        </w:rPr>
        <w:endnoteRef/>
      </w:r>
      <w:r>
        <w:rPr/>
        <w:t xml:space="preserve"> </w:t>
      </w:r>
      <w:r>
        <w:rPr>
          <w:rFonts w:ascii="Aptos" w:hAnsi="Aptos"/>
          <w:sz w:val="18"/>
          <w:szCs w:val="18"/>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arba perkama prekė: programinė įranga, programinės įrangos nuoma, licencijos, elektroniniai leidiniai ar elektroninės knygos.</w:t>
      </w:r>
    </w:p>
    <w:p>
      <w:pPr>
        <w:pStyle w:val="EndnoteText"/>
        <w:rPr>
          <w:lang w:val="en-US"/>
        </w:rPr>
      </w:pPr>
      <w:r>
        <w:rPr/>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Segoe UI">
    <w:charset w:val="00"/>
    <w:family w:val="roman"/>
    <w:pitch w:val="variable"/>
  </w:font>
  <w:font w:name="Arial">
    <w:charset w:val="00"/>
    <w:family w:val="roman"/>
    <w:pitch w:val="variable"/>
  </w:font>
  <w:font w:name="Apto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FootnoteCharacters"/>
        </w:rPr>
        <w:footnoteRef/>
      </w:r>
      <w:r>
        <w:rPr/>
        <w:tab/>
        <w:t xml:space="preserve"> </w:t>
      </w:r>
      <w:r>
        <w:fldChar w:fldCharType="begin"/>
      </w:r>
      <w:r>
        <w:rPr>
          <w:rStyle w:val="Hyperlink"/>
        </w:rPr>
        <w:instrText xml:space="preserve"> HYPERLINK "https://osp.stat.gov.lt/statistiniu-rodikliu-analize?indicator=S7R260" \l "/"</w:instrText>
      </w:r>
      <w:r>
        <w:rPr>
          <w:rStyle w:val="Hyperlink"/>
        </w:rPr>
        <w:fldChar w:fldCharType="separate"/>
      </w:r>
      <w:r>
        <w:rPr>
          <w:rStyle w:val="Hyperlink"/>
        </w:rPr>
        <w:t>https://osp.stat.gov.lt/</w:t>
      </w:r>
      <w:r>
        <w:rPr>
          <w:rStyle w:val="Hyperlink"/>
        </w:rPr>
        <w:fldChar w:fldCharType="end"/>
      </w:r>
    </w:p>
  </w:footnote>
  <w:footnote w:id="3">
    <w:p>
      <w:pPr>
        <w:pStyle w:val="FootnoteText"/>
        <w:rPr/>
      </w:pPr>
      <w:r>
        <w:rPr>
          <w:rStyle w:val="FootnoteCharacters"/>
        </w:rPr>
        <w:footnoteRef/>
      </w:r>
      <w:r>
        <w:rPr/>
        <w:tab/>
        <w:t xml:space="preserve"> </w:t>
      </w:r>
      <w:r>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arba perkama prekė: programinė įranga, programinės įrangos nuoma, licencijos, elektroniniai leidiniai ar elektroninės knygos.</w:t>
      </w:r>
    </w:p>
    <w:p>
      <w:pPr>
        <w:pStyle w:val="FootnoteText"/>
        <w:rPr/>
      </w:pPr>
      <w:r>
        <w:rPr/>
      </w:r>
    </w:p>
  </w:footnote>
  <w:footnote w:id="4">
    <w:p>
      <w:pPr>
        <w:pStyle w:val="FootnoteText"/>
        <w:rPr/>
      </w:pPr>
      <w:r>
        <w:rPr>
          <w:rStyle w:val="FootnoteCharacters"/>
        </w:rPr>
        <w:footnoteRef/>
      </w:r>
      <w:r>
        <w:rPr/>
        <w:tab/>
        <w:t xml:space="preserve"> </w:t>
      </w:r>
      <w:r>
        <w:rPr/>
        <w:t>Prekei pagaminti ir (ar) tiekti, paslaugai teikti ar darbams atlikti sunaudojama mažiau gamtos išteklių ir (ar) sudėtyje yra pakartotinai panaudotų ir (ar) perdirbtų medžiagų.</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jc w:val="center"/>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PAGE </w:instrText>
    </w:r>
    <w:r>
      <w:rPr>
        <w:sz w:val="18"/>
        <w:szCs w:val="18"/>
        <w:rFonts w:eastAsia="Arial" w:cs="Arial" w:ascii="Arial" w:hAnsi="Arial"/>
      </w:rPr>
      <w:fldChar w:fldCharType="separate"/>
    </w:r>
    <w:r>
      <w:rPr>
        <w:sz w:val="18"/>
        <w:szCs w:val="18"/>
        <w:rFonts w:eastAsia="Arial" w:cs="Arial" w:ascii="Arial" w:hAnsi="Arial"/>
      </w:rPr>
      <w:t>9</w:t>
    </w:r>
    <w:r>
      <w:rPr>
        <w:sz w:val="18"/>
        <w:szCs w:val="18"/>
        <w:rFonts w:eastAsia="Arial" w:cs="Arial" w:ascii="Arial" w:hAnsi="Arial"/>
      </w:rPr>
      <w:fldChar w:fldCharType="end"/>
    </w:r>
  </w:p>
  <w:p>
    <w:pPr>
      <w:pStyle w:val="Normal"/>
      <w:tabs>
        <w:tab w:val="clear" w:pos="1296"/>
        <w:tab w:val="center" w:pos="4680" w:leader="none"/>
        <w:tab w:val="right" w:pos="9360" w:leader="none"/>
      </w:tabs>
      <w:jc w:val="both"/>
      <w:rPr>
        <w:rFonts w:ascii="Arial" w:hAnsi="Arial" w:eastAsia="Arial" w:cs="Arial"/>
        <w:sz w:val="18"/>
        <w:szCs w:val="18"/>
      </w:rPr>
    </w:pPr>
    <w:r>
      <w:rPr>
        <w:rFonts w:eastAsia="Arial" w:cs="Arial" w:ascii="Arial" w:hAnsi="Arial"/>
        <w:sz w:val="18"/>
        <w:szCs w:val="18"/>
      </w:rPr>
    </w:r>
  </w:p>
</w:hdr>
</file>

<file path=word/settings.xml><?xml version="1.0" encoding="utf-8"?>
<w:settings xmlns:w="http://schemas.openxmlformats.org/wordprocessingml/2006/main">
  <w:zoom w:percent="100"/>
  <w:defaultTabStop w:val="1296"/>
  <w:autoHyphenation w:val="true"/>
  <w:doNotHyphenateCaps/>
  <w:hyphenationZone w:val="396"/>
  <w:footnotePr>
    <w:numFmt w:val="decimal"/>
    <w:footnote w:id="0"/>
    <w:footnote w:id="1"/>
  </w:footnotePr>
  <w:endnotePr>
    <w:numFmt w:val="decimal"/>
    <w:endnote w:id="0"/>
    <w:endnote w:id="1"/>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lt-LT"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lang w:val="lt-LT" w:eastAsia="en-US" w:bidi="ar-SA"/>
      </w:rPr>
    </w:rPrDefault>
    <w:pPrDefault>
      <w:pPr>
        <w:suppressAutoHyphens w:val="true"/>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0"/>
      <w:lang w:val="lt-LT" w:eastAsia="en-US" w:bidi="ar-SA"/>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qFormat/>
    <w:rsid w:val="00f60bd9"/>
    <w:rPr>
      <w:color w:val="808080"/>
    </w:rPr>
  </w:style>
  <w:style w:type="character" w:styleId="AntratsDiagrama" w:customStyle="1">
    <w:name w:val="Antraštės Diagrama"/>
    <w:basedOn w:val="DefaultParagraphFont"/>
    <w:link w:val="Header"/>
    <w:qFormat/>
    <w:rsid w:val="007a75c6"/>
    <w:rPr/>
  </w:style>
  <w:style w:type="character" w:styleId="PoratDiagrama" w:customStyle="1">
    <w:name w:val="Poraštė Diagrama"/>
    <w:basedOn w:val="DefaultParagraphFont"/>
    <w:link w:val="Footer"/>
    <w:qFormat/>
    <w:rsid w:val="007a75c6"/>
    <w:rPr/>
  </w:style>
  <w:style w:type="character" w:styleId="Normaltextrun" w:customStyle="1">
    <w:name w:val="normaltextrun"/>
    <w:basedOn w:val="DefaultParagraphFont"/>
    <w:qFormat/>
    <w:rsid w:val="00c74fa2"/>
    <w:rPr/>
  </w:style>
  <w:style w:type="character" w:styleId="Eop" w:customStyle="1">
    <w:name w:val="eop"/>
    <w:basedOn w:val="DefaultParagraphFont"/>
    <w:qFormat/>
    <w:rsid w:val="00c74fa2"/>
    <w:rPr/>
  </w:style>
  <w:style w:type="character" w:styleId="EndnoteCharacters" w:customStyle="1">
    <w:name w:val="Endnote Characters"/>
    <w:qFormat/>
    <w:rPr>
      <w:vertAlign w:val="superscript"/>
    </w:rPr>
  </w:style>
  <w:style w:type="character" w:styleId="Hyperlink">
    <w:name w:val="Hyperlink"/>
    <w:basedOn w:val="DefaultParagraphFont"/>
    <w:rPr>
      <w:color w:themeColor="hyperlink" w:val="0563C1"/>
      <w:u w:val="single"/>
    </w:rPr>
  </w:style>
  <w:style w:type="character" w:styleId="PagrindinistekstasDiagrama" w:customStyle="1">
    <w:name w:val="Pagrindinis tekstas Diagrama"/>
    <w:basedOn w:val="DefaultParagraphFont"/>
    <w:qFormat/>
    <w:rPr/>
  </w:style>
  <w:style w:type="character" w:styleId="Other" w:customStyle="1">
    <w:name w:val="Other_"/>
    <w:basedOn w:val="DefaultParagraphFont"/>
    <w:qFormat/>
    <w:rPr>
      <w:rFonts w:ascii="Times New Roman" w:hAnsi="Times New Roman" w:eastAsia="Times New Roman" w:cs="Times New Roman"/>
      <w:i/>
      <w:iCs/>
      <w:color w:themeColor="text1" w:val="000000"/>
    </w:rPr>
  </w:style>
  <w:style w:type="character" w:styleId="FootnoteCharacters" w:customStyle="1">
    <w:name w:val="Footnote Characters"/>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Cs w:val="24"/>
    </w:rPr>
  </w:style>
  <w:style w:type="paragraph" w:styleId="HeaderandFooter" w:customStyle="1">
    <w:name w:val="Header and Footer"/>
    <w:basedOn w:val="Normal"/>
    <w:qFormat/>
    <w:pPr/>
    <w:rPr/>
  </w:style>
  <w:style w:type="paragraph" w:styleId="Header">
    <w:name w:val="Header"/>
    <w:basedOn w:val="Normal"/>
    <w:link w:val="AntratsDiagrama"/>
    <w:unhideWhenUsed/>
    <w:rsid w:val="007a75c6"/>
    <w:pPr>
      <w:tabs>
        <w:tab w:val="clear" w:pos="1296"/>
        <w:tab w:val="center" w:pos="4513" w:leader="none"/>
        <w:tab w:val="right" w:pos="9026" w:leader="none"/>
      </w:tabs>
    </w:pPr>
    <w:rPr/>
  </w:style>
  <w:style w:type="paragraph" w:styleId="Footer">
    <w:name w:val="Footer"/>
    <w:basedOn w:val="Normal"/>
    <w:link w:val="PoratDiagrama"/>
    <w:unhideWhenUsed/>
    <w:rsid w:val="007a75c6"/>
    <w:pPr>
      <w:tabs>
        <w:tab w:val="clear" w:pos="1296"/>
        <w:tab w:val="center" w:pos="4513" w:leader="none"/>
        <w:tab w:val="right" w:pos="9026" w:leader="none"/>
      </w:tabs>
    </w:pPr>
    <w:rPr/>
  </w:style>
  <w:style w:type="paragraph" w:styleId="Paragraph" w:customStyle="1">
    <w:name w:val="paragraph"/>
    <w:basedOn w:val="Normal"/>
    <w:qFormat/>
    <w:rsid w:val="00c74fa2"/>
    <w:pPr>
      <w:spacing w:beforeAutospacing="1" w:afterAutospacing="1"/>
    </w:pPr>
    <w:rPr>
      <w:szCs w:val="24"/>
      <w:lang w:val="en-US"/>
    </w:rPr>
  </w:style>
  <w:style w:type="paragraph" w:styleId="Other1" w:customStyle="1">
    <w:name w:val="Other"/>
    <w:basedOn w:val="Normal"/>
    <w:qFormat/>
    <w:pPr>
      <w:widowControl w:val="false"/>
      <w:spacing w:lineRule="auto" w:line="276"/>
    </w:pPr>
    <w:rPr>
      <w:i/>
      <w:iCs/>
      <w:sz w:val="20"/>
      <w:szCs w:val="22"/>
    </w:rPr>
  </w:style>
  <w:style w:type="paragraph" w:styleId="FootnoteText">
    <w:name w:val="Footnote Text"/>
    <w:basedOn w:val="Normal"/>
    <w:pPr>
      <w:suppressLineNumbers/>
      <w:ind w:hanging="340" w:left="340"/>
    </w:pPr>
    <w:rPr>
      <w:sz w:val="20"/>
    </w:rPr>
  </w:style>
  <w:style w:type="paragraph" w:styleId="EndnoteText">
    <w:name w:val="Endnote Text"/>
    <w:basedOn w:val="Normal"/>
    <w:pPr>
      <w:suppressLineNumbers/>
      <w:ind w:hanging="340" w:left="340"/>
    </w:pPr>
    <w:rPr>
      <w:sz w:val="20"/>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Relationship Id="rId12"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LibreOffice/7.6.4.1$Windows_X86_64 LibreOffice_project/e19e193f88cd6c0525a17fb7a176ed8e6a3e2aa1</Application>
  <AppVersion>15.0000</AppVersion>
  <Pages>10</Pages>
  <Words>2256</Words>
  <Characters>15960</Characters>
  <CharactersWithSpaces>18040</CharactersWithSpaces>
  <Paragraphs>205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2025-06-11T11:25:00Z</dcterms:created>
  <dc:creator>Laima Palinskaitė</dc:creator>
  <dc:description/>
  <dc:language>en-US</dc:language>
  <cp:lastModifiedBy/>
  <dcterms:modified xsi:type="dcterms:W3CDTF">2025-07-02T12:40:49Z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