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9D1FE" w14:textId="581E456A" w:rsidR="002F0EDB" w:rsidRPr="00CA76C2" w:rsidRDefault="002F0EDB" w:rsidP="002F0EDB">
      <w:pPr>
        <w:ind w:left="3600" w:firstLine="720"/>
        <w:rPr>
          <w:rFonts w:cstheme="minorHAnsi"/>
          <w:b/>
          <w:bCs/>
          <w:sz w:val="18"/>
          <w:szCs w:val="18"/>
          <w:lang w:val="lt-LT"/>
        </w:rPr>
      </w:pPr>
      <w:r w:rsidRPr="00CA76C2">
        <w:rPr>
          <w:rFonts w:cstheme="minorHAnsi"/>
          <w:b/>
          <w:bCs/>
          <w:sz w:val="18"/>
          <w:szCs w:val="18"/>
          <w:lang w:val="lt-LT"/>
        </w:rPr>
        <w:t xml:space="preserve">Pirkimo sutarties </w:t>
      </w:r>
      <w:r w:rsidR="002E3B67">
        <w:rPr>
          <w:rFonts w:cstheme="minorHAnsi"/>
          <w:b/>
          <w:bCs/>
          <w:sz w:val="18"/>
          <w:szCs w:val="18"/>
          <w:lang w:val="lt-LT"/>
        </w:rPr>
        <w:t>CPO____________</w:t>
      </w:r>
      <w:r w:rsidRPr="00CA76C2">
        <w:rPr>
          <w:rFonts w:cstheme="minorHAnsi"/>
          <w:b/>
          <w:bCs/>
          <w:sz w:val="18"/>
          <w:szCs w:val="18"/>
          <w:lang w:val="lt-LT"/>
        </w:rPr>
        <w:t xml:space="preserve"> priedas</w:t>
      </w:r>
    </w:p>
    <w:p w14:paraId="77633017" w14:textId="06636582" w:rsidR="00146947" w:rsidRPr="00CA76C2" w:rsidRDefault="002F0EDB">
      <w:pPr>
        <w:rPr>
          <w:sz w:val="18"/>
          <w:szCs w:val="18"/>
          <w:lang w:val="lt-LT"/>
        </w:rPr>
      </w:pPr>
      <w:r w:rsidRPr="00CA76C2">
        <w:rPr>
          <w:sz w:val="18"/>
          <w:szCs w:val="18"/>
          <w:lang w:val="lt-LT"/>
        </w:rPr>
        <w:t xml:space="preserve">4. </w:t>
      </w:r>
      <w:r w:rsidRPr="00CA76C2">
        <w:rPr>
          <w:sz w:val="18"/>
          <w:szCs w:val="18"/>
          <w:lang w:val="lt-LT"/>
        </w:rPr>
        <w:tab/>
        <w:t>Objekto (-ų) sąrašas:</w:t>
      </w:r>
    </w:p>
    <w:tbl>
      <w:tblPr>
        <w:tblStyle w:val="TableGrid"/>
        <w:tblW w:w="14021" w:type="dxa"/>
        <w:tblLook w:val="04A0" w:firstRow="1" w:lastRow="0" w:firstColumn="1" w:lastColumn="0" w:noHBand="0" w:noVBand="1"/>
      </w:tblPr>
      <w:tblGrid>
        <w:gridCol w:w="681"/>
        <w:gridCol w:w="746"/>
        <w:gridCol w:w="778"/>
        <w:gridCol w:w="1055"/>
        <w:gridCol w:w="891"/>
        <w:gridCol w:w="680"/>
        <w:gridCol w:w="1276"/>
        <w:gridCol w:w="680"/>
        <w:gridCol w:w="1581"/>
        <w:gridCol w:w="1083"/>
        <w:gridCol w:w="1213"/>
        <w:gridCol w:w="1213"/>
        <w:gridCol w:w="1083"/>
        <w:gridCol w:w="1061"/>
      </w:tblGrid>
      <w:tr w:rsidR="002F0EDB" w:rsidRPr="00CA76C2" w14:paraId="3A4CA278" w14:textId="77777777" w:rsidTr="002F0EDB">
        <w:trPr>
          <w:trHeight w:val="2747"/>
        </w:trPr>
        <w:tc>
          <w:tcPr>
            <w:tcW w:w="681" w:type="dxa"/>
            <w:textDirection w:val="btLr"/>
            <w:hideMark/>
          </w:tcPr>
          <w:p w14:paraId="510548C2" w14:textId="77777777" w:rsidR="002F0EDB" w:rsidRPr="00CA76C2" w:rsidRDefault="002F0EDB" w:rsidP="002F0EDB">
            <w:pPr>
              <w:spacing w:after="160" w:line="259" w:lineRule="auto"/>
              <w:rPr>
                <w:b/>
                <w:bCs/>
                <w:sz w:val="18"/>
                <w:szCs w:val="18"/>
                <w:lang w:val="lt-LT"/>
              </w:rPr>
            </w:pPr>
            <w:r w:rsidRPr="00CA76C2">
              <w:rPr>
                <w:b/>
                <w:bCs/>
                <w:sz w:val="18"/>
                <w:szCs w:val="18"/>
                <w:lang w:val="lt-LT"/>
              </w:rPr>
              <w:t>Eil. Nr.</w:t>
            </w:r>
          </w:p>
        </w:tc>
        <w:tc>
          <w:tcPr>
            <w:tcW w:w="746" w:type="dxa"/>
            <w:textDirection w:val="btLr"/>
            <w:hideMark/>
          </w:tcPr>
          <w:p w14:paraId="52C527A5" w14:textId="77777777" w:rsidR="002F0EDB" w:rsidRPr="00CA76C2" w:rsidRDefault="002F0EDB" w:rsidP="002F0EDB">
            <w:pPr>
              <w:spacing w:after="160" w:line="259" w:lineRule="auto"/>
              <w:rPr>
                <w:b/>
                <w:bCs/>
                <w:sz w:val="18"/>
                <w:szCs w:val="18"/>
                <w:lang w:val="lt-LT"/>
              </w:rPr>
            </w:pPr>
            <w:r w:rsidRPr="00CA76C2">
              <w:rPr>
                <w:b/>
                <w:bCs/>
                <w:sz w:val="18"/>
                <w:szCs w:val="18"/>
                <w:lang w:val="lt-LT"/>
              </w:rPr>
              <w:t>Skirstymo sistemos pavadinimas</w:t>
            </w:r>
          </w:p>
        </w:tc>
        <w:tc>
          <w:tcPr>
            <w:tcW w:w="778" w:type="dxa"/>
            <w:textDirection w:val="btLr"/>
            <w:hideMark/>
          </w:tcPr>
          <w:p w14:paraId="708ED7BB" w14:textId="77777777" w:rsidR="002F0EDB" w:rsidRPr="00CA76C2" w:rsidRDefault="002F0EDB" w:rsidP="002F0EDB">
            <w:pPr>
              <w:spacing w:after="160" w:line="259" w:lineRule="auto"/>
              <w:rPr>
                <w:b/>
                <w:bCs/>
                <w:sz w:val="18"/>
                <w:szCs w:val="18"/>
                <w:lang w:val="lt-LT"/>
              </w:rPr>
            </w:pPr>
            <w:r w:rsidRPr="00CA76C2">
              <w:rPr>
                <w:b/>
                <w:bCs/>
                <w:sz w:val="18"/>
                <w:szCs w:val="18"/>
                <w:lang w:val="lt-LT"/>
              </w:rPr>
              <w:t>Pristatymo vietos identifikavimo Nr.</w:t>
            </w:r>
          </w:p>
        </w:tc>
        <w:tc>
          <w:tcPr>
            <w:tcW w:w="1055" w:type="dxa"/>
            <w:textDirection w:val="btLr"/>
            <w:hideMark/>
          </w:tcPr>
          <w:p w14:paraId="32F70544" w14:textId="77777777" w:rsidR="002F0EDB" w:rsidRPr="00CA76C2" w:rsidRDefault="002F0EDB" w:rsidP="002F0EDB">
            <w:pPr>
              <w:spacing w:after="160" w:line="259" w:lineRule="auto"/>
              <w:rPr>
                <w:b/>
                <w:bCs/>
                <w:sz w:val="18"/>
                <w:szCs w:val="18"/>
                <w:lang w:val="lt-LT"/>
              </w:rPr>
            </w:pPr>
            <w:r w:rsidRPr="00CA76C2">
              <w:rPr>
                <w:b/>
                <w:bCs/>
                <w:sz w:val="18"/>
                <w:szCs w:val="18"/>
                <w:lang w:val="lt-LT"/>
              </w:rPr>
              <w:t>Pristatymo vietos adresas</w:t>
            </w:r>
          </w:p>
        </w:tc>
        <w:tc>
          <w:tcPr>
            <w:tcW w:w="891" w:type="dxa"/>
            <w:textDirection w:val="btLr"/>
            <w:hideMark/>
          </w:tcPr>
          <w:p w14:paraId="4991BD92" w14:textId="77777777" w:rsidR="002F0EDB" w:rsidRPr="00CA76C2" w:rsidRDefault="002F0EDB" w:rsidP="002F0EDB">
            <w:pPr>
              <w:spacing w:after="160" w:line="259" w:lineRule="auto"/>
              <w:rPr>
                <w:b/>
                <w:bCs/>
                <w:sz w:val="18"/>
                <w:szCs w:val="18"/>
                <w:lang w:val="lt-LT"/>
              </w:rPr>
            </w:pPr>
            <w:r w:rsidRPr="00CA76C2">
              <w:rPr>
                <w:b/>
                <w:bCs/>
                <w:sz w:val="18"/>
                <w:szCs w:val="18"/>
                <w:lang w:val="lt-LT"/>
              </w:rPr>
              <w:t>Gamtinių dujų slėgis (barais) ±10 %</w:t>
            </w:r>
          </w:p>
        </w:tc>
        <w:tc>
          <w:tcPr>
            <w:tcW w:w="680" w:type="dxa"/>
            <w:textDirection w:val="btLr"/>
            <w:hideMark/>
          </w:tcPr>
          <w:p w14:paraId="772268E5"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vartojimo paskirtis</w:t>
            </w:r>
            <w:r w:rsidRPr="00CA76C2">
              <w:rPr>
                <w:b/>
                <w:bCs/>
                <w:sz w:val="18"/>
                <w:szCs w:val="18"/>
                <w:vertAlign w:val="superscript"/>
                <w:lang w:val="lt-LT"/>
              </w:rPr>
              <w:footnoteReference w:id="1"/>
            </w:r>
          </w:p>
        </w:tc>
        <w:tc>
          <w:tcPr>
            <w:tcW w:w="1276" w:type="dxa"/>
            <w:textDirection w:val="btLr"/>
            <w:hideMark/>
          </w:tcPr>
          <w:p w14:paraId="7E1F17BE"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tiekimo  grupė:</w:t>
            </w:r>
            <w:r w:rsidRPr="00CA76C2">
              <w:rPr>
                <w:b/>
                <w:bCs/>
                <w:sz w:val="18"/>
                <w:szCs w:val="18"/>
                <w:lang w:val="lt-LT"/>
              </w:rPr>
              <w:br/>
              <w:t>nutrūkstamas (NUTR);</w:t>
            </w:r>
            <w:r w:rsidRPr="00CA76C2">
              <w:rPr>
                <w:b/>
                <w:bCs/>
                <w:sz w:val="18"/>
                <w:szCs w:val="18"/>
                <w:lang w:val="lt-LT"/>
              </w:rPr>
              <w:br/>
              <w:t xml:space="preserve">nenutrūkstamas (NE)                                                                    </w:t>
            </w:r>
          </w:p>
        </w:tc>
        <w:tc>
          <w:tcPr>
            <w:tcW w:w="680" w:type="dxa"/>
            <w:textDirection w:val="btLr"/>
            <w:hideMark/>
          </w:tcPr>
          <w:p w14:paraId="09DECC49" w14:textId="77777777" w:rsidR="002F0EDB" w:rsidRPr="00CA76C2" w:rsidRDefault="002F0EDB" w:rsidP="002F0EDB">
            <w:pPr>
              <w:spacing w:after="160" w:line="259" w:lineRule="auto"/>
              <w:rPr>
                <w:b/>
                <w:bCs/>
                <w:sz w:val="18"/>
                <w:szCs w:val="18"/>
                <w:lang w:val="lt-LT"/>
              </w:rPr>
            </w:pPr>
            <w:r w:rsidRPr="00CA76C2">
              <w:rPr>
                <w:b/>
                <w:bCs/>
                <w:sz w:val="18"/>
                <w:szCs w:val="18"/>
                <w:lang w:val="lt-LT"/>
              </w:rPr>
              <w:t>Dujų tiekimo ribojimo, nutraukimo grupė</w:t>
            </w:r>
            <w:r w:rsidRPr="00CA76C2">
              <w:rPr>
                <w:b/>
                <w:bCs/>
                <w:sz w:val="18"/>
                <w:szCs w:val="18"/>
                <w:vertAlign w:val="superscript"/>
                <w:lang w:val="lt-LT"/>
              </w:rPr>
              <w:footnoteReference w:id="2"/>
            </w:r>
          </w:p>
        </w:tc>
        <w:tc>
          <w:tcPr>
            <w:tcW w:w="1581" w:type="dxa"/>
            <w:textDirection w:val="btLr"/>
            <w:hideMark/>
          </w:tcPr>
          <w:p w14:paraId="434FD487" w14:textId="77777777" w:rsidR="002F0EDB" w:rsidRPr="00CA76C2" w:rsidRDefault="002F0EDB" w:rsidP="002F0EDB">
            <w:pPr>
              <w:spacing w:after="160" w:line="259" w:lineRule="auto"/>
              <w:rPr>
                <w:b/>
                <w:bCs/>
                <w:sz w:val="18"/>
                <w:szCs w:val="18"/>
                <w:lang w:val="lt-LT"/>
              </w:rPr>
            </w:pPr>
            <w:r w:rsidRPr="00CA76C2">
              <w:rPr>
                <w:b/>
                <w:bCs/>
                <w:sz w:val="18"/>
                <w:szCs w:val="18"/>
                <w:lang w:val="lt-LT"/>
              </w:rPr>
              <w:t>Objekto identifikavimo Nr.</w:t>
            </w:r>
          </w:p>
        </w:tc>
        <w:tc>
          <w:tcPr>
            <w:tcW w:w="1083" w:type="dxa"/>
            <w:textDirection w:val="btLr"/>
            <w:hideMark/>
          </w:tcPr>
          <w:p w14:paraId="689907DF" w14:textId="77777777" w:rsidR="002F0EDB" w:rsidRPr="00CA76C2" w:rsidRDefault="002F0EDB" w:rsidP="002F0EDB">
            <w:pPr>
              <w:spacing w:after="160" w:line="259" w:lineRule="auto"/>
              <w:rPr>
                <w:b/>
                <w:bCs/>
                <w:sz w:val="18"/>
                <w:szCs w:val="18"/>
                <w:lang w:val="lt-LT"/>
              </w:rPr>
            </w:pPr>
            <w:r w:rsidRPr="00CA76C2">
              <w:rPr>
                <w:b/>
                <w:bCs/>
                <w:sz w:val="18"/>
                <w:szCs w:val="18"/>
                <w:lang w:val="lt-LT"/>
              </w:rPr>
              <w:t>Objekto adresas</w:t>
            </w:r>
          </w:p>
        </w:tc>
        <w:tc>
          <w:tcPr>
            <w:tcW w:w="1213" w:type="dxa"/>
            <w:textDirection w:val="btLr"/>
            <w:hideMark/>
          </w:tcPr>
          <w:p w14:paraId="51CFE521" w14:textId="77777777" w:rsidR="002F0EDB" w:rsidRPr="00CA76C2" w:rsidRDefault="002F0EDB" w:rsidP="002F0EDB">
            <w:pPr>
              <w:spacing w:after="160" w:line="259" w:lineRule="auto"/>
              <w:rPr>
                <w:b/>
                <w:bCs/>
                <w:sz w:val="18"/>
                <w:szCs w:val="18"/>
                <w:lang w:val="lt-LT"/>
              </w:rPr>
            </w:pPr>
            <w:r w:rsidRPr="00CA76C2">
              <w:rPr>
                <w:b/>
                <w:bCs/>
                <w:sz w:val="18"/>
                <w:szCs w:val="18"/>
                <w:u w:val="single"/>
                <w:lang w:val="lt-LT"/>
              </w:rPr>
              <w:t>Didžiausias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max</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1213" w:type="dxa"/>
            <w:textDirection w:val="btLr"/>
            <w:hideMark/>
          </w:tcPr>
          <w:p w14:paraId="2F960B24" w14:textId="77777777" w:rsidR="002F0EDB" w:rsidRPr="00CA76C2" w:rsidRDefault="002F0EDB" w:rsidP="002F0EDB">
            <w:pPr>
              <w:spacing w:after="160" w:line="259" w:lineRule="auto"/>
              <w:rPr>
                <w:b/>
                <w:bCs/>
                <w:sz w:val="18"/>
                <w:szCs w:val="18"/>
                <w:lang w:val="lt-LT"/>
              </w:rPr>
            </w:pPr>
            <w:r w:rsidRPr="00CA76C2">
              <w:rPr>
                <w:b/>
                <w:bCs/>
                <w:sz w:val="18"/>
                <w:szCs w:val="18"/>
                <w:lang w:val="lt-LT"/>
              </w:rPr>
              <w:t xml:space="preserve"> </w:t>
            </w:r>
            <w:r w:rsidRPr="00CA76C2">
              <w:rPr>
                <w:b/>
                <w:bCs/>
                <w:sz w:val="18"/>
                <w:szCs w:val="18"/>
                <w:u w:val="single"/>
                <w:lang w:val="lt-LT"/>
              </w:rPr>
              <w:t>Mažiausias</w:t>
            </w:r>
            <w:r w:rsidRPr="00CA76C2">
              <w:rPr>
                <w:b/>
                <w:bCs/>
                <w:sz w:val="18"/>
                <w:szCs w:val="18"/>
                <w:lang w:val="lt-LT"/>
              </w:rPr>
              <w:t xml:space="preserve"> leistinas gamtinių dujų srautas </w:t>
            </w:r>
            <w:proofErr w:type="spellStart"/>
            <w:r w:rsidRPr="00CA76C2">
              <w:rPr>
                <w:b/>
                <w:bCs/>
                <w:sz w:val="18"/>
                <w:szCs w:val="18"/>
                <w:lang w:val="lt-LT"/>
              </w:rPr>
              <w:t>Q</w:t>
            </w:r>
            <w:r w:rsidRPr="00CA76C2">
              <w:rPr>
                <w:b/>
                <w:bCs/>
                <w:sz w:val="18"/>
                <w:szCs w:val="18"/>
                <w:vertAlign w:val="subscript"/>
                <w:lang w:val="lt-LT"/>
              </w:rPr>
              <w:t>min</w:t>
            </w:r>
            <w:proofErr w:type="spellEnd"/>
            <w:r w:rsidRPr="00CA76C2">
              <w:rPr>
                <w:b/>
                <w:bCs/>
                <w:sz w:val="18"/>
                <w:szCs w:val="18"/>
                <w:lang w:val="lt-LT"/>
              </w:rPr>
              <w:t xml:space="preserve"> </w:t>
            </w:r>
            <w:r w:rsidRPr="00CA76C2">
              <w:rPr>
                <w:b/>
                <w:bCs/>
                <w:sz w:val="18"/>
                <w:szCs w:val="18"/>
                <w:lang w:val="lt-LT"/>
              </w:rPr>
              <w:br/>
              <w:t>(m</w:t>
            </w:r>
            <w:r w:rsidRPr="00CA76C2">
              <w:rPr>
                <w:b/>
                <w:bCs/>
                <w:sz w:val="18"/>
                <w:szCs w:val="18"/>
                <w:vertAlign w:val="superscript"/>
                <w:lang w:val="lt-LT"/>
              </w:rPr>
              <w:t>3</w:t>
            </w:r>
            <w:r w:rsidRPr="00CA76C2">
              <w:rPr>
                <w:b/>
                <w:bCs/>
                <w:sz w:val="18"/>
                <w:szCs w:val="18"/>
                <w:lang w:val="lt-LT"/>
              </w:rPr>
              <w:t>/val.)</w:t>
            </w:r>
          </w:p>
        </w:tc>
        <w:tc>
          <w:tcPr>
            <w:tcW w:w="1083" w:type="dxa"/>
            <w:textDirection w:val="btLr"/>
            <w:hideMark/>
          </w:tcPr>
          <w:p w14:paraId="2A3629FD" w14:textId="77777777" w:rsidR="002F0EDB" w:rsidRPr="00CA76C2" w:rsidRDefault="002F0EDB" w:rsidP="002F0EDB">
            <w:pPr>
              <w:spacing w:after="160" w:line="259" w:lineRule="auto"/>
              <w:rPr>
                <w:b/>
                <w:bCs/>
                <w:sz w:val="18"/>
                <w:szCs w:val="18"/>
                <w:lang w:val="lt-LT"/>
              </w:rPr>
            </w:pPr>
            <w:r w:rsidRPr="00CA76C2">
              <w:rPr>
                <w:b/>
                <w:bCs/>
                <w:sz w:val="18"/>
                <w:szCs w:val="18"/>
                <w:lang w:val="lt-LT"/>
              </w:rPr>
              <w:t>Vartojimo pajėgumai (MWh/Parą/Metams)</w:t>
            </w:r>
          </w:p>
        </w:tc>
        <w:tc>
          <w:tcPr>
            <w:tcW w:w="1061" w:type="dxa"/>
            <w:noWrap/>
            <w:textDirection w:val="btLr"/>
            <w:hideMark/>
          </w:tcPr>
          <w:p w14:paraId="7AF59471" w14:textId="77777777" w:rsidR="002F0EDB" w:rsidRPr="00CA76C2" w:rsidRDefault="002F0EDB" w:rsidP="002F0EDB">
            <w:pPr>
              <w:spacing w:after="160" w:line="259" w:lineRule="auto"/>
              <w:rPr>
                <w:b/>
                <w:bCs/>
                <w:sz w:val="18"/>
                <w:szCs w:val="18"/>
                <w:lang w:val="lt-LT"/>
              </w:rPr>
            </w:pPr>
            <w:r w:rsidRPr="00CA76C2">
              <w:rPr>
                <w:b/>
                <w:bCs/>
                <w:sz w:val="18"/>
                <w:szCs w:val="18"/>
                <w:lang w:val="lt-LT"/>
              </w:rPr>
              <w:t>Pastabos</w:t>
            </w:r>
            <w:r w:rsidRPr="00CA76C2">
              <w:rPr>
                <w:b/>
                <w:bCs/>
                <w:sz w:val="18"/>
                <w:szCs w:val="18"/>
                <w:vertAlign w:val="superscript"/>
                <w:lang w:val="lt-LT"/>
              </w:rPr>
              <w:footnoteReference w:id="3"/>
            </w:r>
          </w:p>
        </w:tc>
      </w:tr>
      <w:tr w:rsidR="002F0EDB" w:rsidRPr="00CA76C2" w14:paraId="35E22F9E" w14:textId="77777777" w:rsidTr="002F0EDB">
        <w:trPr>
          <w:trHeight w:val="268"/>
        </w:trPr>
        <w:tc>
          <w:tcPr>
            <w:tcW w:w="681" w:type="dxa"/>
            <w:noWrap/>
            <w:hideMark/>
          </w:tcPr>
          <w:p w14:paraId="2901B355" w14:textId="77777777" w:rsidR="002F0EDB" w:rsidRPr="00CA76C2" w:rsidRDefault="002F0EDB" w:rsidP="002F0EDB">
            <w:pPr>
              <w:spacing w:after="160" w:line="259" w:lineRule="auto"/>
              <w:rPr>
                <w:sz w:val="18"/>
                <w:szCs w:val="18"/>
                <w:lang w:val="lt-LT"/>
              </w:rPr>
            </w:pPr>
            <w:r w:rsidRPr="00CA76C2">
              <w:rPr>
                <w:sz w:val="18"/>
                <w:szCs w:val="18"/>
                <w:lang w:val="lt-LT"/>
              </w:rPr>
              <w:t>1.</w:t>
            </w:r>
          </w:p>
        </w:tc>
        <w:tc>
          <w:tcPr>
            <w:tcW w:w="746" w:type="dxa"/>
            <w:hideMark/>
          </w:tcPr>
          <w:p w14:paraId="41498045"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778" w:type="dxa"/>
            <w:hideMark/>
          </w:tcPr>
          <w:p w14:paraId="3BCAC057"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55" w:type="dxa"/>
            <w:hideMark/>
          </w:tcPr>
          <w:p w14:paraId="6C41AB4F"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891" w:type="dxa"/>
            <w:hideMark/>
          </w:tcPr>
          <w:p w14:paraId="2E55F082"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680" w:type="dxa"/>
            <w:hideMark/>
          </w:tcPr>
          <w:p w14:paraId="31F879FA" w14:textId="77777777" w:rsidR="002F0EDB" w:rsidRPr="00CA76C2" w:rsidRDefault="002F0EDB" w:rsidP="002F0EDB">
            <w:pPr>
              <w:spacing w:after="160" w:line="259" w:lineRule="auto"/>
              <w:rPr>
                <w:i/>
                <w:iCs/>
                <w:sz w:val="18"/>
                <w:szCs w:val="18"/>
                <w:lang w:val="lt-LT"/>
              </w:rPr>
            </w:pPr>
            <w:r w:rsidRPr="00CA76C2">
              <w:rPr>
                <w:i/>
                <w:iCs/>
                <w:sz w:val="18"/>
                <w:szCs w:val="18"/>
                <w:lang w:val="lt-LT"/>
              </w:rPr>
              <w:t> </w:t>
            </w:r>
          </w:p>
        </w:tc>
        <w:tc>
          <w:tcPr>
            <w:tcW w:w="1276" w:type="dxa"/>
            <w:hideMark/>
          </w:tcPr>
          <w:p w14:paraId="246C41FD"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680" w:type="dxa"/>
            <w:hideMark/>
          </w:tcPr>
          <w:p w14:paraId="682C5C67"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581" w:type="dxa"/>
            <w:noWrap/>
            <w:hideMark/>
          </w:tcPr>
          <w:p w14:paraId="08E1BEED"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83" w:type="dxa"/>
            <w:hideMark/>
          </w:tcPr>
          <w:p w14:paraId="576645F7"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213" w:type="dxa"/>
            <w:hideMark/>
          </w:tcPr>
          <w:p w14:paraId="0996F398"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213" w:type="dxa"/>
            <w:hideMark/>
          </w:tcPr>
          <w:p w14:paraId="7F0BC00B"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83" w:type="dxa"/>
            <w:hideMark/>
          </w:tcPr>
          <w:p w14:paraId="00D35E2F"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61" w:type="dxa"/>
            <w:noWrap/>
            <w:hideMark/>
          </w:tcPr>
          <w:p w14:paraId="47D0F209" w14:textId="77777777" w:rsidR="002F0EDB" w:rsidRPr="00CA76C2" w:rsidRDefault="002F0EDB" w:rsidP="002F0EDB">
            <w:pPr>
              <w:spacing w:after="160" w:line="259" w:lineRule="auto"/>
              <w:rPr>
                <w:sz w:val="18"/>
                <w:szCs w:val="18"/>
                <w:lang w:val="lt-LT"/>
              </w:rPr>
            </w:pPr>
            <w:r w:rsidRPr="00CA76C2">
              <w:rPr>
                <w:sz w:val="18"/>
                <w:szCs w:val="18"/>
                <w:lang w:val="lt-LT"/>
              </w:rPr>
              <w:t> </w:t>
            </w:r>
          </w:p>
        </w:tc>
      </w:tr>
      <w:tr w:rsidR="002F0EDB" w:rsidRPr="00CA76C2" w14:paraId="17277CF8" w14:textId="77777777" w:rsidTr="002F0EDB">
        <w:trPr>
          <w:trHeight w:val="280"/>
        </w:trPr>
        <w:tc>
          <w:tcPr>
            <w:tcW w:w="681" w:type="dxa"/>
            <w:noWrap/>
            <w:hideMark/>
          </w:tcPr>
          <w:p w14:paraId="4149985D" w14:textId="77777777" w:rsidR="002F0EDB" w:rsidRPr="00CA76C2" w:rsidRDefault="002F0EDB" w:rsidP="002F0EDB">
            <w:pPr>
              <w:spacing w:after="160" w:line="259" w:lineRule="auto"/>
              <w:rPr>
                <w:sz w:val="18"/>
                <w:szCs w:val="18"/>
                <w:lang w:val="lt-LT"/>
              </w:rPr>
            </w:pPr>
            <w:r w:rsidRPr="00CA76C2">
              <w:rPr>
                <w:sz w:val="18"/>
                <w:szCs w:val="18"/>
                <w:lang w:val="lt-LT"/>
              </w:rPr>
              <w:t>2.</w:t>
            </w:r>
          </w:p>
        </w:tc>
        <w:tc>
          <w:tcPr>
            <w:tcW w:w="746" w:type="dxa"/>
            <w:hideMark/>
          </w:tcPr>
          <w:p w14:paraId="3F670B11"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778" w:type="dxa"/>
            <w:hideMark/>
          </w:tcPr>
          <w:p w14:paraId="6F205880"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55" w:type="dxa"/>
            <w:hideMark/>
          </w:tcPr>
          <w:p w14:paraId="46F011B9"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891" w:type="dxa"/>
            <w:hideMark/>
          </w:tcPr>
          <w:p w14:paraId="02E4BD5A"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680" w:type="dxa"/>
            <w:hideMark/>
          </w:tcPr>
          <w:p w14:paraId="1C40E2B1" w14:textId="77777777" w:rsidR="002F0EDB" w:rsidRPr="00CA76C2" w:rsidRDefault="002F0EDB" w:rsidP="002F0EDB">
            <w:pPr>
              <w:spacing w:after="160" w:line="259" w:lineRule="auto"/>
              <w:rPr>
                <w:i/>
                <w:iCs/>
                <w:sz w:val="18"/>
                <w:szCs w:val="18"/>
                <w:lang w:val="lt-LT"/>
              </w:rPr>
            </w:pPr>
            <w:r w:rsidRPr="00CA76C2">
              <w:rPr>
                <w:i/>
                <w:iCs/>
                <w:sz w:val="18"/>
                <w:szCs w:val="18"/>
                <w:lang w:val="lt-LT"/>
              </w:rPr>
              <w:t> </w:t>
            </w:r>
          </w:p>
        </w:tc>
        <w:tc>
          <w:tcPr>
            <w:tcW w:w="1276" w:type="dxa"/>
            <w:hideMark/>
          </w:tcPr>
          <w:p w14:paraId="00454E3D"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680" w:type="dxa"/>
            <w:hideMark/>
          </w:tcPr>
          <w:p w14:paraId="7DD72B89"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581" w:type="dxa"/>
            <w:noWrap/>
            <w:hideMark/>
          </w:tcPr>
          <w:p w14:paraId="42AE1B82"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83" w:type="dxa"/>
            <w:hideMark/>
          </w:tcPr>
          <w:p w14:paraId="2C62324E"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213" w:type="dxa"/>
            <w:noWrap/>
            <w:hideMark/>
          </w:tcPr>
          <w:p w14:paraId="4E309946"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213" w:type="dxa"/>
            <w:noWrap/>
            <w:hideMark/>
          </w:tcPr>
          <w:p w14:paraId="39750273"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83" w:type="dxa"/>
            <w:noWrap/>
            <w:hideMark/>
          </w:tcPr>
          <w:p w14:paraId="58EBBE75" w14:textId="77777777" w:rsidR="002F0EDB" w:rsidRPr="00CA76C2" w:rsidRDefault="002F0EDB" w:rsidP="002F0EDB">
            <w:pPr>
              <w:spacing w:after="160" w:line="259" w:lineRule="auto"/>
              <w:rPr>
                <w:sz w:val="18"/>
                <w:szCs w:val="18"/>
                <w:lang w:val="lt-LT"/>
              </w:rPr>
            </w:pPr>
            <w:r w:rsidRPr="00CA76C2">
              <w:rPr>
                <w:sz w:val="18"/>
                <w:szCs w:val="18"/>
                <w:lang w:val="lt-LT"/>
              </w:rPr>
              <w:t> </w:t>
            </w:r>
          </w:p>
        </w:tc>
        <w:tc>
          <w:tcPr>
            <w:tcW w:w="1061" w:type="dxa"/>
            <w:noWrap/>
            <w:hideMark/>
          </w:tcPr>
          <w:p w14:paraId="66F66FAF" w14:textId="77777777" w:rsidR="002F0EDB" w:rsidRPr="00CA76C2" w:rsidRDefault="002F0EDB" w:rsidP="002F0EDB">
            <w:pPr>
              <w:spacing w:after="160" w:line="259" w:lineRule="auto"/>
              <w:rPr>
                <w:sz w:val="18"/>
                <w:szCs w:val="18"/>
                <w:lang w:val="lt-LT"/>
              </w:rPr>
            </w:pPr>
            <w:r w:rsidRPr="00CA76C2">
              <w:rPr>
                <w:sz w:val="18"/>
                <w:szCs w:val="18"/>
                <w:lang w:val="lt-LT"/>
              </w:rPr>
              <w:t> </w:t>
            </w:r>
          </w:p>
        </w:tc>
      </w:tr>
    </w:tbl>
    <w:p w14:paraId="24AFC69E" w14:textId="147A964C" w:rsidR="002F0EDB" w:rsidRPr="00CA76C2" w:rsidRDefault="002F0EDB">
      <w:pPr>
        <w:rPr>
          <w:rFonts w:ascii="Times New Roman" w:hAnsi="Times New Roman"/>
          <w:sz w:val="18"/>
          <w:szCs w:val="18"/>
          <w:lang w:val="lt-LT"/>
        </w:rPr>
      </w:pPr>
      <w:r w:rsidRPr="00CA76C2">
        <w:rPr>
          <w:rFonts w:ascii="Times New Roman" w:hAnsi="Times New Roman"/>
          <w:sz w:val="18"/>
          <w:szCs w:val="18"/>
          <w:lang w:val="lt-LT"/>
        </w:rPr>
        <w:t>Užsakovas patvirtina, kad aukščiau išvardinti objektai, į kuriuos pagal Pirkimo sutartį tiekiamos dujos, priklauso Užsakovui nuosavybės ar kita teisėto valdymo teise ir jis turi teisę sudaryti Pirkimo sutartį.</w:t>
      </w:r>
    </w:p>
    <w:tbl>
      <w:tblPr>
        <w:tblW w:w="4850" w:type="pct"/>
        <w:tblInd w:w="115" w:type="dxa"/>
        <w:tblCellMar>
          <w:left w:w="115" w:type="dxa"/>
          <w:right w:w="115" w:type="dxa"/>
        </w:tblCellMar>
        <w:tblLook w:val="01E0" w:firstRow="1" w:lastRow="1" w:firstColumn="1" w:lastColumn="1" w:noHBand="0" w:noVBand="0"/>
      </w:tblPr>
      <w:tblGrid>
        <w:gridCol w:w="6146"/>
        <w:gridCol w:w="305"/>
        <w:gridCol w:w="6120"/>
      </w:tblGrid>
      <w:tr w:rsidR="002F0EDB" w:rsidRPr="00CA76C2" w14:paraId="406F36B6" w14:textId="77777777" w:rsidTr="00C17565">
        <w:trPr>
          <w:cantSplit/>
        </w:trPr>
        <w:tc>
          <w:tcPr>
            <w:tcW w:w="2444" w:type="pct"/>
            <w:vAlign w:val="bottom"/>
            <w:hideMark/>
          </w:tcPr>
          <w:p w14:paraId="0A2DB90B"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Užsakovas</w:t>
            </w:r>
          </w:p>
        </w:tc>
        <w:tc>
          <w:tcPr>
            <w:tcW w:w="121" w:type="pct"/>
          </w:tcPr>
          <w:p w14:paraId="17209571" w14:textId="77777777" w:rsidR="002F0EDB" w:rsidRPr="00CA76C2" w:rsidRDefault="002F0EDB" w:rsidP="00C17565">
            <w:pPr>
              <w:widowControl w:val="0"/>
              <w:tabs>
                <w:tab w:val="left" w:pos="567"/>
              </w:tabs>
              <w:rPr>
                <w:rFonts w:cs="Tahoma"/>
                <w:color w:val="000000"/>
                <w:sz w:val="18"/>
                <w:szCs w:val="18"/>
                <w:lang w:val="lt-LT"/>
              </w:rPr>
            </w:pPr>
          </w:p>
        </w:tc>
        <w:tc>
          <w:tcPr>
            <w:tcW w:w="2434" w:type="pct"/>
            <w:vAlign w:val="bottom"/>
            <w:hideMark/>
          </w:tcPr>
          <w:p w14:paraId="5811DD9A"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Tiekėjas</w:t>
            </w:r>
          </w:p>
        </w:tc>
      </w:tr>
      <w:tr w:rsidR="002F0EDB" w:rsidRPr="00CA76C2" w14:paraId="7A8AF1B7" w14:textId="77777777" w:rsidTr="00C17565">
        <w:trPr>
          <w:cantSplit/>
        </w:trPr>
        <w:tc>
          <w:tcPr>
            <w:tcW w:w="2444" w:type="pct"/>
            <w:vAlign w:val="bottom"/>
            <w:hideMark/>
          </w:tcPr>
          <w:p w14:paraId="0592AED3"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highlight w:val="lightGray"/>
                <w:lang w:val="lt-LT"/>
              </w:rPr>
              <w:t>[Pavadinimas]</w:t>
            </w:r>
          </w:p>
          <w:p w14:paraId="67498BCC"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Atstovaujantis asmuo</w:t>
            </w:r>
          </w:p>
        </w:tc>
        <w:tc>
          <w:tcPr>
            <w:tcW w:w="121" w:type="pct"/>
          </w:tcPr>
          <w:p w14:paraId="0B850554" w14:textId="77777777" w:rsidR="002F0EDB" w:rsidRPr="00CA76C2" w:rsidRDefault="002F0EDB" w:rsidP="00C17565">
            <w:pPr>
              <w:widowControl w:val="0"/>
              <w:tabs>
                <w:tab w:val="left" w:pos="567"/>
              </w:tabs>
              <w:rPr>
                <w:rFonts w:cs="Tahoma"/>
                <w:color w:val="000000"/>
                <w:sz w:val="18"/>
                <w:szCs w:val="18"/>
                <w:lang w:val="lt-LT"/>
              </w:rPr>
            </w:pPr>
          </w:p>
        </w:tc>
        <w:tc>
          <w:tcPr>
            <w:tcW w:w="2434" w:type="pct"/>
            <w:vAlign w:val="bottom"/>
            <w:hideMark/>
          </w:tcPr>
          <w:p w14:paraId="092A106E"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highlight w:val="lightGray"/>
                <w:lang w:val="lt-LT"/>
              </w:rPr>
              <w:t>[Pavadinimas]</w:t>
            </w:r>
          </w:p>
          <w:p w14:paraId="2DC5062F"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Atstovaujantis asmuo</w:t>
            </w:r>
          </w:p>
        </w:tc>
      </w:tr>
      <w:tr w:rsidR="002F0EDB" w:rsidRPr="00CA76C2" w14:paraId="58AC9F29" w14:textId="77777777" w:rsidTr="00C17565">
        <w:trPr>
          <w:cantSplit/>
        </w:trPr>
        <w:tc>
          <w:tcPr>
            <w:tcW w:w="2444" w:type="pct"/>
            <w:vAlign w:val="bottom"/>
            <w:hideMark/>
          </w:tcPr>
          <w:p w14:paraId="3F6805F9"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Vardas, Pavardė:____________________________</w:t>
            </w:r>
          </w:p>
        </w:tc>
        <w:tc>
          <w:tcPr>
            <w:tcW w:w="121" w:type="pct"/>
          </w:tcPr>
          <w:p w14:paraId="14B9EB1D"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3B7D8037"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Vardas, Pavardė:______________________________</w:t>
            </w:r>
          </w:p>
        </w:tc>
      </w:tr>
      <w:tr w:rsidR="002F0EDB" w:rsidRPr="00CA76C2" w14:paraId="13271141" w14:textId="77777777" w:rsidTr="00C17565">
        <w:trPr>
          <w:cantSplit/>
        </w:trPr>
        <w:tc>
          <w:tcPr>
            <w:tcW w:w="2444" w:type="pct"/>
            <w:hideMark/>
          </w:tcPr>
          <w:p w14:paraId="7162D849"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Pareigos:__________________________________</w:t>
            </w:r>
          </w:p>
        </w:tc>
        <w:tc>
          <w:tcPr>
            <w:tcW w:w="121" w:type="pct"/>
          </w:tcPr>
          <w:p w14:paraId="7810540A"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2574F6A6"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Pareigos:____________________________________</w:t>
            </w:r>
          </w:p>
        </w:tc>
      </w:tr>
      <w:tr w:rsidR="002F0EDB" w:rsidRPr="00CA76C2" w14:paraId="2B4881F5" w14:textId="77777777" w:rsidTr="00C17565">
        <w:trPr>
          <w:cantSplit/>
        </w:trPr>
        <w:tc>
          <w:tcPr>
            <w:tcW w:w="2444" w:type="pct"/>
            <w:hideMark/>
          </w:tcPr>
          <w:p w14:paraId="5CCDA103"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Parašas:___________________________________</w:t>
            </w:r>
          </w:p>
        </w:tc>
        <w:tc>
          <w:tcPr>
            <w:tcW w:w="121" w:type="pct"/>
          </w:tcPr>
          <w:p w14:paraId="57A6C4FC" w14:textId="77777777" w:rsidR="002F0EDB" w:rsidRPr="00CA76C2" w:rsidRDefault="002F0EDB" w:rsidP="00C17565">
            <w:pPr>
              <w:widowControl w:val="0"/>
              <w:tabs>
                <w:tab w:val="left" w:pos="567"/>
              </w:tabs>
              <w:rPr>
                <w:rFonts w:cs="Tahoma"/>
                <w:color w:val="000000"/>
                <w:sz w:val="18"/>
                <w:szCs w:val="18"/>
                <w:lang w:val="lt-LT"/>
              </w:rPr>
            </w:pPr>
          </w:p>
        </w:tc>
        <w:tc>
          <w:tcPr>
            <w:tcW w:w="2434" w:type="pct"/>
            <w:hideMark/>
          </w:tcPr>
          <w:p w14:paraId="33DFC9AB" w14:textId="77777777" w:rsidR="002F0EDB" w:rsidRPr="00CA76C2" w:rsidRDefault="002F0EDB" w:rsidP="00C17565">
            <w:pPr>
              <w:widowControl w:val="0"/>
              <w:tabs>
                <w:tab w:val="left" w:pos="567"/>
              </w:tabs>
              <w:rPr>
                <w:color w:val="000000"/>
                <w:sz w:val="18"/>
                <w:szCs w:val="18"/>
                <w:lang w:val="lt-LT"/>
              </w:rPr>
            </w:pPr>
            <w:r w:rsidRPr="00CA76C2">
              <w:rPr>
                <w:color w:val="000000"/>
                <w:sz w:val="18"/>
                <w:szCs w:val="18"/>
                <w:lang w:val="lt-LT"/>
              </w:rPr>
              <w:t>Parašas:_____________________________________</w:t>
            </w:r>
          </w:p>
        </w:tc>
      </w:tr>
    </w:tbl>
    <w:p w14:paraId="43F2C6AB" w14:textId="381DB09F" w:rsidR="002F0EDB" w:rsidRPr="00CA76C2" w:rsidRDefault="002F0EDB" w:rsidP="00CA76C2">
      <w:pPr>
        <w:rPr>
          <w:sz w:val="18"/>
          <w:szCs w:val="18"/>
          <w:lang w:val="lt-LT"/>
        </w:rPr>
      </w:pPr>
    </w:p>
    <w:sectPr w:rsidR="002F0EDB" w:rsidRPr="00CA76C2" w:rsidSect="002F0ED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3667D" w14:textId="77777777" w:rsidR="00DA50C4" w:rsidRDefault="00DA50C4" w:rsidP="002F0EDB">
      <w:pPr>
        <w:spacing w:after="0" w:line="240" w:lineRule="auto"/>
      </w:pPr>
      <w:r>
        <w:separator/>
      </w:r>
    </w:p>
  </w:endnote>
  <w:endnote w:type="continuationSeparator" w:id="0">
    <w:p w14:paraId="0C4B3FA6" w14:textId="77777777" w:rsidR="00DA50C4" w:rsidRDefault="00DA50C4" w:rsidP="002F0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C1EE" w14:textId="77777777" w:rsidR="00DA50C4" w:rsidRDefault="00DA50C4" w:rsidP="002F0EDB">
      <w:pPr>
        <w:spacing w:after="0" w:line="240" w:lineRule="auto"/>
      </w:pPr>
      <w:r>
        <w:separator/>
      </w:r>
    </w:p>
  </w:footnote>
  <w:footnote w:type="continuationSeparator" w:id="0">
    <w:p w14:paraId="7525EF67" w14:textId="77777777" w:rsidR="00DA50C4" w:rsidRDefault="00DA50C4" w:rsidP="002F0EDB">
      <w:pPr>
        <w:spacing w:after="0" w:line="240" w:lineRule="auto"/>
      </w:pPr>
      <w:r>
        <w:continuationSeparator/>
      </w:r>
    </w:p>
  </w:footnote>
  <w:footnote w:id="1">
    <w:p w14:paraId="60F1FB40"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vadovaujantis Lietuvos Respublikos energetikos ministro 2014 m. spalio 10 d. įsakymu Nr. 1-248 patvirtintų Gamtinių dujų tiekimo ir vartojimo taisyklių 17.3. punktu (aktuali redakcija). Sutrumpinimai: šilumos gamyba (ŠG), elektros gamyba (EG), garo gamyba (GG), technologinės reikmės (TR), maisto gamyba (MG), nenutrūkstamas gamybos procesas (NG), sezoninė gamyba (SG), kita gamyba (KG), negyvenamųjų patalpų šildymas (NPŠ), gyvenamųjų patalpų šildymas (GPŠ), karšto vandens ruošimas (KVR), maisto ruošimas (MR), kita paskirtis (KP).</w:t>
      </w:r>
    </w:p>
  </w:footnote>
  <w:footnote w:id="2">
    <w:p w14:paraId="3E40B931"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vadovaujantis Lietuvos Respublikos Vyriausybės nutarimu Nr.163 patvirtinto Gamtinių dujų tiekimo saugumo užtikrinimo priemonių aprašo (Žin.,2012, Nr. 39-1930) 17 punktu (aktuali redakcija).</w:t>
      </w:r>
    </w:p>
  </w:footnote>
  <w:footnote w:id="3">
    <w:p w14:paraId="540D58B4" w14:textId="77777777" w:rsidR="002F0EDB" w:rsidRPr="00CA76C2" w:rsidRDefault="002F0EDB" w:rsidP="002F0EDB">
      <w:pPr>
        <w:pStyle w:val="FootnoteText"/>
        <w:rPr>
          <w:lang w:val="lt-LT"/>
        </w:rPr>
      </w:pPr>
      <w:r w:rsidRPr="00CA76C2">
        <w:rPr>
          <w:rStyle w:val="FootnoteReference"/>
          <w:lang w:val="lt-LT"/>
        </w:rPr>
        <w:footnoteRef/>
      </w:r>
      <w:r w:rsidRPr="00CA76C2">
        <w:rPr>
          <w:lang w:val="lt-LT"/>
        </w:rPr>
        <w:t xml:space="preserve"> rodmuo, įrašomas tuo atveju, jei Vartotojas nepateikė rodmenų suderinimo akto. Apskaita pradedama vykdyti nuo nurodyto rodmens.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EDB"/>
    <w:rsid w:val="00023A9B"/>
    <w:rsid w:val="00146947"/>
    <w:rsid w:val="001B7B46"/>
    <w:rsid w:val="002E3B67"/>
    <w:rsid w:val="002F0EDB"/>
    <w:rsid w:val="00306988"/>
    <w:rsid w:val="004B2F6B"/>
    <w:rsid w:val="0054387D"/>
    <w:rsid w:val="00BB2BEC"/>
    <w:rsid w:val="00CA76C2"/>
    <w:rsid w:val="00DA50C4"/>
    <w:rsid w:val="00DE055E"/>
    <w:rsid w:val="00EC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537D"/>
  <w15:chartTrackingRefBased/>
  <w15:docId w15:val="{09EC03BB-67BF-4EEB-99E0-300E03D3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0E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0EDB"/>
    <w:rPr>
      <w:sz w:val="20"/>
      <w:szCs w:val="20"/>
    </w:rPr>
  </w:style>
  <w:style w:type="character" w:styleId="FootnoteReference">
    <w:name w:val="footnote reference"/>
    <w:basedOn w:val="DefaultParagraphFont"/>
    <w:uiPriority w:val="99"/>
    <w:semiHidden/>
    <w:unhideWhenUsed/>
    <w:rsid w:val="002F0EDB"/>
    <w:rPr>
      <w:vertAlign w:val="superscript"/>
    </w:rPr>
  </w:style>
  <w:style w:type="character" w:styleId="CommentReference">
    <w:name w:val="annotation reference"/>
    <w:basedOn w:val="DefaultParagraphFont"/>
    <w:uiPriority w:val="99"/>
    <w:semiHidden/>
    <w:unhideWhenUsed/>
    <w:rsid w:val="002F0EDB"/>
    <w:rPr>
      <w:sz w:val="16"/>
      <w:szCs w:val="16"/>
    </w:rPr>
  </w:style>
  <w:style w:type="paragraph" w:styleId="CommentText">
    <w:name w:val="annotation text"/>
    <w:basedOn w:val="Normal"/>
    <w:link w:val="CommentTextChar"/>
    <w:uiPriority w:val="99"/>
    <w:semiHidden/>
    <w:unhideWhenUsed/>
    <w:rsid w:val="002F0EDB"/>
    <w:pPr>
      <w:spacing w:line="240" w:lineRule="auto"/>
    </w:pPr>
    <w:rPr>
      <w:sz w:val="20"/>
      <w:szCs w:val="20"/>
    </w:rPr>
  </w:style>
  <w:style w:type="character" w:customStyle="1" w:styleId="CommentTextChar">
    <w:name w:val="Comment Text Char"/>
    <w:basedOn w:val="DefaultParagraphFont"/>
    <w:link w:val="CommentText"/>
    <w:uiPriority w:val="99"/>
    <w:semiHidden/>
    <w:rsid w:val="002F0EDB"/>
    <w:rPr>
      <w:sz w:val="20"/>
      <w:szCs w:val="20"/>
    </w:rPr>
  </w:style>
  <w:style w:type="paragraph" w:styleId="CommentSubject">
    <w:name w:val="annotation subject"/>
    <w:basedOn w:val="CommentText"/>
    <w:next w:val="CommentText"/>
    <w:link w:val="CommentSubjectChar"/>
    <w:uiPriority w:val="99"/>
    <w:semiHidden/>
    <w:unhideWhenUsed/>
    <w:rsid w:val="002F0EDB"/>
    <w:rPr>
      <w:b/>
      <w:bCs/>
    </w:rPr>
  </w:style>
  <w:style w:type="character" w:customStyle="1" w:styleId="CommentSubjectChar">
    <w:name w:val="Comment Subject Char"/>
    <w:basedOn w:val="CommentTextChar"/>
    <w:link w:val="CommentSubject"/>
    <w:uiPriority w:val="99"/>
    <w:semiHidden/>
    <w:rsid w:val="002F0EDB"/>
    <w:rPr>
      <w:b/>
      <w:bCs/>
      <w:sz w:val="20"/>
      <w:szCs w:val="20"/>
    </w:rPr>
  </w:style>
  <w:style w:type="paragraph" w:styleId="BalloonText">
    <w:name w:val="Balloon Text"/>
    <w:basedOn w:val="Normal"/>
    <w:link w:val="BalloonTextChar"/>
    <w:uiPriority w:val="99"/>
    <w:semiHidden/>
    <w:unhideWhenUsed/>
    <w:rsid w:val="002F0E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E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00DB-533B-405A-9977-69B94261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457</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Prieskienė</dc:creator>
  <cp:keywords/>
  <dc:description/>
  <cp:lastModifiedBy>Arūnas Abraitis</cp:lastModifiedBy>
  <cp:revision>2</cp:revision>
  <dcterms:created xsi:type="dcterms:W3CDTF">2025-12-09T12:32:00Z</dcterms:created>
  <dcterms:modified xsi:type="dcterms:W3CDTF">2025-12-09T12:32:00Z</dcterms:modified>
</cp:coreProperties>
</file>